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92993B">
      <w:pPr>
        <w:adjustRightInd w:val="0"/>
        <w:snapToGrid w:val="0"/>
        <w:jc w:val="center"/>
        <w:outlineLvl w:val="9"/>
        <w:rPr>
          <w:rFonts w:hint="eastAsia" w:ascii="方正小标宋_GBK" w:eastAsia="方正小标宋_GBK"/>
          <w:bCs/>
          <w:color w:val="auto"/>
          <w:sz w:val="72"/>
          <w:szCs w:val="72"/>
        </w:rPr>
      </w:pPr>
      <w:bookmarkStart w:id="0" w:name="_Toc1112"/>
    </w:p>
    <w:p w14:paraId="02B73612">
      <w:pPr>
        <w:adjustRightInd w:val="0"/>
        <w:snapToGrid w:val="0"/>
        <w:jc w:val="center"/>
        <w:outlineLvl w:val="9"/>
        <w:rPr>
          <w:rFonts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bookmarkEnd w:id="0"/>
    </w:p>
    <w:p w14:paraId="519645F6">
      <w:pPr>
        <w:adjustRightInd w:val="0"/>
        <w:snapToGrid w:val="0"/>
        <w:spacing w:beforeLines="8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14:paraId="714B6EAF">
      <w:pPr>
        <w:ind w:firstLine="420" w:firstLineChars="0"/>
        <w:jc w:val="center"/>
        <w:rPr>
          <w:rFonts w:eastAsia="仿宋"/>
          <w:color w:val="auto"/>
          <w:sz w:val="52"/>
          <w:szCs w:val="52"/>
        </w:rPr>
      </w:pPr>
    </w:p>
    <w:p w14:paraId="1C693E51">
      <w:pPr>
        <w:ind w:firstLine="1040"/>
        <w:rPr>
          <w:rFonts w:eastAsia="仿宋"/>
          <w:color w:val="auto"/>
          <w:sz w:val="44"/>
          <w:szCs w:val="44"/>
        </w:rPr>
      </w:pPr>
    </w:p>
    <w:p w14:paraId="758CE26F">
      <w:pPr>
        <w:ind w:firstLine="1040"/>
        <w:rPr>
          <w:rFonts w:eastAsia="仿宋"/>
          <w:color w:val="auto"/>
          <w:sz w:val="44"/>
          <w:szCs w:val="44"/>
        </w:rPr>
      </w:pPr>
    </w:p>
    <w:p w14:paraId="1846B63C">
      <w:pPr>
        <w:adjustRightInd w:val="0"/>
        <w:snapToGrid w:val="0"/>
        <w:spacing w:line="288" w:lineRule="auto"/>
        <w:ind w:left="2877" w:leftChars="513" w:hanging="1800" w:hangingChars="500"/>
        <w:rPr>
          <w:rFonts w:hint="eastAsia" w:ascii="Times New Roman" w:hAnsi="Times New Roman" w:eastAsia="仿宋_GB2312" w:cs="Times New Roman"/>
          <w:b w:val="0"/>
          <w:bCs w:val="0"/>
          <w:color w:val="auto"/>
          <w:sz w:val="36"/>
          <w:szCs w:val="36"/>
        </w:rPr>
      </w:pPr>
    </w:p>
    <w:p w14:paraId="0B931CC4">
      <w:pPr>
        <w:adjustRightInd w:val="0"/>
        <w:snapToGrid w:val="0"/>
        <w:spacing w:line="288" w:lineRule="auto"/>
        <w:ind w:left="2877" w:leftChars="513" w:hanging="1800" w:hangingChars="500"/>
        <w:rPr>
          <w:rFonts w:hint="eastAsia" w:ascii="Times New Roman" w:hAnsi="Times New Roman" w:eastAsia="仿宋_GB2312" w:cs="Times New Roman"/>
          <w:b w:val="0"/>
          <w:bCs w:val="0"/>
          <w:color w:val="auto"/>
          <w:sz w:val="36"/>
          <w:szCs w:val="36"/>
        </w:rPr>
      </w:pPr>
    </w:p>
    <w:p w14:paraId="1B047D1D">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0" w:firstLineChars="0"/>
        <w:jc w:val="center"/>
        <w:textAlignment w:val="auto"/>
        <w:rPr>
          <w:rFonts w:hint="eastAsia" w:ascii="Times New Roman" w:hAnsi="Times New Roman" w:eastAsia="仿宋_GB2312" w:cs="Times New Roman"/>
          <w:b w:val="0"/>
          <w:bCs w:val="0"/>
          <w:color w:val="auto"/>
          <w:sz w:val="36"/>
          <w:szCs w:val="36"/>
        </w:rPr>
      </w:pPr>
    </w:p>
    <w:p w14:paraId="2CE820BF">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720" w:firstLineChars="200"/>
        <w:jc w:val="both"/>
        <w:textAlignment w:val="auto"/>
        <w:rPr>
          <w:rFonts w:hint="default" w:ascii="Times New Roman" w:hAnsi="Times New Roman" w:eastAsia="仿宋_GB2312" w:cs="Times New Roman"/>
          <w:b w:val="0"/>
          <w:bCs w:val="0"/>
          <w:color w:val="auto"/>
          <w:sz w:val="36"/>
          <w:szCs w:val="36"/>
          <w:lang w:val="en-US" w:eastAsia="zh-CN"/>
        </w:rPr>
      </w:pPr>
      <w:r>
        <w:rPr>
          <w:rFonts w:hint="default" w:ascii="Times New Roman" w:hAnsi="Times New Roman" w:eastAsia="仿宋_GB2312" w:cs="Times New Roman"/>
          <w:b w:val="0"/>
          <w:bCs w:val="0"/>
          <w:color w:val="auto"/>
          <w:sz w:val="36"/>
          <w:szCs w:val="36"/>
        </w:rPr>
        <w:t>项目名称：</w:t>
      </w:r>
      <w:r>
        <w:rPr>
          <w:rFonts w:hint="eastAsia" w:eastAsia="仿宋_GB2312" w:cs="Times New Roman"/>
          <w:b w:val="0"/>
          <w:bCs w:val="0"/>
          <w:color w:val="auto"/>
          <w:sz w:val="36"/>
          <w:szCs w:val="36"/>
          <w:highlight w:val="none"/>
          <w:u w:val="single"/>
          <w:lang w:val="en-US" w:eastAsia="zh-CN"/>
        </w:rPr>
        <w:t xml:space="preserve">      </w:t>
      </w:r>
      <w:r>
        <w:rPr>
          <w:rFonts w:hint="default" w:ascii="Times New Roman" w:hAnsi="Times New Roman" w:eastAsia="仿宋_GB2312" w:cs="Times New Roman"/>
          <w:b w:val="0"/>
          <w:bCs w:val="0"/>
          <w:color w:val="auto"/>
          <w:sz w:val="36"/>
          <w:szCs w:val="36"/>
          <w:highlight w:val="none"/>
          <w:u w:val="single"/>
        </w:rPr>
        <w:t>速冻果蔬食品技改项目</w:t>
      </w:r>
      <w:r>
        <w:rPr>
          <w:rFonts w:hint="eastAsia" w:eastAsia="仿宋_GB2312" w:cs="Times New Roman"/>
          <w:b w:val="0"/>
          <w:bCs w:val="0"/>
          <w:color w:val="auto"/>
          <w:sz w:val="36"/>
          <w:szCs w:val="36"/>
          <w:highlight w:val="none"/>
          <w:u w:val="single"/>
          <w:lang w:val="en-US" w:eastAsia="zh-CN"/>
        </w:rPr>
        <w:t xml:space="preserve">     </w:t>
      </w:r>
    </w:p>
    <w:p w14:paraId="3B2F13D9">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0" w:firstLineChars="0"/>
        <w:jc w:val="center"/>
        <w:textAlignment w:val="auto"/>
        <w:rPr>
          <w:rFonts w:hint="default" w:ascii="Times New Roman" w:hAnsi="Times New Roman" w:eastAsia="仿宋_GB2312" w:cs="Times New Roman"/>
          <w:color w:val="auto"/>
          <w:sz w:val="36"/>
          <w:szCs w:val="36"/>
          <w:u w:val="thick"/>
          <w:lang w:val="en-US" w:eastAsia="zh-CN"/>
        </w:rPr>
      </w:pPr>
      <w:r>
        <w:rPr>
          <w:rFonts w:hint="default" w:ascii="Times New Roman" w:hAnsi="Times New Roman" w:eastAsia="仿宋_GB2312" w:cs="Times New Roman"/>
          <w:b w:val="0"/>
          <w:bCs w:val="0"/>
          <w:color w:val="auto"/>
          <w:sz w:val="36"/>
          <w:szCs w:val="36"/>
          <w:lang w:val="en-US" w:eastAsia="zh-CN"/>
        </w:rPr>
        <w:t xml:space="preserve">  </w:t>
      </w:r>
      <w:r>
        <w:rPr>
          <w:rFonts w:hint="default" w:ascii="Times New Roman" w:hAnsi="Times New Roman" w:eastAsia="仿宋_GB2312" w:cs="Times New Roman"/>
          <w:b w:val="0"/>
          <w:bCs w:val="0"/>
          <w:color w:val="auto"/>
          <w:sz w:val="36"/>
          <w:szCs w:val="36"/>
        </w:rPr>
        <w:t>建设单位（盖章）：</w:t>
      </w:r>
      <w:r>
        <w:rPr>
          <w:rFonts w:hint="default" w:ascii="Times New Roman" w:hAnsi="Times New Roman" w:eastAsia="仿宋_GB2312" w:cs="Times New Roman"/>
          <w:b w:val="0"/>
          <w:bCs w:val="0"/>
          <w:color w:val="auto"/>
          <w:sz w:val="36"/>
          <w:szCs w:val="36"/>
          <w:highlight w:val="none"/>
          <w:u w:val="single"/>
          <w:lang w:val="en-US" w:eastAsia="zh-CN"/>
        </w:rPr>
        <w:t>云南果研社农业科技发展有限公司</w:t>
      </w:r>
      <w:r>
        <w:rPr>
          <w:rFonts w:hint="default" w:ascii="Times New Roman" w:hAnsi="Times New Roman" w:eastAsia="仿宋_GB2312" w:cs="Times New Roman"/>
          <w:b w:val="0"/>
          <w:bCs w:val="0"/>
          <w:color w:val="auto"/>
          <w:sz w:val="36"/>
          <w:szCs w:val="36"/>
        </w:rPr>
        <w:t>编制日期：</w:t>
      </w:r>
      <w:r>
        <w:rPr>
          <w:rFonts w:hint="default" w:ascii="Times New Roman" w:hAnsi="Times New Roman" w:eastAsia="仿宋_GB2312" w:cs="Times New Roman"/>
          <w:b w:val="0"/>
          <w:bCs w:val="0"/>
          <w:color w:val="auto"/>
          <w:sz w:val="36"/>
          <w:szCs w:val="36"/>
          <w:u w:val="single"/>
        </w:rPr>
        <w:t xml:space="preserve">   202</w:t>
      </w:r>
      <w:r>
        <w:rPr>
          <w:rFonts w:hint="eastAsia" w:eastAsia="仿宋_GB2312" w:cs="Times New Roman"/>
          <w:b w:val="0"/>
          <w:bCs w:val="0"/>
          <w:color w:val="auto"/>
          <w:sz w:val="36"/>
          <w:szCs w:val="36"/>
          <w:u w:val="single"/>
          <w:lang w:val="en-US" w:eastAsia="zh-CN"/>
        </w:rPr>
        <w:t>6</w:t>
      </w:r>
      <w:r>
        <w:rPr>
          <w:rFonts w:hint="default" w:ascii="Times New Roman" w:hAnsi="Times New Roman" w:eastAsia="仿宋_GB2312" w:cs="Times New Roman"/>
          <w:b w:val="0"/>
          <w:bCs w:val="0"/>
          <w:color w:val="auto"/>
          <w:sz w:val="36"/>
          <w:szCs w:val="36"/>
          <w:u w:val="single"/>
        </w:rPr>
        <w:t>年</w:t>
      </w:r>
      <w:r>
        <w:rPr>
          <w:rFonts w:hint="default" w:ascii="Times New Roman" w:hAnsi="Times New Roman" w:eastAsia="仿宋_GB2312" w:cs="Times New Roman"/>
          <w:b w:val="0"/>
          <w:bCs w:val="0"/>
          <w:color w:val="auto"/>
          <w:sz w:val="36"/>
          <w:szCs w:val="36"/>
          <w:u w:val="single"/>
          <w:lang w:val="en-US" w:eastAsia="zh-CN"/>
        </w:rPr>
        <w:t>1</w:t>
      </w:r>
      <w:r>
        <w:rPr>
          <w:rFonts w:hint="default" w:ascii="Times New Roman" w:hAnsi="Times New Roman" w:eastAsia="仿宋_GB2312" w:cs="Times New Roman"/>
          <w:b w:val="0"/>
          <w:bCs w:val="0"/>
          <w:color w:val="auto"/>
          <w:sz w:val="36"/>
          <w:szCs w:val="36"/>
          <w:u w:val="single"/>
        </w:rPr>
        <w:t>月</w:t>
      </w:r>
      <w:r>
        <w:rPr>
          <w:rFonts w:hint="default" w:ascii="Times New Roman" w:hAnsi="Times New Roman" w:eastAsia="仿宋_GB2312" w:cs="Times New Roman"/>
          <w:b w:val="0"/>
          <w:bCs w:val="0"/>
          <w:color w:val="auto"/>
          <w:sz w:val="36"/>
          <w:szCs w:val="36"/>
          <w:u w:val="single"/>
          <w:lang w:val="en-US" w:eastAsia="zh-CN"/>
        </w:rPr>
        <w:t xml:space="preserve"> </w:t>
      </w:r>
      <w:r>
        <w:rPr>
          <w:rFonts w:hint="eastAsia" w:ascii="Times New Roman" w:hAnsi="Times New Roman" w:eastAsia="仿宋_GB2312" w:cs="Times New Roman"/>
          <w:b w:val="0"/>
          <w:bCs w:val="0"/>
          <w:color w:val="auto"/>
          <w:sz w:val="36"/>
          <w:szCs w:val="36"/>
          <w:u w:val="single"/>
          <w:lang w:val="en-US" w:eastAsia="zh-CN"/>
        </w:rPr>
        <w:t xml:space="preserve"> </w:t>
      </w:r>
      <w:r>
        <w:rPr>
          <w:rFonts w:hint="default" w:ascii="Times New Roman" w:hAnsi="Times New Roman" w:eastAsia="仿宋_GB2312" w:cs="Times New Roman"/>
          <w:b w:val="0"/>
          <w:bCs w:val="0"/>
          <w:color w:val="auto"/>
          <w:sz w:val="36"/>
          <w:szCs w:val="36"/>
          <w:u w:val="single"/>
          <w:lang w:val="en-US" w:eastAsia="zh-CN"/>
        </w:rPr>
        <w:t xml:space="preserve"> </w:t>
      </w:r>
    </w:p>
    <w:p w14:paraId="140C80BF">
      <w:pPr>
        <w:adjustRightInd w:val="0"/>
        <w:snapToGrid w:val="0"/>
        <w:spacing w:line="288" w:lineRule="auto"/>
        <w:ind w:firstLine="1040"/>
        <w:rPr>
          <w:rFonts w:ascii="仿宋_GB2312" w:eastAsia="仿宋_GB2312"/>
          <w:color w:val="auto"/>
          <w:sz w:val="36"/>
          <w:szCs w:val="36"/>
          <w:u w:val="thick"/>
        </w:rPr>
      </w:pPr>
      <w:bookmarkStart w:id="1" w:name="_Hlk57884087"/>
    </w:p>
    <w:p w14:paraId="03DB4BF2">
      <w:pPr>
        <w:adjustRightInd w:val="0"/>
        <w:snapToGrid w:val="0"/>
        <w:spacing w:line="288" w:lineRule="auto"/>
        <w:ind w:firstLine="1040"/>
        <w:rPr>
          <w:rFonts w:ascii="仿宋_GB2312" w:eastAsia="仿宋_GB2312"/>
          <w:color w:val="auto"/>
          <w:sz w:val="36"/>
          <w:szCs w:val="36"/>
        </w:rPr>
      </w:pPr>
    </w:p>
    <w:p w14:paraId="03CE5AA7">
      <w:pPr>
        <w:adjustRightInd w:val="0"/>
        <w:snapToGrid w:val="0"/>
        <w:spacing w:line="288" w:lineRule="auto"/>
        <w:ind w:firstLine="1040"/>
        <w:rPr>
          <w:rFonts w:ascii="仿宋_GB2312" w:eastAsia="仿宋_GB2312"/>
          <w:color w:val="auto"/>
          <w:sz w:val="36"/>
          <w:szCs w:val="36"/>
        </w:rPr>
      </w:pPr>
    </w:p>
    <w:p w14:paraId="16F9A65B">
      <w:pPr>
        <w:adjustRightInd w:val="0"/>
        <w:snapToGrid w:val="0"/>
        <w:spacing w:line="288" w:lineRule="auto"/>
        <w:ind w:firstLine="1040"/>
        <w:rPr>
          <w:rFonts w:ascii="仿宋_GB2312" w:eastAsia="仿宋_GB2312"/>
          <w:color w:val="auto"/>
          <w:sz w:val="36"/>
          <w:szCs w:val="36"/>
        </w:rPr>
      </w:pPr>
    </w:p>
    <w:p w14:paraId="01244418">
      <w:pPr>
        <w:pStyle w:val="10"/>
        <w:rPr>
          <w:rFonts w:ascii="仿宋_GB2312" w:eastAsia="仿宋_GB2312"/>
          <w:color w:val="auto"/>
          <w:sz w:val="36"/>
          <w:szCs w:val="36"/>
        </w:rPr>
      </w:pPr>
    </w:p>
    <w:p w14:paraId="7C456E28">
      <w:pPr>
        <w:rPr>
          <w:color w:val="auto"/>
        </w:rPr>
      </w:pPr>
    </w:p>
    <w:p w14:paraId="6944D925">
      <w:pPr>
        <w:adjustRightInd w:val="0"/>
        <w:snapToGrid w:val="0"/>
        <w:spacing w:line="288" w:lineRule="auto"/>
        <w:ind w:firstLine="1040"/>
        <w:rPr>
          <w:rFonts w:ascii="仿宋_GB2312" w:eastAsia="仿宋_GB2312"/>
          <w:color w:val="auto"/>
          <w:sz w:val="36"/>
          <w:szCs w:val="36"/>
        </w:rPr>
      </w:pPr>
    </w:p>
    <w:bookmarkEnd w:id="1"/>
    <w:p w14:paraId="28349CF2">
      <w:pPr>
        <w:adjustRightInd w:val="0"/>
        <w:snapToGrid w:val="0"/>
        <w:spacing w:line="288" w:lineRule="auto"/>
        <w:jc w:val="center"/>
        <w:outlineLvl w:val="9"/>
        <w:rPr>
          <w:rFonts w:ascii="楷体_GB2312" w:eastAsia="楷体_GB2312"/>
          <w:color w:val="auto"/>
          <w:sz w:val="36"/>
          <w:szCs w:val="36"/>
        </w:rPr>
      </w:pPr>
      <w:bookmarkStart w:id="2" w:name="_Toc17131"/>
      <w:r>
        <w:rPr>
          <w:rFonts w:hint="eastAsia" w:ascii="楷体_GB2312" w:eastAsia="楷体_GB2312"/>
          <w:color w:val="auto"/>
          <w:sz w:val="36"/>
          <w:szCs w:val="36"/>
        </w:rPr>
        <w:t>中华人民共和国生态环境部制</w:t>
      </w:r>
      <w:bookmarkEnd w:id="2"/>
    </w:p>
    <w:p w14:paraId="2CAB34A9">
      <w:pPr>
        <w:rPr>
          <w:rFonts w:ascii="仿宋_GB2312" w:eastAsia="仿宋_GB2312"/>
          <w:color w:val="auto"/>
          <w:sz w:val="36"/>
          <w:szCs w:val="36"/>
        </w:rPr>
      </w:pPr>
      <w:r>
        <w:rPr>
          <w:rFonts w:ascii="仿宋_GB2312" w:eastAsia="仿宋_GB2312"/>
          <w:color w:val="auto"/>
          <w:sz w:val="36"/>
          <w:szCs w:val="36"/>
        </w:rPr>
        <w:br w:type="page"/>
      </w:r>
    </w:p>
    <w:p w14:paraId="04B6D255">
      <w:pPr>
        <w:pStyle w:val="2"/>
        <w:rPr>
          <w:color w:val="auto"/>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bookmarkStart w:id="99" w:name="_GoBack"/>
    </w:p>
    <w:sdt>
      <w:sdtPr>
        <w:rPr>
          <w:rFonts w:ascii="宋体" w:hAnsi="宋体" w:eastAsia="宋体" w:cs="Times New Roman"/>
          <w:color w:val="auto"/>
          <w:kern w:val="2"/>
          <w:sz w:val="21"/>
          <w:szCs w:val="24"/>
          <w:lang w:val="en-US" w:eastAsia="zh-CN" w:bidi="ar-SA"/>
        </w:rPr>
        <w:id w:val="147478727"/>
        <w15:color w:val="DBDBDB"/>
        <w:docPartObj>
          <w:docPartGallery w:val="Table of Contents"/>
          <w:docPartUnique/>
        </w:docPartObj>
      </w:sdtPr>
      <w:sdtEndPr>
        <w:rPr>
          <w:rFonts w:hint="default" w:ascii="Times New Roman" w:hAnsi="Times New Roman" w:eastAsia="宋体" w:cs="Times New Roman"/>
          <w:color w:val="auto"/>
          <w:kern w:val="0"/>
          <w:sz w:val="24"/>
          <w:szCs w:val="20"/>
          <w:lang w:val="en-US" w:eastAsia="zh-CN" w:bidi="ar-SA"/>
        </w:rPr>
      </w:sdtEndPr>
      <w:sdtContent>
        <w:p w14:paraId="316616F0">
          <w:pPr>
            <w:spacing w:before="0" w:beforeLines="0" w:after="0" w:afterLines="0" w:line="240" w:lineRule="auto"/>
            <w:ind w:left="0" w:leftChars="0" w:right="0" w:rightChars="0" w:firstLine="0" w:firstLineChars="0"/>
            <w:jc w:val="center"/>
            <w:rPr>
              <w:b/>
              <w:bCs/>
              <w:color w:val="auto"/>
              <w:sz w:val="30"/>
              <w:szCs w:val="30"/>
            </w:rPr>
          </w:pPr>
          <w:r>
            <w:rPr>
              <w:rFonts w:ascii="宋体" w:hAnsi="宋体" w:eastAsia="宋体"/>
              <w:b/>
              <w:bCs/>
              <w:color w:val="auto"/>
              <w:sz w:val="30"/>
              <w:szCs w:val="30"/>
            </w:rPr>
            <w:t>目录</w:t>
          </w:r>
        </w:p>
        <w:bookmarkEnd w:id="99"/>
        <w:p w14:paraId="1C2CA702">
          <w:pPr>
            <w:pStyle w:val="17"/>
            <w:tabs>
              <w:tab w:val="right" w:leader="dot" w:pos="8844"/>
            </w:tabs>
            <w:spacing w:line="360" w:lineRule="auto"/>
            <w:rPr>
              <w:rFonts w:hint="default" w:ascii="Times New Roman" w:hAnsi="Times New Roman" w:eastAsia="宋体" w:cs="Times New Roman"/>
              <w:b/>
              <w:bCs/>
              <w:color w:val="auto"/>
              <w:sz w:val="30"/>
              <w:szCs w:val="30"/>
            </w:rPr>
          </w:pPr>
          <w:r>
            <w:rPr>
              <w:rFonts w:hint="default" w:ascii="Times New Roman" w:hAnsi="Times New Roman" w:eastAsia="宋体" w:cs="Times New Roman"/>
              <w:color w:val="auto"/>
              <w:sz w:val="30"/>
              <w:szCs w:val="30"/>
            </w:rPr>
            <w:fldChar w:fldCharType="begin"/>
          </w:r>
          <w:r>
            <w:rPr>
              <w:rFonts w:hint="default" w:ascii="Times New Roman" w:hAnsi="Times New Roman" w:eastAsia="宋体" w:cs="Times New Roman"/>
              <w:color w:val="auto"/>
              <w:sz w:val="30"/>
              <w:szCs w:val="30"/>
            </w:rPr>
            <w:instrText xml:space="preserve">TOC \o "1-1" \h \u </w:instrText>
          </w:r>
          <w:r>
            <w:rPr>
              <w:rFonts w:hint="default" w:ascii="Times New Roman" w:hAnsi="Times New Roman" w:eastAsia="宋体" w:cs="Times New Roman"/>
              <w:color w:val="auto"/>
              <w:sz w:val="30"/>
              <w:szCs w:val="30"/>
            </w:rPr>
            <w:fldChar w:fldCharType="separate"/>
          </w:r>
          <w:r>
            <w:rPr>
              <w:rFonts w:hint="default" w:ascii="Times New Roman" w:hAnsi="Times New Roman" w:eastAsia="宋体" w:cs="Times New Roman"/>
              <w:b/>
              <w:bCs/>
              <w:color w:val="auto"/>
              <w:sz w:val="30"/>
              <w:szCs w:val="30"/>
            </w:rPr>
            <w:fldChar w:fldCharType="begin"/>
          </w:r>
          <w:r>
            <w:rPr>
              <w:rFonts w:hint="default" w:ascii="Times New Roman" w:hAnsi="Times New Roman" w:eastAsia="宋体" w:cs="Times New Roman"/>
              <w:b/>
              <w:bCs/>
              <w:color w:val="auto"/>
              <w:sz w:val="30"/>
              <w:szCs w:val="30"/>
            </w:rPr>
            <w:instrText xml:space="preserve"> HYPERLINK \l _Toc25773 </w:instrText>
          </w:r>
          <w:r>
            <w:rPr>
              <w:rFonts w:hint="default" w:ascii="Times New Roman" w:hAnsi="Times New Roman" w:eastAsia="宋体" w:cs="Times New Roman"/>
              <w:b/>
              <w:bCs/>
              <w:color w:val="auto"/>
              <w:sz w:val="30"/>
              <w:szCs w:val="30"/>
            </w:rPr>
            <w:fldChar w:fldCharType="separate"/>
          </w:r>
          <w:r>
            <w:rPr>
              <w:rFonts w:hint="default" w:ascii="Times New Roman" w:hAnsi="Times New Roman" w:eastAsia="宋体" w:cs="Times New Roman"/>
              <w:b/>
              <w:bCs/>
              <w:snapToGrid w:val="0"/>
              <w:color w:val="auto"/>
              <w:sz w:val="30"/>
              <w:szCs w:val="30"/>
            </w:rPr>
            <w:t>一、建设项目基本情况</w:t>
          </w:r>
          <w:r>
            <w:rPr>
              <w:rFonts w:hint="default" w:ascii="Times New Roman" w:hAnsi="Times New Roman" w:eastAsia="宋体" w:cs="Times New Roman"/>
              <w:b/>
              <w:bCs/>
              <w:color w:val="auto"/>
              <w:sz w:val="30"/>
              <w:szCs w:val="30"/>
            </w:rPr>
            <w:tab/>
          </w:r>
          <w:r>
            <w:rPr>
              <w:rFonts w:hint="default" w:ascii="Times New Roman" w:hAnsi="Times New Roman" w:eastAsia="宋体" w:cs="Times New Roman"/>
              <w:b/>
              <w:bCs/>
              <w:color w:val="auto"/>
              <w:sz w:val="30"/>
              <w:szCs w:val="30"/>
            </w:rPr>
            <w:fldChar w:fldCharType="begin"/>
          </w:r>
          <w:r>
            <w:rPr>
              <w:rFonts w:hint="default" w:ascii="Times New Roman" w:hAnsi="Times New Roman" w:eastAsia="宋体" w:cs="Times New Roman"/>
              <w:b/>
              <w:bCs/>
              <w:color w:val="auto"/>
              <w:sz w:val="30"/>
              <w:szCs w:val="30"/>
            </w:rPr>
            <w:instrText xml:space="preserve"> PAGEREF _Toc25773 \h </w:instrText>
          </w:r>
          <w:r>
            <w:rPr>
              <w:rFonts w:hint="default" w:ascii="Times New Roman" w:hAnsi="Times New Roman" w:eastAsia="宋体" w:cs="Times New Roman"/>
              <w:b/>
              <w:bCs/>
              <w:color w:val="auto"/>
              <w:sz w:val="30"/>
              <w:szCs w:val="30"/>
            </w:rPr>
            <w:fldChar w:fldCharType="separate"/>
          </w:r>
          <w:r>
            <w:rPr>
              <w:rFonts w:hint="default" w:ascii="Times New Roman" w:hAnsi="Times New Roman" w:eastAsia="宋体" w:cs="Times New Roman"/>
              <w:b/>
              <w:bCs/>
              <w:color w:val="auto"/>
              <w:sz w:val="30"/>
              <w:szCs w:val="30"/>
            </w:rPr>
            <w:t>- 1 -</w:t>
          </w:r>
          <w:r>
            <w:rPr>
              <w:rFonts w:hint="default" w:ascii="Times New Roman" w:hAnsi="Times New Roman" w:eastAsia="宋体" w:cs="Times New Roman"/>
              <w:b/>
              <w:bCs/>
              <w:color w:val="auto"/>
              <w:sz w:val="30"/>
              <w:szCs w:val="30"/>
            </w:rPr>
            <w:fldChar w:fldCharType="end"/>
          </w:r>
          <w:r>
            <w:rPr>
              <w:rFonts w:hint="default" w:ascii="Times New Roman" w:hAnsi="Times New Roman" w:eastAsia="宋体" w:cs="Times New Roman"/>
              <w:b/>
              <w:bCs/>
              <w:color w:val="auto"/>
              <w:sz w:val="30"/>
              <w:szCs w:val="30"/>
            </w:rPr>
            <w:fldChar w:fldCharType="end"/>
          </w:r>
        </w:p>
        <w:p w14:paraId="12566D00">
          <w:pPr>
            <w:pStyle w:val="17"/>
            <w:tabs>
              <w:tab w:val="right" w:leader="dot" w:pos="8844"/>
            </w:tabs>
            <w:spacing w:line="360" w:lineRule="auto"/>
            <w:rPr>
              <w:rFonts w:hint="default" w:ascii="Times New Roman" w:hAnsi="Times New Roman" w:eastAsia="宋体" w:cs="Times New Roman"/>
              <w:b/>
              <w:bCs/>
              <w:color w:val="auto"/>
              <w:sz w:val="30"/>
              <w:szCs w:val="30"/>
            </w:rPr>
          </w:pPr>
          <w:r>
            <w:rPr>
              <w:rFonts w:hint="default" w:ascii="Times New Roman" w:hAnsi="Times New Roman" w:eastAsia="宋体" w:cs="Times New Roman"/>
              <w:b/>
              <w:bCs/>
              <w:color w:val="auto"/>
              <w:sz w:val="30"/>
              <w:szCs w:val="30"/>
            </w:rPr>
            <w:fldChar w:fldCharType="begin"/>
          </w:r>
          <w:r>
            <w:rPr>
              <w:rFonts w:hint="default" w:ascii="Times New Roman" w:hAnsi="Times New Roman" w:eastAsia="宋体" w:cs="Times New Roman"/>
              <w:b/>
              <w:bCs/>
              <w:color w:val="auto"/>
              <w:sz w:val="30"/>
              <w:szCs w:val="30"/>
            </w:rPr>
            <w:instrText xml:space="preserve"> HYPERLINK \l _Toc15219 </w:instrText>
          </w:r>
          <w:r>
            <w:rPr>
              <w:rFonts w:hint="default" w:ascii="Times New Roman" w:hAnsi="Times New Roman" w:eastAsia="宋体" w:cs="Times New Roman"/>
              <w:b/>
              <w:bCs/>
              <w:color w:val="auto"/>
              <w:sz w:val="30"/>
              <w:szCs w:val="30"/>
            </w:rPr>
            <w:fldChar w:fldCharType="separate"/>
          </w:r>
          <w:r>
            <w:rPr>
              <w:rFonts w:hint="default" w:ascii="Times New Roman" w:hAnsi="Times New Roman" w:eastAsia="宋体" w:cs="Times New Roman"/>
              <w:b/>
              <w:bCs/>
              <w:snapToGrid w:val="0"/>
              <w:color w:val="auto"/>
              <w:sz w:val="30"/>
              <w:szCs w:val="30"/>
            </w:rPr>
            <w:t>二、建设项目工程分析</w:t>
          </w:r>
          <w:r>
            <w:rPr>
              <w:rFonts w:hint="default" w:ascii="Times New Roman" w:hAnsi="Times New Roman" w:eastAsia="宋体" w:cs="Times New Roman"/>
              <w:b/>
              <w:bCs/>
              <w:color w:val="auto"/>
              <w:sz w:val="30"/>
              <w:szCs w:val="30"/>
            </w:rPr>
            <w:tab/>
          </w:r>
          <w:r>
            <w:rPr>
              <w:rFonts w:hint="default" w:ascii="Times New Roman" w:hAnsi="Times New Roman" w:eastAsia="宋体" w:cs="Times New Roman"/>
              <w:b/>
              <w:bCs/>
              <w:color w:val="auto"/>
              <w:sz w:val="30"/>
              <w:szCs w:val="30"/>
            </w:rPr>
            <w:fldChar w:fldCharType="begin"/>
          </w:r>
          <w:r>
            <w:rPr>
              <w:rFonts w:hint="default" w:ascii="Times New Roman" w:hAnsi="Times New Roman" w:eastAsia="宋体" w:cs="Times New Roman"/>
              <w:b/>
              <w:bCs/>
              <w:color w:val="auto"/>
              <w:sz w:val="30"/>
              <w:szCs w:val="30"/>
            </w:rPr>
            <w:instrText xml:space="preserve"> PAGEREF _Toc15219 \h </w:instrText>
          </w:r>
          <w:r>
            <w:rPr>
              <w:rFonts w:hint="default" w:ascii="Times New Roman" w:hAnsi="Times New Roman" w:eastAsia="宋体" w:cs="Times New Roman"/>
              <w:b/>
              <w:bCs/>
              <w:color w:val="auto"/>
              <w:sz w:val="30"/>
              <w:szCs w:val="30"/>
            </w:rPr>
            <w:fldChar w:fldCharType="separate"/>
          </w:r>
          <w:r>
            <w:rPr>
              <w:rFonts w:hint="default" w:ascii="Times New Roman" w:hAnsi="Times New Roman" w:eastAsia="宋体" w:cs="Times New Roman"/>
              <w:b/>
              <w:bCs/>
              <w:color w:val="auto"/>
              <w:sz w:val="30"/>
              <w:szCs w:val="30"/>
            </w:rPr>
            <w:t>- 29 -</w:t>
          </w:r>
          <w:r>
            <w:rPr>
              <w:rFonts w:hint="default" w:ascii="Times New Roman" w:hAnsi="Times New Roman" w:eastAsia="宋体" w:cs="Times New Roman"/>
              <w:b/>
              <w:bCs/>
              <w:color w:val="auto"/>
              <w:sz w:val="30"/>
              <w:szCs w:val="30"/>
            </w:rPr>
            <w:fldChar w:fldCharType="end"/>
          </w:r>
          <w:r>
            <w:rPr>
              <w:rFonts w:hint="default" w:ascii="Times New Roman" w:hAnsi="Times New Roman" w:eastAsia="宋体" w:cs="Times New Roman"/>
              <w:b/>
              <w:bCs/>
              <w:color w:val="auto"/>
              <w:sz w:val="30"/>
              <w:szCs w:val="30"/>
            </w:rPr>
            <w:fldChar w:fldCharType="end"/>
          </w:r>
        </w:p>
        <w:p w14:paraId="7DE2B00D">
          <w:pPr>
            <w:pStyle w:val="17"/>
            <w:tabs>
              <w:tab w:val="right" w:leader="dot" w:pos="8844"/>
            </w:tabs>
            <w:spacing w:line="360" w:lineRule="auto"/>
            <w:rPr>
              <w:rFonts w:hint="default" w:ascii="Times New Roman" w:hAnsi="Times New Roman" w:eastAsia="宋体" w:cs="Times New Roman"/>
              <w:b/>
              <w:bCs/>
              <w:color w:val="auto"/>
              <w:sz w:val="30"/>
              <w:szCs w:val="30"/>
            </w:rPr>
          </w:pPr>
          <w:r>
            <w:rPr>
              <w:rFonts w:hint="default" w:ascii="Times New Roman" w:hAnsi="Times New Roman" w:eastAsia="宋体" w:cs="Times New Roman"/>
              <w:b/>
              <w:bCs/>
              <w:color w:val="auto"/>
              <w:sz w:val="30"/>
              <w:szCs w:val="30"/>
            </w:rPr>
            <w:fldChar w:fldCharType="begin"/>
          </w:r>
          <w:r>
            <w:rPr>
              <w:rFonts w:hint="default" w:ascii="Times New Roman" w:hAnsi="Times New Roman" w:eastAsia="宋体" w:cs="Times New Roman"/>
              <w:b/>
              <w:bCs/>
              <w:color w:val="auto"/>
              <w:sz w:val="30"/>
              <w:szCs w:val="30"/>
            </w:rPr>
            <w:instrText xml:space="preserve"> HYPERLINK \l _Toc8772 </w:instrText>
          </w:r>
          <w:r>
            <w:rPr>
              <w:rFonts w:hint="default" w:ascii="Times New Roman" w:hAnsi="Times New Roman" w:eastAsia="宋体" w:cs="Times New Roman"/>
              <w:b/>
              <w:bCs/>
              <w:color w:val="auto"/>
              <w:sz w:val="30"/>
              <w:szCs w:val="30"/>
            </w:rPr>
            <w:fldChar w:fldCharType="separate"/>
          </w:r>
          <w:r>
            <w:rPr>
              <w:rFonts w:hint="default" w:ascii="Times New Roman" w:hAnsi="Times New Roman" w:eastAsia="宋体" w:cs="Times New Roman"/>
              <w:b/>
              <w:bCs/>
              <w:snapToGrid w:val="0"/>
              <w:color w:val="auto"/>
              <w:sz w:val="30"/>
              <w:szCs w:val="30"/>
            </w:rPr>
            <w:t>三、区域环境质量现状、环境保护目标及评价标准</w:t>
          </w:r>
          <w:r>
            <w:rPr>
              <w:rFonts w:hint="default" w:ascii="Times New Roman" w:hAnsi="Times New Roman" w:eastAsia="宋体" w:cs="Times New Roman"/>
              <w:b/>
              <w:bCs/>
              <w:color w:val="auto"/>
              <w:sz w:val="30"/>
              <w:szCs w:val="30"/>
            </w:rPr>
            <w:tab/>
          </w:r>
          <w:r>
            <w:rPr>
              <w:rFonts w:hint="default" w:ascii="Times New Roman" w:hAnsi="Times New Roman" w:eastAsia="宋体" w:cs="Times New Roman"/>
              <w:b/>
              <w:bCs/>
              <w:color w:val="auto"/>
              <w:sz w:val="30"/>
              <w:szCs w:val="30"/>
            </w:rPr>
            <w:fldChar w:fldCharType="begin"/>
          </w:r>
          <w:r>
            <w:rPr>
              <w:rFonts w:hint="default" w:ascii="Times New Roman" w:hAnsi="Times New Roman" w:eastAsia="宋体" w:cs="Times New Roman"/>
              <w:b/>
              <w:bCs/>
              <w:color w:val="auto"/>
              <w:sz w:val="30"/>
              <w:szCs w:val="30"/>
            </w:rPr>
            <w:instrText xml:space="preserve"> PAGEREF _Toc8772 \h </w:instrText>
          </w:r>
          <w:r>
            <w:rPr>
              <w:rFonts w:hint="default" w:ascii="Times New Roman" w:hAnsi="Times New Roman" w:eastAsia="宋体" w:cs="Times New Roman"/>
              <w:b/>
              <w:bCs/>
              <w:color w:val="auto"/>
              <w:sz w:val="30"/>
              <w:szCs w:val="30"/>
            </w:rPr>
            <w:fldChar w:fldCharType="separate"/>
          </w:r>
          <w:r>
            <w:rPr>
              <w:rFonts w:hint="default" w:ascii="Times New Roman" w:hAnsi="Times New Roman" w:eastAsia="宋体" w:cs="Times New Roman"/>
              <w:b/>
              <w:bCs/>
              <w:color w:val="auto"/>
              <w:sz w:val="30"/>
              <w:szCs w:val="30"/>
            </w:rPr>
            <w:t>- 63 -</w:t>
          </w:r>
          <w:r>
            <w:rPr>
              <w:rFonts w:hint="default" w:ascii="Times New Roman" w:hAnsi="Times New Roman" w:eastAsia="宋体" w:cs="Times New Roman"/>
              <w:b/>
              <w:bCs/>
              <w:color w:val="auto"/>
              <w:sz w:val="30"/>
              <w:szCs w:val="30"/>
            </w:rPr>
            <w:fldChar w:fldCharType="end"/>
          </w:r>
          <w:r>
            <w:rPr>
              <w:rFonts w:hint="default" w:ascii="Times New Roman" w:hAnsi="Times New Roman" w:eastAsia="宋体" w:cs="Times New Roman"/>
              <w:b/>
              <w:bCs/>
              <w:color w:val="auto"/>
              <w:sz w:val="30"/>
              <w:szCs w:val="30"/>
            </w:rPr>
            <w:fldChar w:fldCharType="end"/>
          </w:r>
        </w:p>
        <w:p w14:paraId="53CEA315">
          <w:pPr>
            <w:pStyle w:val="17"/>
            <w:tabs>
              <w:tab w:val="right" w:leader="dot" w:pos="8844"/>
            </w:tabs>
            <w:spacing w:line="360" w:lineRule="auto"/>
            <w:rPr>
              <w:rFonts w:hint="default" w:ascii="Times New Roman" w:hAnsi="Times New Roman" w:eastAsia="宋体" w:cs="Times New Roman"/>
              <w:b/>
              <w:bCs/>
              <w:color w:val="auto"/>
              <w:sz w:val="30"/>
              <w:szCs w:val="30"/>
            </w:rPr>
          </w:pPr>
          <w:r>
            <w:rPr>
              <w:rFonts w:hint="default" w:ascii="Times New Roman" w:hAnsi="Times New Roman" w:eastAsia="宋体" w:cs="Times New Roman"/>
              <w:b/>
              <w:bCs/>
              <w:color w:val="auto"/>
              <w:sz w:val="30"/>
              <w:szCs w:val="30"/>
            </w:rPr>
            <w:fldChar w:fldCharType="begin"/>
          </w:r>
          <w:r>
            <w:rPr>
              <w:rFonts w:hint="default" w:ascii="Times New Roman" w:hAnsi="Times New Roman" w:eastAsia="宋体" w:cs="Times New Roman"/>
              <w:b/>
              <w:bCs/>
              <w:color w:val="auto"/>
              <w:sz w:val="30"/>
              <w:szCs w:val="30"/>
            </w:rPr>
            <w:instrText xml:space="preserve"> HYPERLINK \l _Toc20120 </w:instrText>
          </w:r>
          <w:r>
            <w:rPr>
              <w:rFonts w:hint="default" w:ascii="Times New Roman" w:hAnsi="Times New Roman" w:eastAsia="宋体" w:cs="Times New Roman"/>
              <w:b/>
              <w:bCs/>
              <w:color w:val="auto"/>
              <w:sz w:val="30"/>
              <w:szCs w:val="30"/>
            </w:rPr>
            <w:fldChar w:fldCharType="separate"/>
          </w:r>
          <w:r>
            <w:rPr>
              <w:rFonts w:hint="default" w:ascii="Times New Roman" w:hAnsi="Times New Roman" w:eastAsia="宋体" w:cs="Times New Roman"/>
              <w:b/>
              <w:bCs/>
              <w:snapToGrid w:val="0"/>
              <w:color w:val="auto"/>
              <w:sz w:val="30"/>
              <w:szCs w:val="30"/>
              <w:lang w:val="en-US" w:eastAsia="zh-CN"/>
            </w:rPr>
            <w:t>四、</w:t>
          </w:r>
          <w:r>
            <w:rPr>
              <w:rFonts w:hint="default" w:ascii="Times New Roman" w:hAnsi="Times New Roman" w:eastAsia="宋体" w:cs="Times New Roman"/>
              <w:b/>
              <w:bCs/>
              <w:snapToGrid w:val="0"/>
              <w:color w:val="auto"/>
              <w:sz w:val="30"/>
              <w:szCs w:val="30"/>
            </w:rPr>
            <w:t>主要环境影响和保护措施</w:t>
          </w:r>
          <w:r>
            <w:rPr>
              <w:rFonts w:hint="default" w:ascii="Times New Roman" w:hAnsi="Times New Roman" w:eastAsia="宋体" w:cs="Times New Roman"/>
              <w:b/>
              <w:bCs/>
              <w:color w:val="auto"/>
              <w:sz w:val="30"/>
              <w:szCs w:val="30"/>
            </w:rPr>
            <w:tab/>
          </w:r>
          <w:r>
            <w:rPr>
              <w:rFonts w:hint="default" w:ascii="Times New Roman" w:hAnsi="Times New Roman" w:eastAsia="宋体" w:cs="Times New Roman"/>
              <w:b/>
              <w:bCs/>
              <w:color w:val="auto"/>
              <w:sz w:val="30"/>
              <w:szCs w:val="30"/>
            </w:rPr>
            <w:fldChar w:fldCharType="begin"/>
          </w:r>
          <w:r>
            <w:rPr>
              <w:rFonts w:hint="default" w:ascii="Times New Roman" w:hAnsi="Times New Roman" w:eastAsia="宋体" w:cs="Times New Roman"/>
              <w:b/>
              <w:bCs/>
              <w:color w:val="auto"/>
              <w:sz w:val="30"/>
              <w:szCs w:val="30"/>
            </w:rPr>
            <w:instrText xml:space="preserve"> PAGEREF _Toc20120 \h </w:instrText>
          </w:r>
          <w:r>
            <w:rPr>
              <w:rFonts w:hint="default" w:ascii="Times New Roman" w:hAnsi="Times New Roman" w:eastAsia="宋体" w:cs="Times New Roman"/>
              <w:b/>
              <w:bCs/>
              <w:color w:val="auto"/>
              <w:sz w:val="30"/>
              <w:szCs w:val="30"/>
            </w:rPr>
            <w:fldChar w:fldCharType="separate"/>
          </w:r>
          <w:r>
            <w:rPr>
              <w:rFonts w:hint="default" w:ascii="Times New Roman" w:hAnsi="Times New Roman" w:eastAsia="宋体" w:cs="Times New Roman"/>
              <w:b/>
              <w:bCs/>
              <w:color w:val="auto"/>
              <w:sz w:val="30"/>
              <w:szCs w:val="30"/>
            </w:rPr>
            <w:t>- 72 -</w:t>
          </w:r>
          <w:r>
            <w:rPr>
              <w:rFonts w:hint="default" w:ascii="Times New Roman" w:hAnsi="Times New Roman" w:eastAsia="宋体" w:cs="Times New Roman"/>
              <w:b/>
              <w:bCs/>
              <w:color w:val="auto"/>
              <w:sz w:val="30"/>
              <w:szCs w:val="30"/>
            </w:rPr>
            <w:fldChar w:fldCharType="end"/>
          </w:r>
          <w:r>
            <w:rPr>
              <w:rFonts w:hint="default" w:ascii="Times New Roman" w:hAnsi="Times New Roman" w:eastAsia="宋体" w:cs="Times New Roman"/>
              <w:b/>
              <w:bCs/>
              <w:color w:val="auto"/>
              <w:sz w:val="30"/>
              <w:szCs w:val="30"/>
            </w:rPr>
            <w:fldChar w:fldCharType="end"/>
          </w:r>
        </w:p>
        <w:p w14:paraId="7252B933">
          <w:pPr>
            <w:pStyle w:val="17"/>
            <w:tabs>
              <w:tab w:val="right" w:leader="dot" w:pos="8844"/>
            </w:tabs>
            <w:spacing w:line="360" w:lineRule="auto"/>
            <w:rPr>
              <w:rFonts w:hint="default" w:ascii="Times New Roman" w:hAnsi="Times New Roman" w:eastAsia="宋体" w:cs="Times New Roman"/>
              <w:b/>
              <w:bCs/>
              <w:color w:val="auto"/>
              <w:sz w:val="30"/>
              <w:szCs w:val="30"/>
            </w:rPr>
          </w:pPr>
          <w:r>
            <w:rPr>
              <w:rFonts w:hint="default" w:ascii="Times New Roman" w:hAnsi="Times New Roman" w:eastAsia="宋体" w:cs="Times New Roman"/>
              <w:b/>
              <w:bCs/>
              <w:color w:val="auto"/>
              <w:sz w:val="30"/>
              <w:szCs w:val="30"/>
            </w:rPr>
            <w:fldChar w:fldCharType="begin"/>
          </w:r>
          <w:r>
            <w:rPr>
              <w:rFonts w:hint="default" w:ascii="Times New Roman" w:hAnsi="Times New Roman" w:eastAsia="宋体" w:cs="Times New Roman"/>
              <w:b/>
              <w:bCs/>
              <w:color w:val="auto"/>
              <w:sz w:val="30"/>
              <w:szCs w:val="30"/>
            </w:rPr>
            <w:instrText xml:space="preserve"> HYPERLINK \l _Toc199 </w:instrText>
          </w:r>
          <w:r>
            <w:rPr>
              <w:rFonts w:hint="default" w:ascii="Times New Roman" w:hAnsi="Times New Roman" w:eastAsia="宋体" w:cs="Times New Roman"/>
              <w:b/>
              <w:bCs/>
              <w:color w:val="auto"/>
              <w:sz w:val="30"/>
              <w:szCs w:val="30"/>
            </w:rPr>
            <w:fldChar w:fldCharType="separate"/>
          </w:r>
          <w:r>
            <w:rPr>
              <w:rFonts w:hint="default" w:ascii="Times New Roman" w:hAnsi="Times New Roman" w:eastAsia="宋体" w:cs="Times New Roman"/>
              <w:b/>
              <w:bCs/>
              <w:snapToGrid w:val="0"/>
              <w:color w:val="auto"/>
              <w:sz w:val="30"/>
              <w:szCs w:val="30"/>
            </w:rPr>
            <w:t>五、环境保护措施监督检查清单</w:t>
          </w:r>
          <w:r>
            <w:rPr>
              <w:rFonts w:hint="default" w:ascii="Times New Roman" w:hAnsi="Times New Roman" w:eastAsia="宋体" w:cs="Times New Roman"/>
              <w:b/>
              <w:bCs/>
              <w:color w:val="auto"/>
              <w:sz w:val="30"/>
              <w:szCs w:val="30"/>
            </w:rPr>
            <w:tab/>
          </w:r>
          <w:r>
            <w:rPr>
              <w:rFonts w:hint="default" w:ascii="Times New Roman" w:hAnsi="Times New Roman" w:eastAsia="宋体" w:cs="Times New Roman"/>
              <w:b/>
              <w:bCs/>
              <w:color w:val="auto"/>
              <w:sz w:val="30"/>
              <w:szCs w:val="30"/>
            </w:rPr>
            <w:fldChar w:fldCharType="begin"/>
          </w:r>
          <w:r>
            <w:rPr>
              <w:rFonts w:hint="default" w:ascii="Times New Roman" w:hAnsi="Times New Roman" w:eastAsia="宋体" w:cs="Times New Roman"/>
              <w:b/>
              <w:bCs/>
              <w:color w:val="auto"/>
              <w:sz w:val="30"/>
              <w:szCs w:val="30"/>
            </w:rPr>
            <w:instrText xml:space="preserve"> PAGEREF _Toc199 \h </w:instrText>
          </w:r>
          <w:r>
            <w:rPr>
              <w:rFonts w:hint="default" w:ascii="Times New Roman" w:hAnsi="Times New Roman" w:eastAsia="宋体" w:cs="Times New Roman"/>
              <w:b/>
              <w:bCs/>
              <w:color w:val="auto"/>
              <w:sz w:val="30"/>
              <w:szCs w:val="30"/>
            </w:rPr>
            <w:fldChar w:fldCharType="separate"/>
          </w:r>
          <w:r>
            <w:rPr>
              <w:rFonts w:hint="default" w:ascii="Times New Roman" w:hAnsi="Times New Roman" w:eastAsia="宋体" w:cs="Times New Roman"/>
              <w:b/>
              <w:bCs/>
              <w:color w:val="auto"/>
              <w:sz w:val="30"/>
              <w:szCs w:val="30"/>
            </w:rPr>
            <w:t>- 104 -</w:t>
          </w:r>
          <w:r>
            <w:rPr>
              <w:rFonts w:hint="default" w:ascii="Times New Roman" w:hAnsi="Times New Roman" w:eastAsia="宋体" w:cs="Times New Roman"/>
              <w:b/>
              <w:bCs/>
              <w:color w:val="auto"/>
              <w:sz w:val="30"/>
              <w:szCs w:val="30"/>
            </w:rPr>
            <w:fldChar w:fldCharType="end"/>
          </w:r>
          <w:r>
            <w:rPr>
              <w:rFonts w:hint="default" w:ascii="Times New Roman" w:hAnsi="Times New Roman" w:eastAsia="宋体" w:cs="Times New Roman"/>
              <w:b/>
              <w:bCs/>
              <w:color w:val="auto"/>
              <w:sz w:val="30"/>
              <w:szCs w:val="30"/>
            </w:rPr>
            <w:fldChar w:fldCharType="end"/>
          </w:r>
        </w:p>
        <w:p w14:paraId="6BE9E020">
          <w:pPr>
            <w:pStyle w:val="17"/>
            <w:tabs>
              <w:tab w:val="right" w:leader="dot" w:pos="8844"/>
            </w:tabs>
            <w:spacing w:line="360" w:lineRule="auto"/>
            <w:rPr>
              <w:rFonts w:hint="default" w:ascii="Times New Roman" w:hAnsi="Times New Roman" w:eastAsia="宋体" w:cs="Times New Roman"/>
              <w:b/>
              <w:bCs/>
              <w:color w:val="auto"/>
              <w:sz w:val="30"/>
              <w:szCs w:val="30"/>
            </w:rPr>
          </w:pPr>
          <w:r>
            <w:rPr>
              <w:rFonts w:hint="default" w:ascii="Times New Roman" w:hAnsi="Times New Roman" w:eastAsia="宋体" w:cs="Times New Roman"/>
              <w:b/>
              <w:bCs/>
              <w:color w:val="auto"/>
              <w:sz w:val="30"/>
              <w:szCs w:val="30"/>
            </w:rPr>
            <w:fldChar w:fldCharType="begin"/>
          </w:r>
          <w:r>
            <w:rPr>
              <w:rFonts w:hint="default" w:ascii="Times New Roman" w:hAnsi="Times New Roman" w:eastAsia="宋体" w:cs="Times New Roman"/>
              <w:b/>
              <w:bCs/>
              <w:color w:val="auto"/>
              <w:sz w:val="30"/>
              <w:szCs w:val="30"/>
            </w:rPr>
            <w:instrText xml:space="preserve"> HYPERLINK \l _Toc12959 </w:instrText>
          </w:r>
          <w:r>
            <w:rPr>
              <w:rFonts w:hint="default" w:ascii="Times New Roman" w:hAnsi="Times New Roman" w:eastAsia="宋体" w:cs="Times New Roman"/>
              <w:b/>
              <w:bCs/>
              <w:color w:val="auto"/>
              <w:sz w:val="30"/>
              <w:szCs w:val="30"/>
            </w:rPr>
            <w:fldChar w:fldCharType="separate"/>
          </w:r>
          <w:r>
            <w:rPr>
              <w:rFonts w:hint="default" w:ascii="Times New Roman" w:hAnsi="Times New Roman" w:eastAsia="宋体" w:cs="Times New Roman"/>
              <w:b/>
              <w:bCs/>
              <w:snapToGrid w:val="0"/>
              <w:color w:val="auto"/>
              <w:sz w:val="30"/>
              <w:szCs w:val="30"/>
            </w:rPr>
            <w:t>六、结论</w:t>
          </w:r>
          <w:r>
            <w:rPr>
              <w:rFonts w:hint="default" w:ascii="Times New Roman" w:hAnsi="Times New Roman" w:eastAsia="宋体" w:cs="Times New Roman"/>
              <w:b/>
              <w:bCs/>
              <w:color w:val="auto"/>
              <w:sz w:val="30"/>
              <w:szCs w:val="30"/>
            </w:rPr>
            <w:tab/>
          </w:r>
          <w:r>
            <w:rPr>
              <w:rFonts w:hint="default" w:ascii="Times New Roman" w:hAnsi="Times New Roman" w:eastAsia="宋体" w:cs="Times New Roman"/>
              <w:b/>
              <w:bCs/>
              <w:color w:val="auto"/>
              <w:sz w:val="30"/>
              <w:szCs w:val="30"/>
            </w:rPr>
            <w:fldChar w:fldCharType="begin"/>
          </w:r>
          <w:r>
            <w:rPr>
              <w:rFonts w:hint="default" w:ascii="Times New Roman" w:hAnsi="Times New Roman" w:eastAsia="宋体" w:cs="Times New Roman"/>
              <w:b/>
              <w:bCs/>
              <w:color w:val="auto"/>
              <w:sz w:val="30"/>
              <w:szCs w:val="30"/>
            </w:rPr>
            <w:instrText xml:space="preserve"> PAGEREF _Toc12959 \h </w:instrText>
          </w:r>
          <w:r>
            <w:rPr>
              <w:rFonts w:hint="default" w:ascii="Times New Roman" w:hAnsi="Times New Roman" w:eastAsia="宋体" w:cs="Times New Roman"/>
              <w:b/>
              <w:bCs/>
              <w:color w:val="auto"/>
              <w:sz w:val="30"/>
              <w:szCs w:val="30"/>
            </w:rPr>
            <w:fldChar w:fldCharType="separate"/>
          </w:r>
          <w:r>
            <w:rPr>
              <w:rFonts w:hint="default" w:ascii="Times New Roman" w:hAnsi="Times New Roman" w:eastAsia="宋体" w:cs="Times New Roman"/>
              <w:b/>
              <w:bCs/>
              <w:color w:val="auto"/>
              <w:sz w:val="30"/>
              <w:szCs w:val="30"/>
            </w:rPr>
            <w:t>- 107 -</w:t>
          </w:r>
          <w:r>
            <w:rPr>
              <w:rFonts w:hint="default" w:ascii="Times New Roman" w:hAnsi="Times New Roman" w:eastAsia="宋体" w:cs="Times New Roman"/>
              <w:b/>
              <w:bCs/>
              <w:color w:val="auto"/>
              <w:sz w:val="30"/>
              <w:szCs w:val="30"/>
            </w:rPr>
            <w:fldChar w:fldCharType="end"/>
          </w:r>
          <w:r>
            <w:rPr>
              <w:rFonts w:hint="default" w:ascii="Times New Roman" w:hAnsi="Times New Roman" w:eastAsia="宋体" w:cs="Times New Roman"/>
              <w:b/>
              <w:bCs/>
              <w:color w:val="auto"/>
              <w:sz w:val="30"/>
              <w:szCs w:val="30"/>
            </w:rPr>
            <w:fldChar w:fldCharType="end"/>
          </w:r>
        </w:p>
        <w:p w14:paraId="0C11F3B5">
          <w:pPr>
            <w:pStyle w:val="17"/>
            <w:tabs>
              <w:tab w:val="right" w:leader="dot" w:pos="8844"/>
            </w:tabs>
            <w:spacing w:line="360" w:lineRule="auto"/>
            <w:rPr>
              <w:color w:val="auto"/>
            </w:rPr>
          </w:pPr>
          <w:r>
            <w:rPr>
              <w:rFonts w:hint="default" w:ascii="Times New Roman" w:hAnsi="Times New Roman" w:eastAsia="宋体" w:cs="Times New Roman"/>
              <w:b/>
              <w:bCs/>
              <w:color w:val="auto"/>
              <w:sz w:val="30"/>
              <w:szCs w:val="30"/>
            </w:rPr>
            <w:fldChar w:fldCharType="begin"/>
          </w:r>
          <w:r>
            <w:rPr>
              <w:rFonts w:hint="default" w:ascii="Times New Roman" w:hAnsi="Times New Roman" w:eastAsia="宋体" w:cs="Times New Roman"/>
              <w:b/>
              <w:bCs/>
              <w:color w:val="auto"/>
              <w:sz w:val="30"/>
              <w:szCs w:val="30"/>
            </w:rPr>
            <w:instrText xml:space="preserve"> HYPERLINK \l _Toc5630 </w:instrText>
          </w:r>
          <w:r>
            <w:rPr>
              <w:rFonts w:hint="default" w:ascii="Times New Roman" w:hAnsi="Times New Roman" w:eastAsia="宋体" w:cs="Times New Roman"/>
              <w:b/>
              <w:bCs/>
              <w:color w:val="auto"/>
              <w:sz w:val="30"/>
              <w:szCs w:val="30"/>
            </w:rPr>
            <w:fldChar w:fldCharType="separate"/>
          </w:r>
          <w:r>
            <w:rPr>
              <w:rFonts w:hint="default" w:ascii="Times New Roman" w:hAnsi="Times New Roman" w:eastAsia="宋体" w:cs="Times New Roman"/>
              <w:b/>
              <w:bCs/>
              <w:snapToGrid w:val="0"/>
              <w:color w:val="auto"/>
              <w:sz w:val="30"/>
              <w:szCs w:val="30"/>
            </w:rPr>
            <w:t>附表</w:t>
          </w:r>
          <w:r>
            <w:rPr>
              <w:rFonts w:hint="default" w:ascii="Times New Roman" w:hAnsi="Times New Roman" w:eastAsia="宋体" w:cs="Times New Roman"/>
              <w:b/>
              <w:bCs/>
              <w:color w:val="auto"/>
              <w:sz w:val="30"/>
              <w:szCs w:val="30"/>
            </w:rPr>
            <w:tab/>
          </w:r>
          <w:r>
            <w:rPr>
              <w:rFonts w:hint="default" w:ascii="Times New Roman" w:hAnsi="Times New Roman" w:eastAsia="宋体" w:cs="Times New Roman"/>
              <w:b/>
              <w:bCs/>
              <w:color w:val="auto"/>
              <w:sz w:val="30"/>
              <w:szCs w:val="30"/>
            </w:rPr>
            <w:fldChar w:fldCharType="begin"/>
          </w:r>
          <w:r>
            <w:rPr>
              <w:rFonts w:hint="default" w:ascii="Times New Roman" w:hAnsi="Times New Roman" w:eastAsia="宋体" w:cs="Times New Roman"/>
              <w:b/>
              <w:bCs/>
              <w:color w:val="auto"/>
              <w:sz w:val="30"/>
              <w:szCs w:val="30"/>
            </w:rPr>
            <w:instrText xml:space="preserve"> PAGEREF _Toc5630 \h </w:instrText>
          </w:r>
          <w:r>
            <w:rPr>
              <w:rFonts w:hint="default" w:ascii="Times New Roman" w:hAnsi="Times New Roman" w:eastAsia="宋体" w:cs="Times New Roman"/>
              <w:b/>
              <w:bCs/>
              <w:color w:val="auto"/>
              <w:sz w:val="30"/>
              <w:szCs w:val="30"/>
            </w:rPr>
            <w:fldChar w:fldCharType="separate"/>
          </w:r>
          <w:r>
            <w:rPr>
              <w:rFonts w:hint="default" w:ascii="Times New Roman" w:hAnsi="Times New Roman" w:eastAsia="宋体" w:cs="Times New Roman"/>
              <w:b/>
              <w:bCs/>
              <w:color w:val="auto"/>
              <w:sz w:val="30"/>
              <w:szCs w:val="30"/>
            </w:rPr>
            <w:t>- 108 -</w:t>
          </w:r>
          <w:r>
            <w:rPr>
              <w:rFonts w:hint="default" w:ascii="Times New Roman" w:hAnsi="Times New Roman" w:eastAsia="宋体" w:cs="Times New Roman"/>
              <w:b/>
              <w:bCs/>
              <w:color w:val="auto"/>
              <w:sz w:val="30"/>
              <w:szCs w:val="30"/>
            </w:rPr>
            <w:fldChar w:fldCharType="end"/>
          </w:r>
          <w:r>
            <w:rPr>
              <w:rFonts w:hint="default" w:ascii="Times New Roman" w:hAnsi="Times New Roman" w:eastAsia="宋体" w:cs="Times New Roman"/>
              <w:b/>
              <w:bCs/>
              <w:color w:val="auto"/>
              <w:sz w:val="30"/>
              <w:szCs w:val="30"/>
            </w:rPr>
            <w:fldChar w:fldCharType="end"/>
          </w:r>
        </w:p>
        <w:p w14:paraId="7D620B6D">
          <w:pPr>
            <w:pStyle w:val="21"/>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szCs w:val="30"/>
            </w:rPr>
            <w:fldChar w:fldCharType="end"/>
          </w:r>
        </w:p>
      </w:sdtContent>
    </w:sdt>
    <w:p w14:paraId="1372EF32">
      <w:pPr>
        <w:keepNext w:val="0"/>
        <w:keepLines w:val="0"/>
        <w:pageBreakBefore w:val="0"/>
        <w:widowControl w:val="0"/>
        <w:tabs>
          <w:tab w:val="left" w:pos="262"/>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b/>
          <w:bCs/>
          <w:color w:val="auto"/>
          <w:sz w:val="24"/>
          <w:szCs w:val="24"/>
          <w:highlight w:val="none"/>
          <w:lang w:val="en-US" w:eastAsia="zh-CN"/>
        </w:rPr>
        <w:t>附件：</w:t>
      </w:r>
    </w:p>
    <w:p w14:paraId="4ADA812D">
      <w:pPr>
        <w:keepNext w:val="0"/>
        <w:keepLines w:val="0"/>
        <w:pageBreakBefore w:val="0"/>
        <w:widowControl w:val="0"/>
        <w:tabs>
          <w:tab w:val="left" w:pos="262"/>
        </w:tabs>
        <w:kinsoku/>
        <w:wordWrap/>
        <w:overflowPunct/>
        <w:topLinePunct w:val="0"/>
        <w:autoSpaceDE/>
        <w:autoSpaceDN/>
        <w:bidi w:val="0"/>
        <w:adjustRightInd/>
        <w:snapToGrid/>
        <w:spacing w:line="360" w:lineRule="auto"/>
        <w:ind w:right="0" w:firstLine="0" w:firstLineChars="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附件1 委托书；</w:t>
      </w:r>
    </w:p>
    <w:p w14:paraId="5B99AB85">
      <w:pPr>
        <w:pStyle w:val="2"/>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附件2 投资备案证；</w:t>
      </w:r>
    </w:p>
    <w:p w14:paraId="666A8365">
      <w:pPr>
        <w:pStyle w:val="21"/>
        <w:keepNext w:val="0"/>
        <w:keepLines w:val="0"/>
        <w:pageBreakBefore w:val="0"/>
        <w:kinsoku/>
        <w:wordWrap/>
        <w:overflowPunct/>
        <w:topLinePunct w:val="0"/>
        <w:autoSpaceDE/>
        <w:autoSpaceDN/>
        <w:bidi w:val="0"/>
        <w:adjustRightInd/>
        <w:spacing w:before="0" w:after="0" w:line="360" w:lineRule="auto"/>
        <w:ind w:right="0" w:firstLine="0" w:firstLineChars="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附件3 </w:t>
      </w:r>
      <w:r>
        <w:rPr>
          <w:rFonts w:hint="eastAsia" w:ascii="Times New Roman" w:hAnsi="Times New Roman" w:cs="Times New Roman"/>
          <w:color w:val="auto"/>
          <w:sz w:val="24"/>
          <w:szCs w:val="24"/>
          <w:highlight w:val="none"/>
          <w:lang w:val="en-US" w:eastAsia="zh-CN"/>
        </w:rPr>
        <w:t>云南元江产业园区管理委员会</w:t>
      </w:r>
      <w:r>
        <w:rPr>
          <w:rFonts w:hint="default" w:ascii="Times New Roman" w:hAnsi="Times New Roman" w:cs="Times New Roman"/>
          <w:color w:val="auto"/>
          <w:sz w:val="24"/>
          <w:szCs w:val="24"/>
          <w:highlight w:val="none"/>
          <w:lang w:val="en-US" w:eastAsia="zh-CN"/>
        </w:rPr>
        <w:t>关于云南果研社农业科技发展有限公司果蔬深加工项目的情况说明；</w:t>
      </w:r>
    </w:p>
    <w:p w14:paraId="7195961E">
      <w:pPr>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附件4 </w:t>
      </w:r>
      <w:r>
        <w:rPr>
          <w:rFonts w:hint="eastAsia" w:cs="Times New Roman"/>
          <w:color w:val="auto"/>
          <w:sz w:val="24"/>
          <w:szCs w:val="24"/>
          <w:highlight w:val="none"/>
          <w:lang w:val="en-US" w:eastAsia="zh-CN"/>
        </w:rPr>
        <w:t>现有项目环评批复</w:t>
      </w:r>
      <w:r>
        <w:rPr>
          <w:rFonts w:hint="default" w:ascii="Times New Roman" w:hAnsi="Times New Roman" w:cs="Times New Roman"/>
          <w:color w:val="auto"/>
          <w:sz w:val="24"/>
          <w:szCs w:val="24"/>
          <w:highlight w:val="none"/>
          <w:lang w:val="en-US" w:eastAsia="zh-CN"/>
        </w:rPr>
        <w:t>；</w:t>
      </w:r>
    </w:p>
    <w:p w14:paraId="7BB777D1">
      <w:pPr>
        <w:pStyle w:val="2"/>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附件5 </w:t>
      </w:r>
      <w:r>
        <w:rPr>
          <w:rFonts w:hint="eastAsia" w:cs="Times New Roman"/>
          <w:color w:val="auto"/>
          <w:sz w:val="24"/>
          <w:szCs w:val="24"/>
          <w:highlight w:val="none"/>
          <w:lang w:val="en-US" w:eastAsia="zh-CN"/>
        </w:rPr>
        <w:t>现有项目验收意见</w:t>
      </w:r>
      <w:r>
        <w:rPr>
          <w:rFonts w:hint="default" w:ascii="Times New Roman" w:hAnsi="Times New Roman" w:cs="Times New Roman"/>
          <w:color w:val="auto"/>
          <w:sz w:val="24"/>
          <w:szCs w:val="24"/>
          <w:highlight w:val="none"/>
          <w:lang w:val="en-US" w:eastAsia="zh-CN"/>
        </w:rPr>
        <w:t>；</w:t>
      </w:r>
    </w:p>
    <w:p w14:paraId="578B677D">
      <w:pPr>
        <w:pStyle w:val="21"/>
        <w:keepNext w:val="0"/>
        <w:keepLines w:val="0"/>
        <w:pageBreakBefore w:val="0"/>
        <w:kinsoku/>
        <w:wordWrap/>
        <w:overflowPunct/>
        <w:topLinePunct w:val="0"/>
        <w:autoSpaceDE/>
        <w:autoSpaceDN/>
        <w:bidi w:val="0"/>
        <w:adjustRightInd/>
        <w:spacing w:before="0" w:after="0" w:line="360" w:lineRule="auto"/>
        <w:ind w:right="0" w:firstLine="0" w:firstLineChars="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附件6 </w:t>
      </w:r>
      <w:r>
        <w:rPr>
          <w:rFonts w:hint="eastAsia" w:ascii="Times New Roman" w:hAnsi="Times New Roman" w:cs="Times New Roman"/>
          <w:color w:val="auto"/>
          <w:sz w:val="24"/>
          <w:szCs w:val="24"/>
          <w:highlight w:val="none"/>
          <w:lang w:val="en-US" w:eastAsia="zh-CN"/>
        </w:rPr>
        <w:t>排污许可证正本</w:t>
      </w:r>
      <w:r>
        <w:rPr>
          <w:rFonts w:hint="default" w:ascii="Times New Roman" w:hAnsi="Times New Roman" w:cs="Times New Roman"/>
          <w:color w:val="auto"/>
          <w:sz w:val="24"/>
          <w:szCs w:val="24"/>
          <w:highlight w:val="none"/>
          <w:lang w:val="en-US" w:eastAsia="zh-CN"/>
        </w:rPr>
        <w:t>；</w:t>
      </w:r>
    </w:p>
    <w:p w14:paraId="0337C080">
      <w:pPr>
        <w:keepNext w:val="0"/>
        <w:keepLines w:val="0"/>
        <w:pageBreakBefore w:val="0"/>
        <w:kinsoku/>
        <w:wordWrap/>
        <w:overflowPunct/>
        <w:topLinePunct w:val="0"/>
        <w:autoSpaceDE/>
        <w:autoSpaceDN/>
        <w:bidi w:val="0"/>
        <w:adjustRightInd/>
        <w:spacing w:line="360" w:lineRule="auto"/>
        <w:ind w:right="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附件7 </w:t>
      </w:r>
      <w:r>
        <w:rPr>
          <w:rFonts w:hint="eastAsia" w:cs="Times New Roman"/>
          <w:color w:val="auto"/>
          <w:sz w:val="24"/>
          <w:szCs w:val="24"/>
          <w:highlight w:val="none"/>
          <w:lang w:val="en-US" w:eastAsia="zh-CN"/>
        </w:rPr>
        <w:t>应急预案备案表</w:t>
      </w:r>
      <w:r>
        <w:rPr>
          <w:rFonts w:hint="default" w:ascii="Times New Roman" w:hAnsi="Times New Roman" w:cs="Times New Roman"/>
          <w:color w:val="auto"/>
          <w:sz w:val="24"/>
          <w:szCs w:val="24"/>
          <w:highlight w:val="none"/>
          <w:lang w:val="en-US" w:eastAsia="zh-CN"/>
        </w:rPr>
        <w:t>；</w:t>
      </w:r>
    </w:p>
    <w:p w14:paraId="08E81B10">
      <w:pPr>
        <w:pStyle w:val="10"/>
        <w:keepNext w:val="0"/>
        <w:keepLines w:val="0"/>
        <w:pageBreakBefore w:val="0"/>
        <w:kinsoku/>
        <w:wordWrap/>
        <w:overflowPunct/>
        <w:topLinePunct w:val="0"/>
        <w:autoSpaceDE/>
        <w:autoSpaceDN/>
        <w:bidi w:val="0"/>
        <w:adjustRightInd/>
        <w:spacing w:before="0" w:after="0" w:line="360" w:lineRule="auto"/>
        <w:ind w:right="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附件8 危废处置协议；</w:t>
      </w:r>
    </w:p>
    <w:p w14:paraId="021037A9">
      <w:pPr>
        <w:pStyle w:val="10"/>
        <w:keepNext w:val="0"/>
        <w:keepLines w:val="0"/>
        <w:pageBreakBefore w:val="0"/>
        <w:kinsoku/>
        <w:wordWrap/>
        <w:overflowPunct/>
        <w:topLinePunct w:val="0"/>
        <w:autoSpaceDE/>
        <w:autoSpaceDN/>
        <w:bidi w:val="0"/>
        <w:adjustRightInd/>
        <w:spacing w:before="0" w:after="0" w:line="360" w:lineRule="auto"/>
        <w:ind w:right="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附件9 果皮果渣委托处置协议；</w:t>
      </w:r>
    </w:p>
    <w:p w14:paraId="1CA1C8B6">
      <w:pPr>
        <w:pStyle w:val="10"/>
        <w:keepNext w:val="0"/>
        <w:keepLines w:val="0"/>
        <w:pageBreakBefore w:val="0"/>
        <w:kinsoku/>
        <w:wordWrap/>
        <w:overflowPunct/>
        <w:topLinePunct w:val="0"/>
        <w:autoSpaceDE/>
        <w:autoSpaceDN/>
        <w:bidi w:val="0"/>
        <w:adjustRightInd/>
        <w:spacing w:before="0" w:after="0" w:line="360" w:lineRule="auto"/>
        <w:ind w:right="0"/>
        <w:textAlignment w:val="auto"/>
        <w:rPr>
          <w:rFonts w:hint="default" w:cs="Times New Roman"/>
          <w:color w:val="auto"/>
          <w:sz w:val="24"/>
          <w:szCs w:val="24"/>
          <w:highlight w:val="none"/>
          <w:lang w:val="en-US" w:eastAsia="zh-CN"/>
        </w:rPr>
      </w:pPr>
      <w:r>
        <w:rPr>
          <w:rFonts w:hint="default" w:cs="Times New Roman"/>
          <w:color w:val="auto"/>
          <w:sz w:val="24"/>
          <w:szCs w:val="24"/>
          <w:highlight w:val="none"/>
          <w:lang w:val="en-US" w:eastAsia="zh-CN"/>
        </w:rPr>
        <w:t>附件</w:t>
      </w:r>
      <w:r>
        <w:rPr>
          <w:rFonts w:hint="eastAsia" w:cs="Times New Roman"/>
          <w:color w:val="auto"/>
          <w:sz w:val="24"/>
          <w:szCs w:val="24"/>
          <w:highlight w:val="none"/>
          <w:lang w:val="en-US" w:eastAsia="zh-CN"/>
        </w:rPr>
        <w:t>10</w:t>
      </w:r>
      <w:r>
        <w:rPr>
          <w:rFonts w:hint="default" w:cs="Times New Roman"/>
          <w:color w:val="auto"/>
          <w:sz w:val="24"/>
          <w:szCs w:val="24"/>
          <w:highlight w:val="none"/>
          <w:lang w:val="en-US" w:eastAsia="zh-CN"/>
        </w:rPr>
        <w:t xml:space="preserve"> 生物质燃料检测报告；</w:t>
      </w:r>
    </w:p>
    <w:p w14:paraId="280E4CED">
      <w:pPr>
        <w:pStyle w:val="2"/>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附件</w:t>
      </w:r>
      <w:r>
        <w:rPr>
          <w:rFonts w:hint="eastAsia" w:cs="Times New Roman"/>
          <w:color w:val="auto"/>
          <w:sz w:val="24"/>
          <w:szCs w:val="24"/>
          <w:highlight w:val="none"/>
          <w:lang w:val="en-US" w:eastAsia="zh-CN"/>
        </w:rPr>
        <w:t>11</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bCs/>
          <w:color w:val="auto"/>
          <w:sz w:val="24"/>
          <w:szCs w:val="24"/>
          <w:highlight w:val="none"/>
        </w:rPr>
        <w:t>玉溪市生态环境局关于《云南元江产业园区总体规划修编（2021-2035 年）环境影响报告书》审查意见的函（玉市环函〔20</w:t>
      </w:r>
      <w:r>
        <w:rPr>
          <w:rFonts w:hint="eastAsia" w:cs="Times New Roman"/>
          <w:bCs/>
          <w:color w:val="auto"/>
          <w:sz w:val="24"/>
          <w:szCs w:val="24"/>
          <w:highlight w:val="none"/>
          <w:lang w:val="en-US" w:eastAsia="zh-CN"/>
        </w:rPr>
        <w:t>23</w:t>
      </w:r>
      <w:r>
        <w:rPr>
          <w:rFonts w:hint="default" w:ascii="Times New Roman" w:hAnsi="Times New Roman" w:cs="Times New Roman"/>
          <w:bCs/>
          <w:color w:val="auto"/>
          <w:sz w:val="24"/>
          <w:szCs w:val="24"/>
          <w:highlight w:val="none"/>
        </w:rPr>
        <w:t>〕2</w:t>
      </w:r>
      <w:r>
        <w:rPr>
          <w:rFonts w:hint="eastAsia" w:cs="Times New Roman"/>
          <w:bCs/>
          <w:color w:val="auto"/>
          <w:sz w:val="24"/>
          <w:szCs w:val="24"/>
          <w:highlight w:val="none"/>
          <w:lang w:val="en-US" w:eastAsia="zh-CN"/>
        </w:rPr>
        <w:t>4</w:t>
      </w:r>
      <w:r>
        <w:rPr>
          <w:rFonts w:hint="default" w:ascii="Times New Roman" w:hAnsi="Times New Roman" w:cs="Times New Roman"/>
          <w:bCs/>
          <w:color w:val="auto"/>
          <w:sz w:val="24"/>
          <w:szCs w:val="24"/>
          <w:highlight w:val="none"/>
        </w:rPr>
        <w:t>号）</w:t>
      </w:r>
      <w:r>
        <w:rPr>
          <w:rFonts w:hint="eastAsia" w:cs="Times New Roman"/>
          <w:bCs/>
          <w:color w:val="auto"/>
          <w:sz w:val="24"/>
          <w:szCs w:val="24"/>
          <w:highlight w:val="none"/>
          <w:lang w:eastAsia="zh-CN"/>
        </w:rPr>
        <w:t>；</w:t>
      </w:r>
    </w:p>
    <w:p w14:paraId="6FBB307C">
      <w:pPr>
        <w:pStyle w:val="21"/>
        <w:keepNext w:val="0"/>
        <w:keepLines w:val="0"/>
        <w:pageBreakBefore w:val="0"/>
        <w:kinsoku/>
        <w:wordWrap/>
        <w:overflowPunct/>
        <w:topLinePunct w:val="0"/>
        <w:autoSpaceDE/>
        <w:autoSpaceDN/>
        <w:bidi w:val="0"/>
        <w:adjustRightInd/>
        <w:spacing w:before="0" w:after="0" w:line="360" w:lineRule="auto"/>
        <w:ind w:right="0" w:firstLine="0" w:firstLineChars="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附件</w:t>
      </w:r>
      <w:r>
        <w:rPr>
          <w:rFonts w:hint="eastAsia" w:ascii="Times New Roman" w:hAnsi="Times New Roman" w:cs="Times New Roman"/>
          <w:color w:val="auto"/>
          <w:sz w:val="24"/>
          <w:szCs w:val="24"/>
          <w:highlight w:val="none"/>
          <w:lang w:val="en-US" w:eastAsia="zh-CN"/>
        </w:rPr>
        <w:t xml:space="preserve">12  </w:t>
      </w:r>
      <w:r>
        <w:rPr>
          <w:rFonts w:hint="default" w:ascii="Times New Roman" w:hAnsi="Times New Roman" w:cs="Times New Roman"/>
          <w:color w:val="auto"/>
          <w:sz w:val="24"/>
          <w:szCs w:val="24"/>
          <w:highlight w:val="none"/>
          <w:lang w:val="en-US" w:eastAsia="zh-CN"/>
        </w:rPr>
        <w:t>NOx引用监测报告；</w:t>
      </w:r>
    </w:p>
    <w:p w14:paraId="694F36C3">
      <w:pPr>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eastAsia"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附件1</w:t>
      </w:r>
      <w:r>
        <w:rPr>
          <w:rFonts w:hint="eastAsia"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TSP引用监测报告</w:t>
      </w:r>
      <w:r>
        <w:rPr>
          <w:rFonts w:hint="eastAsia" w:cs="Times New Roman"/>
          <w:color w:val="auto"/>
          <w:sz w:val="24"/>
          <w:szCs w:val="24"/>
          <w:highlight w:val="none"/>
          <w:lang w:val="en-US" w:eastAsia="zh-CN"/>
        </w:rPr>
        <w:t>；</w:t>
      </w:r>
    </w:p>
    <w:p w14:paraId="60F2EF8C">
      <w:pPr>
        <w:pStyle w:val="2"/>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附件1</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噪声现状监测报告；</w:t>
      </w:r>
    </w:p>
    <w:p w14:paraId="7DE35186">
      <w:pPr>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附件1</w:t>
      </w:r>
      <w:r>
        <w:rPr>
          <w:rFonts w:hint="eastAsia"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val="en-US" w:eastAsia="zh-CN"/>
        </w:rPr>
        <w:t xml:space="preserve"> 营业执照；</w:t>
      </w:r>
    </w:p>
    <w:p w14:paraId="3C3BF7E6">
      <w:pPr>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附件1</w:t>
      </w:r>
      <w:r>
        <w:rPr>
          <w:rFonts w:hint="eastAsia" w:cs="Times New Roman"/>
          <w:color w:val="auto"/>
          <w:sz w:val="24"/>
          <w:szCs w:val="24"/>
          <w:highlight w:val="none"/>
          <w:lang w:val="en-US" w:eastAsia="zh-CN"/>
        </w:rPr>
        <w:t>6</w:t>
      </w:r>
      <w:r>
        <w:rPr>
          <w:rFonts w:hint="eastAsia" w:ascii="Times New Roman" w:hAnsi="Times New Roman" w:cs="Times New Roman"/>
          <w:color w:val="auto"/>
          <w:sz w:val="24"/>
          <w:szCs w:val="24"/>
          <w:highlight w:val="none"/>
          <w:lang w:val="en-US" w:eastAsia="zh-CN"/>
        </w:rPr>
        <w:t xml:space="preserve"> 环评合同；</w:t>
      </w:r>
    </w:p>
    <w:p w14:paraId="38B84945">
      <w:pPr>
        <w:pStyle w:val="2"/>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附件17 三级审核表；</w:t>
      </w:r>
    </w:p>
    <w:p w14:paraId="2A766FAA">
      <w:pPr>
        <w:pStyle w:val="2"/>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w:t>
      </w:r>
      <w:r>
        <w:rPr>
          <w:rFonts w:hint="eastAsia" w:cs="Times New Roman"/>
          <w:color w:val="auto"/>
          <w:sz w:val="24"/>
          <w:szCs w:val="24"/>
          <w:highlight w:val="none"/>
          <w:lang w:val="en-US" w:eastAsia="zh-CN"/>
        </w:rPr>
        <w:t>18 项目进度表；</w:t>
      </w:r>
    </w:p>
    <w:p w14:paraId="21CB158F">
      <w:pPr>
        <w:pStyle w:val="2"/>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附件19 专家评审意见；</w:t>
      </w:r>
    </w:p>
    <w:p w14:paraId="30E82F2F">
      <w:pPr>
        <w:pStyle w:val="2"/>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附件20 修改意见索引。</w:t>
      </w:r>
    </w:p>
    <w:p w14:paraId="3E778B4E">
      <w:pPr>
        <w:pStyle w:val="21"/>
        <w:rPr>
          <w:rFonts w:hint="eastAsia" w:cs="Times New Roman"/>
          <w:color w:val="auto"/>
          <w:sz w:val="24"/>
          <w:szCs w:val="24"/>
          <w:highlight w:val="none"/>
          <w:lang w:val="en-US" w:eastAsia="zh-CN"/>
        </w:rPr>
      </w:pPr>
    </w:p>
    <w:p w14:paraId="10918736">
      <w:pPr>
        <w:rPr>
          <w:rFonts w:hint="default"/>
          <w:color w:val="auto"/>
          <w:highlight w:val="none"/>
          <w:lang w:val="en-US" w:eastAsia="zh-CN"/>
        </w:rPr>
      </w:pPr>
    </w:p>
    <w:p w14:paraId="245CE6B8">
      <w:pPr>
        <w:pStyle w:val="2"/>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附图：</w:t>
      </w:r>
    </w:p>
    <w:p w14:paraId="68C20DDB">
      <w:pPr>
        <w:pStyle w:val="2"/>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附图1 项目地理位置图</w:t>
      </w:r>
    </w:p>
    <w:p w14:paraId="48714A68">
      <w:pPr>
        <w:pStyle w:val="2"/>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附图2 项目平面布置图</w:t>
      </w:r>
    </w:p>
    <w:p w14:paraId="36C1EBE6">
      <w:pPr>
        <w:pStyle w:val="2"/>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附图3 项目</w:t>
      </w:r>
      <w:r>
        <w:rPr>
          <w:rFonts w:hint="eastAsia" w:cs="Times New Roman"/>
          <w:color w:val="auto"/>
          <w:sz w:val="24"/>
          <w:szCs w:val="24"/>
          <w:highlight w:val="none"/>
          <w:lang w:val="en-US" w:eastAsia="zh-CN"/>
        </w:rPr>
        <w:t>区域</w:t>
      </w:r>
      <w:r>
        <w:rPr>
          <w:rFonts w:hint="default" w:ascii="Times New Roman" w:hAnsi="Times New Roman" w:cs="Times New Roman"/>
          <w:color w:val="auto"/>
          <w:sz w:val="24"/>
          <w:szCs w:val="24"/>
          <w:highlight w:val="none"/>
          <w:lang w:val="en-US" w:eastAsia="zh-CN"/>
        </w:rPr>
        <w:t>水系图</w:t>
      </w:r>
    </w:p>
    <w:p w14:paraId="7688B4DE">
      <w:pPr>
        <w:pStyle w:val="2"/>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附图4 周边关系图</w:t>
      </w:r>
    </w:p>
    <w:p w14:paraId="22D78B46">
      <w:pPr>
        <w:pStyle w:val="2"/>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附图</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 xml:space="preserve"> 项目与云南元江产业园区甘庄片区功能分区规划位置关系图</w:t>
      </w:r>
    </w:p>
    <w:p w14:paraId="4142DE7E">
      <w:pPr>
        <w:pStyle w:val="2"/>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附图</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 xml:space="preserve"> 项目与云南元江产业园区甘庄片区用地布局规划位置关系图</w:t>
      </w:r>
    </w:p>
    <w:p w14:paraId="3F7A3F0B">
      <w:pPr>
        <w:pStyle w:val="2"/>
        <w:keepNext w:val="0"/>
        <w:keepLines w:val="0"/>
        <w:pageBreakBefore w:val="0"/>
        <w:kinsoku/>
        <w:wordWrap/>
        <w:overflowPunct/>
        <w:topLinePunct w:val="0"/>
        <w:autoSpaceDE/>
        <w:autoSpaceDN/>
        <w:bidi w:val="0"/>
        <w:adjustRightInd/>
        <w:spacing w:line="360" w:lineRule="auto"/>
        <w:ind w:right="0" w:firstLine="0" w:firstLineChars="0"/>
        <w:textAlignment w:val="auto"/>
        <w:rPr>
          <w:rFonts w:hint="default" w:ascii="Times New Roman" w:hAnsi="Times New Roman" w:cs="Times New Roman"/>
          <w:color w:val="auto"/>
          <w:sz w:val="24"/>
          <w:szCs w:val="24"/>
          <w:highlight w:val="yellow"/>
          <w:lang w:val="en-US" w:eastAsia="zh-CN"/>
        </w:rPr>
        <w:sectPr>
          <w:footerReference r:id="rId5" w:type="default"/>
          <w:pgSz w:w="11906" w:h="16838"/>
          <w:pgMar w:top="1701" w:right="1531" w:bottom="1701" w:left="1531" w:header="851" w:footer="1077" w:gutter="0"/>
          <w:pgNumType w:fmt="upperRoman" w:start="1"/>
          <w:cols w:space="720" w:num="1"/>
          <w:docGrid w:linePitch="312" w:charSpace="0"/>
        </w:sectPr>
      </w:pPr>
      <w:r>
        <w:rPr>
          <w:rFonts w:hint="default" w:ascii="Times New Roman" w:hAnsi="Times New Roman" w:cs="Times New Roman"/>
          <w:color w:val="auto"/>
          <w:sz w:val="24"/>
          <w:szCs w:val="24"/>
          <w:highlight w:val="none"/>
          <w:lang w:val="en-US" w:eastAsia="zh-CN"/>
        </w:rPr>
        <w:t>附图</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 xml:space="preserve"> 监测</w:t>
      </w:r>
      <w:r>
        <w:rPr>
          <w:rFonts w:hint="eastAsia" w:cs="Times New Roman"/>
          <w:color w:val="auto"/>
          <w:sz w:val="24"/>
          <w:szCs w:val="24"/>
          <w:highlight w:val="none"/>
          <w:lang w:val="en-US" w:eastAsia="zh-CN"/>
        </w:rPr>
        <w:t>点位图</w:t>
      </w:r>
    </w:p>
    <w:p w14:paraId="4B0DC27C">
      <w:pPr>
        <w:pStyle w:val="19"/>
        <w:jc w:val="center"/>
        <w:outlineLvl w:val="0"/>
        <w:rPr>
          <w:rFonts w:ascii="黑体" w:hAnsi="黑体" w:eastAsia="黑体"/>
          <w:snapToGrid w:val="0"/>
          <w:color w:val="auto"/>
          <w:sz w:val="30"/>
          <w:szCs w:val="30"/>
        </w:rPr>
      </w:pPr>
      <w:bookmarkStart w:id="3" w:name="_Toc25773"/>
      <w:r>
        <w:rPr>
          <w:rFonts w:hint="eastAsia" w:ascii="黑体" w:hAnsi="黑体" w:eastAsia="黑体"/>
          <w:snapToGrid w:val="0"/>
          <w:color w:val="auto"/>
          <w:sz w:val="30"/>
          <w:szCs w:val="30"/>
        </w:rPr>
        <w:t>一、建设项目基本情况</w:t>
      </w:r>
      <w:bookmarkEnd w:id="3"/>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14"/>
        <w:gridCol w:w="2552"/>
        <w:gridCol w:w="2178"/>
        <w:gridCol w:w="2726"/>
      </w:tblGrid>
      <w:tr w14:paraId="7B697B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1414" w:type="dxa"/>
            <w:tcMar>
              <w:top w:w="16" w:type="dxa"/>
              <w:left w:w="16" w:type="dxa"/>
              <w:right w:w="16" w:type="dxa"/>
            </w:tcMar>
            <w:vAlign w:val="center"/>
          </w:tcPr>
          <w:p w14:paraId="463B5F2F">
            <w:pPr>
              <w:adjustRightInd w:val="0"/>
              <w:snapToGrid w:val="0"/>
              <w:jc w:val="center"/>
              <w:rPr>
                <w:color w:val="auto"/>
                <w:sz w:val="24"/>
                <w:szCs w:val="24"/>
              </w:rPr>
            </w:pPr>
            <w:r>
              <w:rPr>
                <w:color w:val="auto"/>
                <w:sz w:val="24"/>
                <w:szCs w:val="24"/>
              </w:rPr>
              <w:t>建设项目名称</w:t>
            </w:r>
          </w:p>
        </w:tc>
        <w:tc>
          <w:tcPr>
            <w:tcW w:w="7456" w:type="dxa"/>
            <w:gridSpan w:val="3"/>
            <w:vAlign w:val="center"/>
          </w:tcPr>
          <w:p w14:paraId="40E65128">
            <w:pPr>
              <w:adjustRightInd w:val="0"/>
              <w:snapToGrid w:val="0"/>
              <w:jc w:val="center"/>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highlight w:val="none"/>
              </w:rPr>
              <w:t>速冻果蔬食品技改项目</w:t>
            </w:r>
          </w:p>
        </w:tc>
      </w:tr>
      <w:tr w14:paraId="752CE2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14" w:type="dxa"/>
            <w:tcMar>
              <w:top w:w="16" w:type="dxa"/>
              <w:left w:w="16" w:type="dxa"/>
              <w:right w:w="16" w:type="dxa"/>
            </w:tcMar>
            <w:vAlign w:val="center"/>
          </w:tcPr>
          <w:p w14:paraId="34F29EE9">
            <w:pPr>
              <w:adjustRightInd w:val="0"/>
              <w:snapToGrid w:val="0"/>
              <w:jc w:val="center"/>
              <w:rPr>
                <w:color w:val="auto"/>
                <w:sz w:val="24"/>
                <w:szCs w:val="24"/>
              </w:rPr>
            </w:pPr>
            <w:r>
              <w:rPr>
                <w:color w:val="auto"/>
                <w:sz w:val="24"/>
                <w:szCs w:val="24"/>
              </w:rPr>
              <w:t>项目代码</w:t>
            </w:r>
          </w:p>
        </w:tc>
        <w:tc>
          <w:tcPr>
            <w:tcW w:w="7456" w:type="dxa"/>
            <w:gridSpan w:val="3"/>
            <w:vAlign w:val="center"/>
          </w:tcPr>
          <w:p w14:paraId="33209E25">
            <w:pPr>
              <w:adjustRightInd w:val="0"/>
              <w:snapToGrid w:val="0"/>
              <w:jc w:val="center"/>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highlight w:val="none"/>
              </w:rPr>
              <w:t>2511-530428-04-02-573619</w:t>
            </w:r>
          </w:p>
        </w:tc>
      </w:tr>
      <w:tr w14:paraId="4F029C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14" w:type="dxa"/>
            <w:tcMar>
              <w:top w:w="16" w:type="dxa"/>
              <w:left w:w="16" w:type="dxa"/>
              <w:right w:w="16" w:type="dxa"/>
            </w:tcMar>
            <w:vAlign w:val="center"/>
          </w:tcPr>
          <w:p w14:paraId="09C80C0F">
            <w:pPr>
              <w:adjustRightInd w:val="0"/>
              <w:snapToGrid w:val="0"/>
              <w:jc w:val="center"/>
              <w:rPr>
                <w:color w:val="auto"/>
                <w:sz w:val="24"/>
                <w:szCs w:val="24"/>
              </w:rPr>
            </w:pPr>
            <w:r>
              <w:rPr>
                <w:color w:val="auto"/>
                <w:sz w:val="24"/>
                <w:szCs w:val="24"/>
              </w:rPr>
              <w:t>建设单位联系人</w:t>
            </w:r>
          </w:p>
        </w:tc>
        <w:tc>
          <w:tcPr>
            <w:tcW w:w="2552" w:type="dxa"/>
            <w:vAlign w:val="center"/>
          </w:tcPr>
          <w:p w14:paraId="08E38281">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何善文</w:t>
            </w:r>
          </w:p>
        </w:tc>
        <w:tc>
          <w:tcPr>
            <w:tcW w:w="2178" w:type="dxa"/>
            <w:vAlign w:val="center"/>
          </w:tcPr>
          <w:p w14:paraId="6B4E1744">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联系方式</w:t>
            </w:r>
          </w:p>
        </w:tc>
        <w:tc>
          <w:tcPr>
            <w:tcW w:w="2726" w:type="dxa"/>
            <w:vAlign w:val="center"/>
          </w:tcPr>
          <w:p w14:paraId="7F7A0A87">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13959857521</w:t>
            </w:r>
          </w:p>
        </w:tc>
      </w:tr>
      <w:tr w14:paraId="739AD0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14" w:type="dxa"/>
            <w:tcMar>
              <w:top w:w="16" w:type="dxa"/>
              <w:left w:w="16" w:type="dxa"/>
              <w:right w:w="16" w:type="dxa"/>
            </w:tcMar>
            <w:vAlign w:val="center"/>
          </w:tcPr>
          <w:p w14:paraId="76D2EDC4">
            <w:pPr>
              <w:adjustRightInd w:val="0"/>
              <w:snapToGrid w:val="0"/>
              <w:jc w:val="center"/>
              <w:rPr>
                <w:color w:val="auto"/>
                <w:sz w:val="24"/>
                <w:szCs w:val="24"/>
              </w:rPr>
            </w:pPr>
            <w:r>
              <w:rPr>
                <w:color w:val="auto"/>
                <w:sz w:val="24"/>
                <w:szCs w:val="24"/>
              </w:rPr>
              <w:t>建设地点</w:t>
            </w:r>
          </w:p>
        </w:tc>
        <w:tc>
          <w:tcPr>
            <w:tcW w:w="7456" w:type="dxa"/>
            <w:gridSpan w:val="3"/>
            <w:vAlign w:val="center"/>
          </w:tcPr>
          <w:p w14:paraId="28B4EFAC">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u w:val="none"/>
              </w:rPr>
              <w:t xml:space="preserve">云南省玉溪市元江县甘庄街道工业园区干坝片区3号厂房 </w:t>
            </w:r>
          </w:p>
        </w:tc>
      </w:tr>
      <w:tr w14:paraId="25973A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14" w:type="dxa"/>
            <w:tcMar>
              <w:top w:w="16" w:type="dxa"/>
              <w:left w:w="16" w:type="dxa"/>
              <w:right w:w="16" w:type="dxa"/>
            </w:tcMar>
            <w:vAlign w:val="center"/>
          </w:tcPr>
          <w:p w14:paraId="41926E1B">
            <w:pPr>
              <w:adjustRightInd w:val="0"/>
              <w:snapToGrid w:val="0"/>
              <w:jc w:val="center"/>
              <w:rPr>
                <w:color w:val="auto"/>
                <w:sz w:val="24"/>
                <w:szCs w:val="24"/>
              </w:rPr>
            </w:pPr>
            <w:r>
              <w:rPr>
                <w:color w:val="auto"/>
                <w:sz w:val="24"/>
                <w:szCs w:val="24"/>
              </w:rPr>
              <w:t>地理坐标</w:t>
            </w:r>
          </w:p>
        </w:tc>
        <w:tc>
          <w:tcPr>
            <w:tcW w:w="7456" w:type="dxa"/>
            <w:gridSpan w:val="3"/>
            <w:vAlign w:val="center"/>
          </w:tcPr>
          <w:p w14:paraId="21E6F81F">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u w:val="single"/>
              </w:rPr>
              <w:t xml:space="preserve">101 </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57 </w:t>
            </w:r>
            <w:r>
              <w:rPr>
                <w:rFonts w:hint="default" w:ascii="Times New Roman" w:hAnsi="Times New Roman" w:cs="Times New Roman"/>
                <w:color w:val="auto"/>
                <w:sz w:val="24"/>
                <w:szCs w:val="24"/>
              </w:rPr>
              <w:t>分</w:t>
            </w:r>
            <w:r>
              <w:rPr>
                <w:rFonts w:hint="eastAsia" w:ascii="Times New Roman" w:hAnsi="Times New Roman" w:cs="Times New Roman"/>
                <w:color w:val="auto"/>
                <w:sz w:val="24"/>
                <w:szCs w:val="24"/>
                <w:u w:val="single"/>
                <w:lang w:val="en-US" w:eastAsia="zh-CN"/>
              </w:rPr>
              <w:t>41.</w:t>
            </w:r>
            <w:r>
              <w:rPr>
                <w:rFonts w:hint="default" w:ascii="Times New Roman" w:hAnsi="Times New Roman" w:cs="Times New Roman"/>
                <w:color w:val="auto"/>
                <w:sz w:val="24"/>
                <w:szCs w:val="24"/>
                <w:u w:val="single"/>
              </w:rPr>
              <w:t xml:space="preserve"> 261 </w:t>
            </w:r>
            <w:r>
              <w:rPr>
                <w:rFonts w:hint="default" w:ascii="Times New Roman" w:hAnsi="Times New Roman" w:cs="Times New Roman"/>
                <w:color w:val="auto"/>
                <w:sz w:val="24"/>
                <w:szCs w:val="24"/>
              </w:rPr>
              <w:t>秒，</w:t>
            </w:r>
            <w:r>
              <w:rPr>
                <w:rFonts w:hint="default" w:ascii="Times New Roman" w:hAnsi="Times New Roman" w:cs="Times New Roman"/>
                <w:color w:val="auto"/>
                <w:sz w:val="24"/>
                <w:szCs w:val="24"/>
                <w:u w:val="single"/>
              </w:rPr>
              <w:t xml:space="preserve"> 23 </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41 </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rPr>
              <w:t xml:space="preserve"> 24.037 </w:t>
            </w:r>
            <w:r>
              <w:rPr>
                <w:rFonts w:hint="default" w:ascii="Times New Roman" w:hAnsi="Times New Roman" w:cs="Times New Roman"/>
                <w:color w:val="auto"/>
                <w:sz w:val="24"/>
                <w:szCs w:val="24"/>
              </w:rPr>
              <w:t>秒）</w:t>
            </w:r>
          </w:p>
        </w:tc>
      </w:tr>
      <w:tr w14:paraId="1532B1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14" w:type="dxa"/>
            <w:tcMar>
              <w:top w:w="16" w:type="dxa"/>
              <w:left w:w="16" w:type="dxa"/>
              <w:right w:w="16" w:type="dxa"/>
            </w:tcMar>
            <w:vAlign w:val="center"/>
          </w:tcPr>
          <w:p w14:paraId="2042E8F4">
            <w:pPr>
              <w:adjustRightInd w:val="0"/>
              <w:snapToGrid w:val="0"/>
              <w:jc w:val="center"/>
              <w:rPr>
                <w:color w:val="auto"/>
                <w:sz w:val="24"/>
                <w:szCs w:val="24"/>
              </w:rPr>
            </w:pPr>
            <w:r>
              <w:rPr>
                <w:color w:val="auto"/>
                <w:sz w:val="24"/>
                <w:szCs w:val="24"/>
              </w:rPr>
              <w:t>国民经济</w:t>
            </w:r>
          </w:p>
          <w:p w14:paraId="453BC314">
            <w:pPr>
              <w:adjustRightInd w:val="0"/>
              <w:snapToGrid w:val="0"/>
              <w:jc w:val="center"/>
              <w:rPr>
                <w:color w:val="auto"/>
                <w:sz w:val="24"/>
                <w:szCs w:val="24"/>
              </w:rPr>
            </w:pPr>
            <w:r>
              <w:rPr>
                <w:color w:val="auto"/>
                <w:sz w:val="24"/>
                <w:szCs w:val="24"/>
              </w:rPr>
              <w:t>行业类别</w:t>
            </w:r>
          </w:p>
        </w:tc>
        <w:tc>
          <w:tcPr>
            <w:tcW w:w="2552" w:type="dxa"/>
            <w:vAlign w:val="center"/>
          </w:tcPr>
          <w:p w14:paraId="4BAC3024">
            <w:pPr>
              <w:adjustRightInd w:val="0"/>
              <w:snapToGrid w:val="0"/>
              <w:jc w:val="center"/>
              <w:rPr>
                <w:rFonts w:hint="default"/>
                <w:color w:val="auto"/>
                <w:sz w:val="24"/>
                <w:szCs w:val="24"/>
              </w:rPr>
            </w:pPr>
            <w:r>
              <w:rPr>
                <w:rFonts w:hint="default"/>
                <w:color w:val="auto"/>
                <w:sz w:val="24"/>
                <w:szCs w:val="24"/>
              </w:rPr>
              <w:t>1523果菜汁及果菜汁饮料制造、1373 水果和坚果</w:t>
            </w:r>
            <w:r>
              <w:rPr>
                <w:rFonts w:hint="default" w:ascii="Times New Roman" w:hAnsi="Times New Roman" w:eastAsia="宋体" w:cs="Times New Roman"/>
                <w:color w:val="auto"/>
                <w:sz w:val="24"/>
                <w:szCs w:val="24"/>
              </w:rPr>
              <w:t>加工</w:t>
            </w:r>
          </w:p>
        </w:tc>
        <w:tc>
          <w:tcPr>
            <w:tcW w:w="2178" w:type="dxa"/>
            <w:vAlign w:val="center"/>
          </w:tcPr>
          <w:p w14:paraId="3756A7F6">
            <w:pPr>
              <w:adjustRightInd w:val="0"/>
              <w:snapToGrid w:val="0"/>
              <w:jc w:val="center"/>
              <w:rPr>
                <w:rFonts w:hint="default" w:ascii="Times New Roman" w:hAnsi="Times New Roman" w:cs="Times New Roman"/>
                <w:color w:val="auto"/>
                <w:sz w:val="24"/>
                <w:szCs w:val="24"/>
              </w:rPr>
            </w:pPr>
            <w:bookmarkStart w:id="4" w:name="_Hlk49843745"/>
            <w:r>
              <w:rPr>
                <w:rFonts w:hint="default" w:ascii="Times New Roman" w:hAnsi="Times New Roman" w:cs="Times New Roman"/>
                <w:color w:val="auto"/>
                <w:sz w:val="24"/>
                <w:szCs w:val="24"/>
              </w:rPr>
              <w:t>建设项目</w:t>
            </w:r>
          </w:p>
          <w:p w14:paraId="3575814B">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bookmarkEnd w:id="4"/>
          </w:p>
        </w:tc>
        <w:tc>
          <w:tcPr>
            <w:tcW w:w="2726" w:type="dxa"/>
            <w:vAlign w:val="center"/>
          </w:tcPr>
          <w:p w14:paraId="6C8BFF9A">
            <w:pPr>
              <w:adjustRightInd w:val="0"/>
              <w:snapToGrid w:val="0"/>
              <w:rPr>
                <w:rFonts w:hint="default"/>
                <w:color w:val="auto"/>
                <w:sz w:val="24"/>
                <w:szCs w:val="24"/>
              </w:rPr>
            </w:pPr>
            <w:r>
              <w:rPr>
                <w:rFonts w:hint="default"/>
                <w:color w:val="auto"/>
                <w:sz w:val="24"/>
                <w:szCs w:val="24"/>
              </w:rPr>
              <w:t>26饮料制造152</w:t>
            </w:r>
            <w:r>
              <w:rPr>
                <w:rFonts w:hint="eastAsia"/>
                <w:color w:val="auto"/>
                <w:sz w:val="24"/>
                <w:szCs w:val="24"/>
                <w:lang w:eastAsia="zh-CN"/>
              </w:rPr>
              <w:t>—</w:t>
            </w:r>
            <w:r>
              <w:rPr>
                <w:rFonts w:hint="eastAsia"/>
                <w:color w:val="auto"/>
                <w:sz w:val="24"/>
                <w:szCs w:val="24"/>
                <w:lang w:val="en-US" w:eastAsia="zh-CN"/>
              </w:rPr>
              <w:t>有发酵工艺、</w:t>
            </w:r>
            <w:r>
              <w:rPr>
                <w:rFonts w:hint="default"/>
                <w:color w:val="auto"/>
                <w:sz w:val="24"/>
                <w:szCs w:val="24"/>
              </w:rPr>
              <w:t>原汁生产的</w:t>
            </w:r>
          </w:p>
        </w:tc>
      </w:tr>
      <w:tr w14:paraId="28650D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14" w:type="dxa"/>
            <w:tcMar>
              <w:top w:w="16" w:type="dxa"/>
              <w:left w:w="16" w:type="dxa"/>
              <w:right w:w="16" w:type="dxa"/>
            </w:tcMar>
            <w:vAlign w:val="center"/>
          </w:tcPr>
          <w:p w14:paraId="3B337733">
            <w:pPr>
              <w:adjustRightInd w:val="0"/>
              <w:snapToGrid w:val="0"/>
              <w:jc w:val="center"/>
              <w:rPr>
                <w:color w:val="auto"/>
                <w:sz w:val="24"/>
                <w:szCs w:val="24"/>
              </w:rPr>
            </w:pPr>
            <w:r>
              <w:rPr>
                <w:color w:val="auto"/>
                <w:sz w:val="24"/>
                <w:szCs w:val="24"/>
              </w:rPr>
              <w:t>建设性质</w:t>
            </w:r>
          </w:p>
        </w:tc>
        <w:tc>
          <w:tcPr>
            <w:tcW w:w="2552" w:type="dxa"/>
            <w:vAlign w:val="center"/>
          </w:tcPr>
          <w:p w14:paraId="02011F9F">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新建（迁建）</w:t>
            </w:r>
          </w:p>
          <w:p w14:paraId="1937415B">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改建</w:t>
            </w:r>
          </w:p>
          <w:p w14:paraId="7AB2C656">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扩建</w:t>
            </w:r>
          </w:p>
          <w:p w14:paraId="4C24155E">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技术改造</w:t>
            </w:r>
          </w:p>
        </w:tc>
        <w:tc>
          <w:tcPr>
            <w:tcW w:w="2178" w:type="dxa"/>
            <w:vAlign w:val="center"/>
          </w:tcPr>
          <w:p w14:paraId="3581AA32">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0AE698C3">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2726" w:type="dxa"/>
            <w:vAlign w:val="center"/>
          </w:tcPr>
          <w:p w14:paraId="28CF1AB4">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 xml:space="preserve">首次申报项目             </w:t>
            </w:r>
          </w:p>
          <w:p w14:paraId="5774E010">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不予批准后再次申报项目</w:t>
            </w:r>
          </w:p>
          <w:p w14:paraId="73C02A07">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 xml:space="preserve">超五年重新审核项目     </w:t>
            </w:r>
          </w:p>
          <w:p w14:paraId="1F24F2D6">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重大变动重新报批项目</w:t>
            </w:r>
          </w:p>
        </w:tc>
      </w:tr>
      <w:tr w14:paraId="451193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14" w:type="dxa"/>
            <w:tcMar>
              <w:top w:w="16" w:type="dxa"/>
              <w:left w:w="16" w:type="dxa"/>
              <w:right w:w="16" w:type="dxa"/>
            </w:tcMar>
            <w:vAlign w:val="center"/>
          </w:tcPr>
          <w:p w14:paraId="10C631E9">
            <w:pPr>
              <w:adjustRightInd w:val="0"/>
              <w:snapToGrid w:val="0"/>
              <w:jc w:val="center"/>
              <w:rPr>
                <w:color w:val="auto"/>
                <w:sz w:val="24"/>
                <w:szCs w:val="24"/>
              </w:rPr>
            </w:pPr>
            <w:r>
              <w:rPr>
                <w:color w:val="auto"/>
                <w:sz w:val="24"/>
                <w:szCs w:val="24"/>
              </w:rPr>
              <w:t>项目审批（核准/备案）部门（选填）</w:t>
            </w:r>
          </w:p>
        </w:tc>
        <w:tc>
          <w:tcPr>
            <w:tcW w:w="2552" w:type="dxa"/>
            <w:vAlign w:val="center"/>
          </w:tcPr>
          <w:p w14:paraId="428586F6">
            <w:pPr>
              <w:adjustRightInd w:val="0"/>
              <w:snapToGrid w:val="0"/>
              <w:jc w:val="center"/>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元江县发展和改革局</w:t>
            </w:r>
          </w:p>
        </w:tc>
        <w:tc>
          <w:tcPr>
            <w:tcW w:w="2178" w:type="dxa"/>
            <w:vAlign w:val="center"/>
          </w:tcPr>
          <w:p w14:paraId="068B8B2C">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w:t>
            </w:r>
          </w:p>
          <w:p w14:paraId="3E00F2B5">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备案）文号（选填）</w:t>
            </w:r>
          </w:p>
        </w:tc>
        <w:tc>
          <w:tcPr>
            <w:tcW w:w="2726" w:type="dxa"/>
            <w:vAlign w:val="center"/>
          </w:tcPr>
          <w:p w14:paraId="7B2A4741">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14:paraId="49B5F3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14" w:type="dxa"/>
            <w:tcMar>
              <w:top w:w="16" w:type="dxa"/>
              <w:left w:w="16" w:type="dxa"/>
              <w:right w:w="16" w:type="dxa"/>
            </w:tcMar>
            <w:vAlign w:val="center"/>
          </w:tcPr>
          <w:p w14:paraId="3F374B0F">
            <w:pPr>
              <w:adjustRightInd w:val="0"/>
              <w:snapToGrid w:val="0"/>
              <w:jc w:val="center"/>
              <w:rPr>
                <w:color w:val="auto"/>
                <w:sz w:val="24"/>
                <w:szCs w:val="24"/>
              </w:rPr>
            </w:pPr>
            <w:r>
              <w:rPr>
                <w:color w:val="auto"/>
                <w:sz w:val="24"/>
                <w:szCs w:val="24"/>
              </w:rPr>
              <w:t>总投资（万元）</w:t>
            </w:r>
          </w:p>
        </w:tc>
        <w:tc>
          <w:tcPr>
            <w:tcW w:w="2552" w:type="dxa"/>
            <w:vAlign w:val="center"/>
          </w:tcPr>
          <w:p w14:paraId="24FC9A3E">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50</w:t>
            </w:r>
          </w:p>
        </w:tc>
        <w:tc>
          <w:tcPr>
            <w:tcW w:w="2178" w:type="dxa"/>
            <w:tcMar>
              <w:top w:w="16" w:type="dxa"/>
              <w:left w:w="16" w:type="dxa"/>
              <w:right w:w="16" w:type="dxa"/>
            </w:tcMar>
            <w:vAlign w:val="center"/>
          </w:tcPr>
          <w:p w14:paraId="594C602E">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2726" w:type="dxa"/>
            <w:vAlign w:val="center"/>
          </w:tcPr>
          <w:p w14:paraId="40DF3E58">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olor w:val="auto"/>
                <w:sz w:val="24"/>
                <w:highlight w:val="none"/>
                <w:lang w:val="en-US" w:eastAsia="zh-CN"/>
              </w:rPr>
              <w:t>23.5</w:t>
            </w:r>
          </w:p>
        </w:tc>
      </w:tr>
      <w:tr w14:paraId="7BF832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14" w:type="dxa"/>
            <w:tcMar>
              <w:top w:w="16" w:type="dxa"/>
              <w:left w:w="16" w:type="dxa"/>
              <w:right w:w="16" w:type="dxa"/>
            </w:tcMar>
            <w:vAlign w:val="center"/>
          </w:tcPr>
          <w:p w14:paraId="641F07D9">
            <w:pPr>
              <w:adjustRightInd w:val="0"/>
              <w:snapToGrid w:val="0"/>
              <w:jc w:val="center"/>
              <w:rPr>
                <w:color w:val="auto"/>
                <w:sz w:val="24"/>
                <w:szCs w:val="24"/>
              </w:rPr>
            </w:pPr>
            <w:r>
              <w:rPr>
                <w:color w:val="auto"/>
                <w:sz w:val="24"/>
                <w:szCs w:val="24"/>
              </w:rPr>
              <w:t>环保投资占比（%）</w:t>
            </w:r>
          </w:p>
        </w:tc>
        <w:tc>
          <w:tcPr>
            <w:tcW w:w="2552" w:type="dxa"/>
            <w:vAlign w:val="center"/>
          </w:tcPr>
          <w:p w14:paraId="0F8E6AA2">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47</w:t>
            </w:r>
          </w:p>
        </w:tc>
        <w:tc>
          <w:tcPr>
            <w:tcW w:w="2178" w:type="dxa"/>
            <w:tcMar>
              <w:top w:w="16" w:type="dxa"/>
              <w:left w:w="16" w:type="dxa"/>
              <w:right w:w="16" w:type="dxa"/>
            </w:tcMar>
            <w:vAlign w:val="center"/>
          </w:tcPr>
          <w:p w14:paraId="2E661795">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施工工期</w:t>
            </w:r>
          </w:p>
        </w:tc>
        <w:tc>
          <w:tcPr>
            <w:tcW w:w="2726" w:type="dxa"/>
            <w:vAlign w:val="center"/>
          </w:tcPr>
          <w:p w14:paraId="549BEBFB">
            <w:pPr>
              <w:adjustRightInd w:val="0"/>
              <w:snapToGrid w:val="0"/>
              <w:jc w:val="center"/>
              <w:rPr>
                <w:rFonts w:hint="default" w:ascii="Times New Roman" w:hAnsi="Times New Roman" w:cs="Times New Roman"/>
                <w:color w:val="auto"/>
                <w:sz w:val="24"/>
                <w:szCs w:val="24"/>
                <w:highlight w:val="none"/>
                <w:lang w:val="en-US"/>
              </w:rPr>
            </w:pPr>
            <w:r>
              <w:rPr>
                <w:rFonts w:hint="eastAsia" w:cs="Times New Roman"/>
                <w:color w:val="auto"/>
                <w:sz w:val="24"/>
                <w:szCs w:val="24"/>
                <w:highlight w:val="none"/>
                <w:lang w:val="en-US" w:eastAsia="zh-CN"/>
              </w:rPr>
              <w:t>30天</w:t>
            </w:r>
          </w:p>
        </w:tc>
      </w:tr>
      <w:tr w14:paraId="478C1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14" w:type="dxa"/>
            <w:tcMar>
              <w:top w:w="16" w:type="dxa"/>
              <w:left w:w="16" w:type="dxa"/>
              <w:right w:w="16" w:type="dxa"/>
            </w:tcMar>
            <w:vAlign w:val="center"/>
          </w:tcPr>
          <w:p w14:paraId="7C5FE79E">
            <w:pPr>
              <w:adjustRightInd w:val="0"/>
              <w:snapToGrid w:val="0"/>
              <w:jc w:val="center"/>
              <w:rPr>
                <w:color w:val="auto"/>
                <w:sz w:val="24"/>
                <w:szCs w:val="24"/>
              </w:rPr>
            </w:pPr>
            <w:r>
              <w:rPr>
                <w:color w:val="auto"/>
                <w:sz w:val="24"/>
                <w:szCs w:val="24"/>
              </w:rPr>
              <w:t>是否开工建设</w:t>
            </w:r>
          </w:p>
        </w:tc>
        <w:tc>
          <w:tcPr>
            <w:tcW w:w="2552" w:type="dxa"/>
            <w:vAlign w:val="center"/>
          </w:tcPr>
          <w:p w14:paraId="4EFF6C5D">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否</w:t>
            </w:r>
          </w:p>
          <w:p w14:paraId="67009C54">
            <w:pPr>
              <w:adjustRightInd w:val="0"/>
              <w:snapToGrid w:val="0"/>
              <w:rPr>
                <w:rFonts w:hint="default" w:ascii="Times New Roman" w:hAnsi="Times New Roman" w:cs="Times New Roman"/>
                <w:color w:val="auto"/>
                <w:sz w:val="24"/>
                <w:szCs w:val="24"/>
                <w:u w:val="single"/>
                <w:lang w:val="en-US"/>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是：</w:t>
            </w:r>
            <w:r>
              <w:rPr>
                <w:rFonts w:hint="eastAsia" w:cs="Times New Roman"/>
                <w:color w:val="auto"/>
                <w:sz w:val="24"/>
                <w:szCs w:val="24"/>
                <w:u w:val="single"/>
                <w:lang w:val="en-US" w:eastAsia="zh-CN"/>
              </w:rPr>
              <w:t xml:space="preserve">              </w:t>
            </w:r>
          </w:p>
        </w:tc>
        <w:tc>
          <w:tcPr>
            <w:tcW w:w="2178" w:type="dxa"/>
            <w:tcMar>
              <w:top w:w="16" w:type="dxa"/>
              <w:left w:w="16" w:type="dxa"/>
              <w:right w:w="16" w:type="dxa"/>
            </w:tcMar>
            <w:vAlign w:val="center"/>
          </w:tcPr>
          <w:p w14:paraId="0548113B">
            <w:pPr>
              <w:adjustRightInd w:val="0"/>
              <w:snapToGrid w:val="0"/>
              <w:jc w:val="center"/>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14:paraId="116D1E4E">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2726" w:type="dxa"/>
            <w:vAlign w:val="center"/>
          </w:tcPr>
          <w:p w14:paraId="1E280F73">
            <w:pPr>
              <w:adjustRightInd w:val="0"/>
              <w:snapToGrid w:val="0"/>
              <w:jc w:val="center"/>
              <w:rPr>
                <w:rFonts w:hint="default" w:ascii="Times New Roman" w:hAnsi="Times New Roman" w:cs="Times New Roman"/>
                <w:color w:val="auto"/>
                <w:sz w:val="24"/>
                <w:szCs w:val="24"/>
                <w:lang w:val="en-US"/>
              </w:rPr>
            </w:pPr>
            <w:r>
              <w:rPr>
                <w:rFonts w:hint="eastAsia"/>
                <w:color w:val="auto"/>
                <w:sz w:val="24"/>
                <w:szCs w:val="24"/>
                <w:lang w:val="en-US" w:eastAsia="zh-CN"/>
              </w:rPr>
              <w:t>8794.71</w:t>
            </w:r>
          </w:p>
        </w:tc>
      </w:tr>
      <w:tr w14:paraId="0D4732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14" w:type="dxa"/>
            <w:vAlign w:val="center"/>
          </w:tcPr>
          <w:p w14:paraId="2603A35F">
            <w:pPr>
              <w:autoSpaceDE w:val="0"/>
              <w:autoSpaceDN w:val="0"/>
              <w:adjustRightInd w:val="0"/>
              <w:snapToGrid w:val="0"/>
              <w:jc w:val="center"/>
              <w:rPr>
                <w:color w:val="auto"/>
                <w:kern w:val="0"/>
                <w:sz w:val="24"/>
                <w:szCs w:val="24"/>
              </w:rPr>
            </w:pPr>
            <w:r>
              <w:rPr>
                <w:color w:val="auto"/>
                <w:kern w:val="0"/>
                <w:sz w:val="24"/>
                <w:szCs w:val="24"/>
              </w:rPr>
              <w:t>专项评价设置情况</w:t>
            </w:r>
          </w:p>
        </w:tc>
        <w:tc>
          <w:tcPr>
            <w:tcW w:w="7456" w:type="dxa"/>
            <w:gridSpan w:val="3"/>
            <w:vAlign w:val="center"/>
          </w:tcPr>
          <w:p w14:paraId="080A5259">
            <w:pPr>
              <w:adjustRightInd w:val="0"/>
              <w:snapToGrid w:val="0"/>
              <w:jc w:val="center"/>
              <w:rPr>
                <w:b/>
                <w:bCs/>
                <w:color w:val="auto"/>
                <w:sz w:val="21"/>
                <w:szCs w:val="21"/>
              </w:rPr>
            </w:pPr>
            <w:r>
              <w:rPr>
                <w:b/>
                <w:bCs/>
                <w:color w:val="auto"/>
                <w:sz w:val="21"/>
                <w:szCs w:val="21"/>
              </w:rPr>
              <w:t>表1-1    项目专项评价设置情况一览表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2743"/>
              <w:gridCol w:w="2196"/>
              <w:gridCol w:w="1314"/>
            </w:tblGrid>
            <w:tr w14:paraId="16CF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center"/>
                </w:tcPr>
                <w:p w14:paraId="7D779FDE">
                  <w:pPr>
                    <w:pStyle w:val="21"/>
                    <w:widowControl w:val="0"/>
                    <w:snapToGrid/>
                    <w:spacing w:before="0" w:after="0" w:line="240" w:lineRule="auto"/>
                    <w:ind w:right="0" w:firstLine="0" w:firstLineChars="0"/>
                    <w:jc w:val="center"/>
                    <w:rPr>
                      <w:rFonts w:ascii="Times New Roman" w:hAnsi="Times New Roman" w:eastAsia="宋体" w:cs="Times New Roman"/>
                      <w:b/>
                      <w:color w:val="auto"/>
                      <w:kern w:val="2"/>
                      <w:sz w:val="21"/>
                      <w:szCs w:val="21"/>
                    </w:rPr>
                  </w:pPr>
                  <w:r>
                    <w:rPr>
                      <w:rFonts w:ascii="Times New Roman" w:hAnsi="Times New Roman" w:eastAsia="宋体" w:cs="Times New Roman"/>
                      <w:b/>
                      <w:color w:val="auto"/>
                      <w:kern w:val="2"/>
                      <w:sz w:val="21"/>
                      <w:szCs w:val="21"/>
                    </w:rPr>
                    <w:t>专项评价类别</w:t>
                  </w:r>
                </w:p>
              </w:tc>
              <w:tc>
                <w:tcPr>
                  <w:tcW w:w="1896" w:type="pct"/>
                  <w:noWrap w:val="0"/>
                  <w:vAlign w:val="center"/>
                </w:tcPr>
                <w:p w14:paraId="33434602">
                  <w:pPr>
                    <w:pStyle w:val="21"/>
                    <w:widowControl w:val="0"/>
                    <w:snapToGrid/>
                    <w:spacing w:before="0" w:after="0" w:line="240" w:lineRule="auto"/>
                    <w:ind w:right="0" w:firstLine="0" w:firstLineChars="0"/>
                    <w:jc w:val="center"/>
                    <w:rPr>
                      <w:rFonts w:ascii="Times New Roman" w:hAnsi="Times New Roman" w:eastAsia="宋体" w:cs="Times New Roman"/>
                      <w:b/>
                      <w:color w:val="auto"/>
                      <w:kern w:val="2"/>
                      <w:sz w:val="21"/>
                      <w:szCs w:val="21"/>
                    </w:rPr>
                  </w:pPr>
                  <w:r>
                    <w:rPr>
                      <w:rFonts w:ascii="Times New Roman" w:hAnsi="Times New Roman" w:eastAsia="宋体" w:cs="Times New Roman"/>
                      <w:b/>
                      <w:color w:val="auto"/>
                      <w:kern w:val="2"/>
                      <w:sz w:val="21"/>
                      <w:szCs w:val="21"/>
                    </w:rPr>
                    <w:t>设置原则</w:t>
                  </w:r>
                </w:p>
              </w:tc>
              <w:tc>
                <w:tcPr>
                  <w:tcW w:w="1518" w:type="pct"/>
                  <w:noWrap w:val="0"/>
                  <w:vAlign w:val="center"/>
                </w:tcPr>
                <w:p w14:paraId="2BABFA3C">
                  <w:pPr>
                    <w:pStyle w:val="21"/>
                    <w:widowControl w:val="0"/>
                    <w:snapToGrid/>
                    <w:spacing w:before="0" w:after="0" w:line="240" w:lineRule="auto"/>
                    <w:ind w:right="0" w:firstLine="0" w:firstLineChars="0"/>
                    <w:jc w:val="center"/>
                    <w:rPr>
                      <w:rFonts w:ascii="Times New Roman" w:hAnsi="Times New Roman" w:eastAsia="宋体" w:cs="Times New Roman"/>
                      <w:b/>
                      <w:color w:val="auto"/>
                      <w:kern w:val="2"/>
                      <w:sz w:val="21"/>
                      <w:szCs w:val="21"/>
                    </w:rPr>
                  </w:pPr>
                  <w:r>
                    <w:rPr>
                      <w:rFonts w:ascii="Times New Roman" w:hAnsi="Times New Roman" w:eastAsia="宋体" w:cs="Times New Roman"/>
                      <w:b/>
                      <w:color w:val="auto"/>
                      <w:kern w:val="2"/>
                      <w:sz w:val="21"/>
                      <w:szCs w:val="21"/>
                    </w:rPr>
                    <w:t>本项目情况</w:t>
                  </w:r>
                </w:p>
              </w:tc>
              <w:tc>
                <w:tcPr>
                  <w:tcW w:w="908" w:type="pct"/>
                  <w:noWrap w:val="0"/>
                  <w:vAlign w:val="center"/>
                </w:tcPr>
                <w:p w14:paraId="79A99E44">
                  <w:pPr>
                    <w:pStyle w:val="21"/>
                    <w:widowControl w:val="0"/>
                    <w:snapToGrid/>
                    <w:spacing w:before="0" w:after="0" w:line="240" w:lineRule="auto"/>
                    <w:ind w:right="0" w:firstLine="0" w:firstLineChars="0"/>
                    <w:jc w:val="center"/>
                    <w:rPr>
                      <w:rFonts w:ascii="Times New Roman" w:hAnsi="Times New Roman" w:eastAsia="宋体" w:cs="Times New Roman"/>
                      <w:b/>
                      <w:color w:val="auto"/>
                      <w:kern w:val="2"/>
                      <w:sz w:val="21"/>
                      <w:szCs w:val="21"/>
                    </w:rPr>
                  </w:pPr>
                  <w:r>
                    <w:rPr>
                      <w:rFonts w:ascii="Times New Roman" w:hAnsi="Times New Roman" w:eastAsia="宋体" w:cs="Times New Roman"/>
                      <w:b/>
                      <w:color w:val="auto"/>
                      <w:kern w:val="2"/>
                      <w:sz w:val="21"/>
                      <w:szCs w:val="21"/>
                    </w:rPr>
                    <w:t>本项目专项设置情况</w:t>
                  </w:r>
                </w:p>
              </w:tc>
            </w:tr>
            <w:tr w14:paraId="3A33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center"/>
                </w:tcPr>
                <w:p w14:paraId="524E0811">
                  <w:pPr>
                    <w:pStyle w:val="21"/>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大气</w:t>
                  </w:r>
                </w:p>
              </w:tc>
              <w:tc>
                <w:tcPr>
                  <w:tcW w:w="1896" w:type="pct"/>
                  <w:noWrap w:val="0"/>
                  <w:vAlign w:val="center"/>
                </w:tcPr>
                <w:p w14:paraId="16E2196F">
                  <w:pPr>
                    <w:pStyle w:val="21"/>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排放废气含有毒有害污染物1、二噁英、苯并[a]芘、氰化物、氯气且厂界外500米范围内有环境空气保护目标2的建设项目</w:t>
                  </w:r>
                </w:p>
              </w:tc>
              <w:tc>
                <w:tcPr>
                  <w:tcW w:w="1518" w:type="pct"/>
                  <w:noWrap w:val="0"/>
                  <w:vAlign w:val="center"/>
                </w:tcPr>
                <w:p w14:paraId="7C58BF5D">
                  <w:pPr>
                    <w:pStyle w:val="21"/>
                    <w:widowControl w:val="0"/>
                    <w:snapToGrid/>
                    <w:spacing w:before="0" w:after="0" w:line="240" w:lineRule="auto"/>
                    <w:ind w:right="0" w:firstLine="0" w:firstLineChars="0"/>
                    <w:jc w:val="center"/>
                    <w:rPr>
                      <w:rFonts w:hint="eastAsia" w:ascii="Times New Roman" w:hAnsi="Times New Roman" w:eastAsia="宋体" w:cs="Times New Roman"/>
                      <w:color w:val="auto"/>
                      <w:kern w:val="2"/>
                      <w:sz w:val="21"/>
                      <w:szCs w:val="21"/>
                      <w:lang w:eastAsia="zh-CN"/>
                    </w:rPr>
                  </w:pPr>
                  <w:r>
                    <w:rPr>
                      <w:rFonts w:ascii="Times New Roman" w:hAnsi="Times New Roman" w:eastAsia="宋体" w:cs="Times New Roman"/>
                      <w:color w:val="auto"/>
                      <w:kern w:val="2"/>
                      <w:sz w:val="21"/>
                      <w:szCs w:val="21"/>
                    </w:rPr>
                    <w:t>本项目排放的废气中</w:t>
                  </w:r>
                  <w:r>
                    <w:rPr>
                      <w:rFonts w:hint="eastAsia" w:ascii="Times New Roman" w:hAnsi="Times New Roman" w:eastAsia="宋体" w:cs="Times New Roman"/>
                      <w:color w:val="auto"/>
                      <w:kern w:val="2"/>
                      <w:sz w:val="21"/>
                      <w:szCs w:val="21"/>
                      <w:lang w:val="en-US" w:eastAsia="zh-CN"/>
                    </w:rPr>
                    <w:t>不</w:t>
                  </w:r>
                  <w:r>
                    <w:rPr>
                      <w:rFonts w:ascii="Times New Roman" w:hAnsi="Times New Roman" w:eastAsia="宋体" w:cs="Times New Roman"/>
                      <w:color w:val="auto"/>
                      <w:kern w:val="2"/>
                      <w:sz w:val="21"/>
                      <w:szCs w:val="21"/>
                    </w:rPr>
                    <w:t>含有毒有害污染物</w:t>
                  </w:r>
                  <w:r>
                    <w:rPr>
                      <w:rFonts w:hint="eastAsia" w:ascii="Times New Roman" w:hAnsi="Times New Roman" w:eastAsia="宋体" w:cs="Times New Roman"/>
                      <w:color w:val="auto"/>
                      <w:kern w:val="2"/>
                      <w:sz w:val="21"/>
                      <w:szCs w:val="21"/>
                      <w:lang w:eastAsia="zh-CN"/>
                    </w:rPr>
                    <w:t>。</w:t>
                  </w:r>
                </w:p>
              </w:tc>
              <w:tc>
                <w:tcPr>
                  <w:tcW w:w="908" w:type="pct"/>
                  <w:noWrap w:val="0"/>
                  <w:vAlign w:val="center"/>
                </w:tcPr>
                <w:p w14:paraId="612FBB70">
                  <w:pPr>
                    <w:pStyle w:val="21"/>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不设</w:t>
                  </w:r>
                </w:p>
              </w:tc>
            </w:tr>
            <w:tr w14:paraId="15F6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center"/>
                </w:tcPr>
                <w:p w14:paraId="48319E02">
                  <w:pPr>
                    <w:pStyle w:val="21"/>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地表水</w:t>
                  </w:r>
                </w:p>
              </w:tc>
              <w:tc>
                <w:tcPr>
                  <w:tcW w:w="1896" w:type="pct"/>
                  <w:noWrap w:val="0"/>
                  <w:vAlign w:val="center"/>
                </w:tcPr>
                <w:p w14:paraId="6AF68958">
                  <w:pPr>
                    <w:pStyle w:val="21"/>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新增工业废水直排建设项目（槽罐车外送污水处理厂的除外）；新增废水直排的污水集中处理厂</w:t>
                  </w:r>
                </w:p>
              </w:tc>
              <w:tc>
                <w:tcPr>
                  <w:tcW w:w="1518" w:type="pct"/>
                  <w:noWrap w:val="0"/>
                  <w:vAlign w:val="center"/>
                </w:tcPr>
                <w:p w14:paraId="1D80166D">
                  <w:pPr>
                    <w:pStyle w:val="21"/>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本项目产生的</w:t>
                  </w:r>
                  <w:r>
                    <w:rPr>
                      <w:rFonts w:hint="eastAsia" w:ascii="Times New Roman" w:hAnsi="Times New Roman" w:cs="Times New Roman"/>
                      <w:color w:val="auto"/>
                      <w:kern w:val="2"/>
                      <w:sz w:val="21"/>
                      <w:szCs w:val="21"/>
                      <w:lang w:val="en-US" w:eastAsia="zh-CN"/>
                    </w:rPr>
                    <w:t>污水经处理达</w:t>
                  </w:r>
                  <w:r>
                    <w:rPr>
                      <w:rFonts w:hint="default" w:ascii="Times New Roman" w:hAnsi="Times New Roman" w:cs="Times New Roman"/>
                      <w:color w:val="auto"/>
                      <w:kern w:val="2"/>
                      <w:sz w:val="21"/>
                      <w:szCs w:val="21"/>
                      <w:lang w:val="en-US" w:eastAsia="zh-CN"/>
                    </w:rPr>
                    <w:t>标后排入</w:t>
                  </w:r>
                  <w:r>
                    <w:rPr>
                      <w:rFonts w:hint="default" w:ascii="Times New Roman" w:hAnsi="Times New Roman" w:cs="Times New Roman"/>
                      <w:color w:val="auto"/>
                      <w:sz w:val="21"/>
                      <w:szCs w:val="21"/>
                      <w:highlight w:val="none"/>
                    </w:rPr>
                    <w:t>元江工业园区MBR膜一体化300m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/d过渡式污水处理站</w:t>
                  </w:r>
                  <w:r>
                    <w:rPr>
                      <w:rFonts w:hint="eastAsia" w:ascii="Times New Roman" w:hAnsi="Times New Roman" w:cs="Times New Roman"/>
                      <w:color w:val="auto"/>
                      <w:sz w:val="21"/>
                      <w:szCs w:val="21"/>
                      <w:highlight w:val="none"/>
                      <w:lang w:val="en-US" w:eastAsia="zh-CN"/>
                    </w:rPr>
                    <w:t>处理</w:t>
                  </w:r>
                  <w:r>
                    <w:rPr>
                      <w:rFonts w:hint="eastAsia" w:ascii="Times New Roman" w:hAnsi="Times New Roman" w:eastAsia="宋体" w:cs="Times New Roman"/>
                      <w:color w:val="auto"/>
                      <w:kern w:val="2"/>
                      <w:sz w:val="21"/>
                      <w:szCs w:val="21"/>
                      <w:lang w:val="en-US" w:eastAsia="zh-CN"/>
                    </w:rPr>
                    <w:t>。项目不属于废水直排建设项目。</w:t>
                  </w:r>
                </w:p>
              </w:tc>
              <w:tc>
                <w:tcPr>
                  <w:tcW w:w="908" w:type="pct"/>
                  <w:noWrap w:val="0"/>
                  <w:vAlign w:val="center"/>
                </w:tcPr>
                <w:p w14:paraId="188CAB81">
                  <w:pPr>
                    <w:pStyle w:val="21"/>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不设</w:t>
                  </w:r>
                </w:p>
              </w:tc>
            </w:tr>
            <w:tr w14:paraId="41E5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pct"/>
                  <w:noWrap w:val="0"/>
                  <w:vAlign w:val="center"/>
                </w:tcPr>
                <w:p w14:paraId="59E6E9CB">
                  <w:pPr>
                    <w:pStyle w:val="21"/>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环境风险</w:t>
                  </w:r>
                </w:p>
              </w:tc>
              <w:tc>
                <w:tcPr>
                  <w:tcW w:w="1896" w:type="pct"/>
                  <w:noWrap w:val="0"/>
                  <w:vAlign w:val="center"/>
                </w:tcPr>
                <w:p w14:paraId="2CB839F7">
                  <w:pPr>
                    <w:pStyle w:val="21"/>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有毒有害和易燃易爆危险物质存储量超过临界量3的建设项目</w:t>
                  </w:r>
                </w:p>
              </w:tc>
              <w:tc>
                <w:tcPr>
                  <w:tcW w:w="1518" w:type="pct"/>
                  <w:noWrap w:val="0"/>
                  <w:vAlign w:val="center"/>
                </w:tcPr>
                <w:p w14:paraId="63B73459">
                  <w:pPr>
                    <w:pStyle w:val="21"/>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highlight w:val="yellow"/>
                    </w:rPr>
                  </w:pPr>
                  <w:r>
                    <w:rPr>
                      <w:rFonts w:ascii="Times New Roman" w:hAnsi="Times New Roman" w:eastAsia="宋体" w:cs="Times New Roman"/>
                      <w:color w:val="auto"/>
                      <w:kern w:val="2"/>
                      <w:sz w:val="21"/>
                      <w:szCs w:val="21"/>
                      <w:highlight w:val="none"/>
                    </w:rPr>
                    <w:t>项目风险物质主要为</w:t>
                  </w:r>
                  <w:r>
                    <w:rPr>
                      <w:rFonts w:hint="eastAsia" w:ascii="Times New Roman" w:hAnsi="Times New Roman" w:cs="Times New Roman"/>
                      <w:color w:val="auto"/>
                      <w:kern w:val="2"/>
                      <w:sz w:val="21"/>
                      <w:szCs w:val="21"/>
                      <w:highlight w:val="none"/>
                      <w:lang w:val="en-US" w:eastAsia="zh-CN"/>
                    </w:rPr>
                    <w:t>冷冻油、废冷冻油、碱性剂、酸性清洗剂，冷冻油最大在线量为0.5t，废冷冻油、碱性剂、酸性清洗剂</w:t>
                  </w:r>
                  <w:r>
                    <w:rPr>
                      <w:rFonts w:ascii="Times New Roman" w:hAnsi="Times New Roman" w:eastAsia="宋体" w:cs="Times New Roman"/>
                      <w:color w:val="auto"/>
                      <w:kern w:val="2"/>
                      <w:sz w:val="21"/>
                      <w:szCs w:val="21"/>
                      <w:highlight w:val="none"/>
                    </w:rPr>
                    <w:t>最大储存量</w:t>
                  </w:r>
                  <w:r>
                    <w:rPr>
                      <w:rFonts w:hint="eastAsia" w:ascii="Times New Roman" w:hAnsi="Times New Roman" w:cs="Times New Roman"/>
                      <w:color w:val="auto"/>
                      <w:kern w:val="2"/>
                      <w:sz w:val="21"/>
                      <w:szCs w:val="21"/>
                      <w:highlight w:val="none"/>
                      <w:lang w:val="en-US" w:eastAsia="zh-CN"/>
                    </w:rPr>
                    <w:t>分别</w:t>
                  </w:r>
                  <w:r>
                    <w:rPr>
                      <w:rFonts w:ascii="Times New Roman" w:hAnsi="Times New Roman" w:eastAsia="宋体" w:cs="Times New Roman"/>
                      <w:color w:val="auto"/>
                      <w:kern w:val="2"/>
                      <w:sz w:val="21"/>
                      <w:szCs w:val="21"/>
                      <w:highlight w:val="none"/>
                    </w:rPr>
                    <w:t>为</w:t>
                  </w:r>
                  <w:r>
                    <w:rPr>
                      <w:rFonts w:hint="eastAsia" w:ascii="Times New Roman" w:hAnsi="Times New Roman" w:cs="Times New Roman"/>
                      <w:color w:val="auto"/>
                      <w:kern w:val="2"/>
                      <w:sz w:val="21"/>
                      <w:szCs w:val="21"/>
                      <w:highlight w:val="none"/>
                      <w:lang w:val="en-US" w:eastAsia="zh-CN"/>
                    </w:rPr>
                    <w:t>0.1t、0.01</w:t>
                  </w:r>
                  <w:r>
                    <w:rPr>
                      <w:rFonts w:ascii="Times New Roman" w:hAnsi="Times New Roman" w:eastAsia="宋体" w:cs="Times New Roman"/>
                      <w:color w:val="auto"/>
                      <w:kern w:val="2"/>
                      <w:sz w:val="21"/>
                      <w:szCs w:val="21"/>
                      <w:highlight w:val="none"/>
                    </w:rPr>
                    <w:t>t</w:t>
                  </w:r>
                  <w:r>
                    <w:rPr>
                      <w:rFonts w:hint="eastAsia" w:ascii="Times New Roman" w:hAnsi="Times New Roman" w:cs="Times New Roman"/>
                      <w:color w:val="auto"/>
                      <w:kern w:val="2"/>
                      <w:sz w:val="21"/>
                      <w:szCs w:val="21"/>
                      <w:highlight w:val="none"/>
                      <w:lang w:eastAsia="zh-CN"/>
                    </w:rPr>
                    <w:t>、</w:t>
                  </w:r>
                  <w:r>
                    <w:rPr>
                      <w:rFonts w:hint="eastAsia" w:ascii="Times New Roman" w:hAnsi="Times New Roman" w:cs="Times New Roman"/>
                      <w:color w:val="auto"/>
                      <w:kern w:val="2"/>
                      <w:sz w:val="21"/>
                      <w:szCs w:val="21"/>
                      <w:highlight w:val="none"/>
                      <w:lang w:val="en-US" w:eastAsia="zh-CN"/>
                    </w:rPr>
                    <w:t>0.0115t</w:t>
                  </w:r>
                  <w:r>
                    <w:rPr>
                      <w:rFonts w:hint="eastAsia" w:ascii="Times New Roman" w:hAnsi="Times New Roman" w:cs="Times New Roman"/>
                      <w:color w:val="auto"/>
                      <w:kern w:val="2"/>
                      <w:sz w:val="21"/>
                      <w:szCs w:val="21"/>
                      <w:highlight w:val="none"/>
                      <w:lang w:eastAsia="zh-CN"/>
                    </w:rPr>
                    <w:t>，</w:t>
                  </w:r>
                  <w:r>
                    <w:rPr>
                      <w:rFonts w:ascii="Times New Roman" w:hAnsi="Times New Roman" w:eastAsia="宋体" w:cs="Times New Roman"/>
                      <w:color w:val="auto"/>
                      <w:kern w:val="2"/>
                      <w:sz w:val="21"/>
                      <w:szCs w:val="21"/>
                      <w:highlight w:val="none"/>
                    </w:rPr>
                    <w:t>小于临界量。</w:t>
                  </w:r>
                </w:p>
              </w:tc>
              <w:tc>
                <w:tcPr>
                  <w:tcW w:w="908" w:type="pct"/>
                  <w:noWrap w:val="0"/>
                  <w:vAlign w:val="center"/>
                </w:tcPr>
                <w:p w14:paraId="701755D4">
                  <w:pPr>
                    <w:pStyle w:val="21"/>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不设</w:t>
                  </w:r>
                </w:p>
              </w:tc>
            </w:tr>
            <w:tr w14:paraId="485E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center"/>
                </w:tcPr>
                <w:p w14:paraId="724E0056">
                  <w:pPr>
                    <w:pStyle w:val="21"/>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生态</w:t>
                  </w:r>
                </w:p>
              </w:tc>
              <w:tc>
                <w:tcPr>
                  <w:tcW w:w="1896" w:type="pct"/>
                  <w:noWrap w:val="0"/>
                  <w:vAlign w:val="center"/>
                </w:tcPr>
                <w:p w14:paraId="3F7AFDBA">
                  <w:pPr>
                    <w:pStyle w:val="21"/>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取水口下游500米范围内有重要水生生物的自然产卵场、索饵场、越冬场和洄游通道的新增河道取水的污染类建设项目</w:t>
                  </w:r>
                </w:p>
              </w:tc>
              <w:tc>
                <w:tcPr>
                  <w:tcW w:w="1518" w:type="pct"/>
                  <w:noWrap w:val="0"/>
                  <w:vAlign w:val="center"/>
                </w:tcPr>
                <w:p w14:paraId="5B785B00">
                  <w:pPr>
                    <w:pStyle w:val="21"/>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项目不涉及河道取水。</w:t>
                  </w:r>
                </w:p>
              </w:tc>
              <w:tc>
                <w:tcPr>
                  <w:tcW w:w="908" w:type="pct"/>
                  <w:noWrap w:val="0"/>
                  <w:vAlign w:val="center"/>
                </w:tcPr>
                <w:p w14:paraId="2972CEE0">
                  <w:pPr>
                    <w:pStyle w:val="21"/>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不设</w:t>
                  </w:r>
                </w:p>
              </w:tc>
            </w:tr>
            <w:tr w14:paraId="0EC7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center"/>
                </w:tcPr>
                <w:p w14:paraId="78E33B38">
                  <w:pPr>
                    <w:pStyle w:val="21"/>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海洋</w:t>
                  </w:r>
                </w:p>
              </w:tc>
              <w:tc>
                <w:tcPr>
                  <w:tcW w:w="1896" w:type="pct"/>
                  <w:noWrap w:val="0"/>
                  <w:vAlign w:val="center"/>
                </w:tcPr>
                <w:p w14:paraId="3669601C">
                  <w:pPr>
                    <w:pStyle w:val="21"/>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直接向海排放污染物的海洋工程建设项目</w:t>
                  </w:r>
                </w:p>
              </w:tc>
              <w:tc>
                <w:tcPr>
                  <w:tcW w:w="1518" w:type="pct"/>
                  <w:noWrap w:val="0"/>
                  <w:vAlign w:val="center"/>
                </w:tcPr>
                <w:p w14:paraId="14E06041">
                  <w:pPr>
                    <w:pStyle w:val="21"/>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项目不涉及海洋工程。</w:t>
                  </w:r>
                </w:p>
              </w:tc>
              <w:tc>
                <w:tcPr>
                  <w:tcW w:w="908" w:type="pct"/>
                  <w:noWrap w:val="0"/>
                  <w:vAlign w:val="center"/>
                </w:tcPr>
                <w:p w14:paraId="7CC0ABD9">
                  <w:pPr>
                    <w:pStyle w:val="21"/>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不设</w:t>
                  </w:r>
                </w:p>
              </w:tc>
            </w:tr>
            <w:tr w14:paraId="4659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14:paraId="42754996">
                  <w:pPr>
                    <w:pStyle w:val="21"/>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left"/>
                    <w:textAlignment w:val="auto"/>
                    <w:rPr>
                      <w:rFonts w:hint="default" w:ascii="Times New Roman" w:hAnsi="Times New Roman" w:cs="Times New Roman"/>
                      <w:b w:val="0"/>
                      <w:bCs w:val="0"/>
                      <w:iCs/>
                      <w:color w:val="auto"/>
                      <w:sz w:val="21"/>
                      <w:szCs w:val="21"/>
                    </w:rPr>
                  </w:pPr>
                  <w:r>
                    <w:rPr>
                      <w:rFonts w:hint="default" w:ascii="Times New Roman" w:hAnsi="Times New Roman" w:cs="Times New Roman"/>
                      <w:b w:val="0"/>
                      <w:bCs w:val="0"/>
                      <w:iCs/>
                      <w:color w:val="auto"/>
                      <w:sz w:val="21"/>
                      <w:szCs w:val="21"/>
                    </w:rPr>
                    <w:t>注：1.废气中有毒有害污染物指纳入《有毒有害大气污染物名录》的污染物（不包括无排放标准的污染物）。</w:t>
                  </w:r>
                </w:p>
                <w:p w14:paraId="3B948412">
                  <w:pPr>
                    <w:keepNext w:val="0"/>
                    <w:keepLines w:val="0"/>
                    <w:pageBreakBefore w:val="0"/>
                    <w:kinsoku/>
                    <w:wordWrap/>
                    <w:overflowPunct/>
                    <w:topLinePunct w:val="0"/>
                    <w:autoSpaceDE/>
                    <w:autoSpaceDN/>
                    <w:bidi w:val="0"/>
                    <w:adjustRightInd w:val="0"/>
                    <w:snapToGrid w:val="0"/>
                    <w:spacing w:line="240" w:lineRule="auto"/>
                    <w:ind w:right="0" w:firstLine="0" w:firstLineChars="0"/>
                    <w:jc w:val="left"/>
                    <w:textAlignment w:val="auto"/>
                    <w:rPr>
                      <w:rFonts w:hint="default" w:ascii="Times New Roman" w:hAnsi="Times New Roman" w:cs="Times New Roman"/>
                      <w:b w:val="0"/>
                      <w:bCs w:val="0"/>
                      <w:iCs/>
                      <w:color w:val="auto"/>
                      <w:sz w:val="21"/>
                      <w:szCs w:val="21"/>
                    </w:rPr>
                  </w:pPr>
                  <w:r>
                    <w:rPr>
                      <w:rFonts w:hint="default" w:ascii="Times New Roman" w:hAnsi="Times New Roman" w:cs="Times New Roman"/>
                      <w:b w:val="0"/>
                      <w:bCs w:val="0"/>
                      <w:iCs/>
                      <w:color w:val="auto"/>
                      <w:sz w:val="21"/>
                      <w:szCs w:val="21"/>
                    </w:rPr>
                    <w:t>2.环境空气保护目标指自然保护区、风景名胜区、居住区、文化区和农村地区中人群较集中的区域。</w:t>
                  </w:r>
                </w:p>
                <w:p w14:paraId="6B158AFE">
                  <w:pPr>
                    <w:pStyle w:val="2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left"/>
                    <w:textAlignment w:val="auto"/>
                    <w:rPr>
                      <w:rFonts w:ascii="Times New Roman" w:hAnsi="Times New Roman" w:eastAsia="宋体" w:cs="Times New Roman"/>
                      <w:color w:val="auto"/>
                      <w:kern w:val="2"/>
                      <w:sz w:val="21"/>
                      <w:szCs w:val="21"/>
                    </w:rPr>
                  </w:pPr>
                  <w:r>
                    <w:rPr>
                      <w:rFonts w:hint="default" w:ascii="Times New Roman" w:hAnsi="Times New Roman" w:cs="Times New Roman"/>
                      <w:b w:val="0"/>
                      <w:bCs w:val="0"/>
                      <w:iCs/>
                      <w:color w:val="auto"/>
                      <w:sz w:val="21"/>
                      <w:szCs w:val="21"/>
                    </w:rPr>
                    <w:t>3.临界量及其计算方法可参考《建设项目环境风险评价技术导则》（HJ 169）附录B、附录C。</w:t>
                  </w:r>
                </w:p>
              </w:tc>
            </w:tr>
          </w:tbl>
          <w:p w14:paraId="05EFBA41">
            <w:pPr>
              <w:autoSpaceDE w:val="0"/>
              <w:autoSpaceDN w:val="0"/>
              <w:adjustRightInd w:val="0"/>
              <w:snapToGrid w:val="0"/>
              <w:jc w:val="left"/>
              <w:rPr>
                <w:rFonts w:hint="default" w:ascii="Times New Roman" w:hAnsi="Times New Roman" w:cs="Times New Roman"/>
                <w:color w:val="auto"/>
                <w:kern w:val="0"/>
                <w:sz w:val="24"/>
                <w:szCs w:val="24"/>
              </w:rPr>
            </w:pPr>
            <w:r>
              <w:rPr>
                <w:b w:val="0"/>
                <w:bCs/>
                <w:iCs/>
                <w:color w:val="auto"/>
                <w:sz w:val="24"/>
                <w:szCs w:val="24"/>
              </w:rPr>
              <w:t>综上，本项目不设置专项评价。</w:t>
            </w:r>
          </w:p>
        </w:tc>
      </w:tr>
      <w:tr w14:paraId="63F5E4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1414" w:type="dxa"/>
            <w:vAlign w:val="center"/>
          </w:tcPr>
          <w:p w14:paraId="7410FD9B">
            <w:pPr>
              <w:autoSpaceDE w:val="0"/>
              <w:autoSpaceDN w:val="0"/>
              <w:adjustRightInd w:val="0"/>
              <w:snapToGrid w:val="0"/>
              <w:jc w:val="center"/>
              <w:rPr>
                <w:color w:val="auto"/>
                <w:kern w:val="0"/>
                <w:sz w:val="24"/>
                <w:szCs w:val="24"/>
                <w:highlight w:val="none"/>
              </w:rPr>
            </w:pPr>
            <w:r>
              <w:rPr>
                <w:color w:val="auto"/>
                <w:sz w:val="24"/>
                <w:szCs w:val="24"/>
                <w:highlight w:val="none"/>
              </w:rPr>
              <w:t>规划情况</w:t>
            </w:r>
          </w:p>
        </w:tc>
        <w:tc>
          <w:tcPr>
            <w:tcW w:w="7456" w:type="dxa"/>
            <w:gridSpan w:val="3"/>
            <w:vAlign w:val="center"/>
          </w:tcPr>
          <w:p w14:paraId="27909D8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color w:val="auto"/>
                <w:sz w:val="24"/>
                <w:szCs w:val="24"/>
                <w:highlight w:val="none"/>
                <w:shd w:val="clear" w:color="auto" w:fill="FFFFFF"/>
              </w:rPr>
            </w:pPr>
            <w:r>
              <w:rPr>
                <w:b/>
                <w:bCs/>
                <w:color w:val="auto"/>
                <w:sz w:val="24"/>
                <w:szCs w:val="24"/>
                <w:highlight w:val="none"/>
              </w:rPr>
              <w:t>规划名称：</w:t>
            </w:r>
            <w:r>
              <w:rPr>
                <w:bCs/>
                <w:color w:val="auto"/>
                <w:sz w:val="24"/>
                <w:szCs w:val="24"/>
                <w:highlight w:val="none"/>
              </w:rPr>
              <w:t>《</w:t>
            </w:r>
            <w:r>
              <w:rPr>
                <w:rFonts w:hint="eastAsia"/>
                <w:bCs/>
                <w:color w:val="auto"/>
                <w:sz w:val="24"/>
                <w:szCs w:val="24"/>
                <w:highlight w:val="none"/>
                <w:lang w:val="en-US" w:eastAsia="zh-CN"/>
              </w:rPr>
              <w:t>云南元江产业园区</w:t>
            </w:r>
            <w:r>
              <w:rPr>
                <w:bCs/>
                <w:color w:val="auto"/>
                <w:sz w:val="24"/>
                <w:szCs w:val="24"/>
                <w:highlight w:val="none"/>
              </w:rPr>
              <w:t>总体规划修编（2021-2035）》</w:t>
            </w:r>
            <w:r>
              <w:rPr>
                <w:color w:val="auto"/>
                <w:sz w:val="24"/>
                <w:szCs w:val="24"/>
                <w:highlight w:val="none"/>
                <w:shd w:val="clear" w:color="auto" w:fill="FFFFFF"/>
              </w:rPr>
              <w:t>；</w:t>
            </w:r>
          </w:p>
          <w:p w14:paraId="3D1A259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bCs/>
                <w:color w:val="auto"/>
                <w:sz w:val="24"/>
                <w:szCs w:val="24"/>
                <w:highlight w:val="none"/>
              </w:rPr>
            </w:pPr>
            <w:r>
              <w:rPr>
                <w:b/>
                <w:bCs w:val="0"/>
                <w:color w:val="auto"/>
                <w:sz w:val="24"/>
                <w:szCs w:val="24"/>
                <w:highlight w:val="none"/>
              </w:rPr>
              <w:t>审批机关：</w:t>
            </w:r>
            <w:r>
              <w:rPr>
                <w:rFonts w:hint="eastAsia"/>
                <w:bCs/>
                <w:color w:val="auto"/>
                <w:sz w:val="24"/>
                <w:szCs w:val="24"/>
                <w:highlight w:val="none"/>
              </w:rPr>
              <w:t>玉溪市人民政府</w:t>
            </w:r>
            <w:r>
              <w:rPr>
                <w:bCs/>
                <w:color w:val="auto"/>
                <w:sz w:val="24"/>
                <w:szCs w:val="24"/>
                <w:highlight w:val="none"/>
              </w:rPr>
              <w:t>；</w:t>
            </w:r>
          </w:p>
          <w:p w14:paraId="6712EE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color w:val="auto"/>
                <w:sz w:val="24"/>
                <w:szCs w:val="24"/>
                <w:highlight w:val="none"/>
                <w:lang w:val="en-US" w:eastAsia="zh-CN"/>
              </w:rPr>
            </w:pPr>
            <w:r>
              <w:rPr>
                <w:b/>
                <w:bCs w:val="0"/>
                <w:color w:val="auto"/>
                <w:sz w:val="24"/>
                <w:szCs w:val="24"/>
                <w:highlight w:val="none"/>
              </w:rPr>
              <w:t>审查文件名称及文号：</w:t>
            </w:r>
            <w:r>
              <w:rPr>
                <w:rFonts w:hint="eastAsia"/>
                <w:bCs/>
                <w:color w:val="auto"/>
                <w:sz w:val="24"/>
                <w:szCs w:val="24"/>
                <w:highlight w:val="none"/>
              </w:rPr>
              <w:t>玉政复〔2023〕</w:t>
            </w:r>
            <w:r>
              <w:rPr>
                <w:rFonts w:hint="eastAsia"/>
                <w:bCs/>
                <w:color w:val="auto"/>
                <w:sz w:val="24"/>
                <w:szCs w:val="24"/>
                <w:highlight w:val="none"/>
                <w:lang w:val="en-US" w:eastAsia="zh-CN"/>
              </w:rPr>
              <w:t>23</w:t>
            </w:r>
            <w:r>
              <w:rPr>
                <w:rFonts w:hint="eastAsia"/>
                <w:bCs/>
                <w:color w:val="auto"/>
                <w:sz w:val="24"/>
                <w:szCs w:val="24"/>
                <w:highlight w:val="none"/>
              </w:rPr>
              <w:t>号</w:t>
            </w:r>
            <w:r>
              <w:rPr>
                <w:bCs/>
                <w:color w:val="auto"/>
                <w:sz w:val="24"/>
                <w:szCs w:val="24"/>
                <w:highlight w:val="none"/>
              </w:rPr>
              <w:t>。</w:t>
            </w:r>
          </w:p>
        </w:tc>
      </w:tr>
      <w:tr w14:paraId="14A714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4" w:type="dxa"/>
            <w:vAlign w:val="center"/>
          </w:tcPr>
          <w:p w14:paraId="4DF446CD">
            <w:pPr>
              <w:adjustRightInd w:val="0"/>
              <w:snapToGrid w:val="0"/>
              <w:jc w:val="center"/>
              <w:rPr>
                <w:color w:val="auto"/>
                <w:sz w:val="24"/>
                <w:szCs w:val="24"/>
                <w:highlight w:val="none"/>
              </w:rPr>
            </w:pPr>
            <w:r>
              <w:rPr>
                <w:color w:val="auto"/>
                <w:sz w:val="24"/>
                <w:szCs w:val="24"/>
                <w:highlight w:val="none"/>
              </w:rPr>
              <w:t>规划环境影响</w:t>
            </w:r>
          </w:p>
          <w:p w14:paraId="272761B2">
            <w:pPr>
              <w:adjustRightInd w:val="0"/>
              <w:snapToGrid w:val="0"/>
              <w:jc w:val="center"/>
              <w:rPr>
                <w:color w:val="auto"/>
                <w:kern w:val="0"/>
                <w:sz w:val="24"/>
                <w:szCs w:val="24"/>
                <w:highlight w:val="none"/>
              </w:rPr>
            </w:pPr>
            <w:r>
              <w:rPr>
                <w:color w:val="auto"/>
                <w:sz w:val="24"/>
                <w:szCs w:val="24"/>
                <w:highlight w:val="none"/>
              </w:rPr>
              <w:t>评价情况</w:t>
            </w:r>
          </w:p>
        </w:tc>
        <w:tc>
          <w:tcPr>
            <w:tcW w:w="7456" w:type="dxa"/>
            <w:gridSpan w:val="3"/>
            <w:vAlign w:val="center"/>
          </w:tcPr>
          <w:p w14:paraId="714CFBB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bCs/>
                <w:color w:val="auto"/>
                <w:sz w:val="24"/>
                <w:szCs w:val="24"/>
              </w:rPr>
            </w:pPr>
            <w:r>
              <w:rPr>
                <w:b/>
                <w:bCs/>
                <w:color w:val="auto"/>
                <w:sz w:val="24"/>
                <w:szCs w:val="24"/>
              </w:rPr>
              <w:t>规划环境影响评价文件名称：</w:t>
            </w:r>
            <w:r>
              <w:rPr>
                <w:bCs/>
                <w:color w:val="auto"/>
                <w:sz w:val="24"/>
                <w:szCs w:val="24"/>
              </w:rPr>
              <w:t>《</w:t>
            </w:r>
            <w:r>
              <w:rPr>
                <w:rFonts w:hint="eastAsia"/>
                <w:bCs/>
                <w:color w:val="auto"/>
                <w:sz w:val="24"/>
                <w:szCs w:val="24"/>
                <w:lang w:val="en-US" w:eastAsia="zh-CN"/>
              </w:rPr>
              <w:t>云南元江产业园区</w:t>
            </w:r>
            <w:r>
              <w:rPr>
                <w:bCs/>
                <w:color w:val="auto"/>
                <w:sz w:val="24"/>
                <w:szCs w:val="24"/>
              </w:rPr>
              <w:t>总体规划修编（2021-2035）环境影响报告书》；</w:t>
            </w:r>
          </w:p>
          <w:p w14:paraId="534F09E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bCs/>
                <w:color w:val="auto"/>
                <w:sz w:val="24"/>
                <w:szCs w:val="24"/>
              </w:rPr>
            </w:pPr>
            <w:r>
              <w:rPr>
                <w:b/>
                <w:bCs/>
                <w:color w:val="auto"/>
                <w:sz w:val="24"/>
                <w:szCs w:val="24"/>
              </w:rPr>
              <w:t>召集审查机关：</w:t>
            </w:r>
            <w:r>
              <w:rPr>
                <w:bCs/>
                <w:color w:val="auto"/>
                <w:sz w:val="24"/>
                <w:szCs w:val="24"/>
              </w:rPr>
              <w:t>玉溪市生态环境局；</w:t>
            </w:r>
          </w:p>
          <w:p w14:paraId="461F2AF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color w:val="auto"/>
                <w:sz w:val="24"/>
                <w:szCs w:val="24"/>
                <w:highlight w:val="none"/>
              </w:rPr>
            </w:pPr>
            <w:r>
              <w:rPr>
                <w:b/>
                <w:bCs/>
                <w:color w:val="auto"/>
                <w:sz w:val="24"/>
                <w:szCs w:val="24"/>
              </w:rPr>
              <w:t>审查文件名称及文号：</w:t>
            </w:r>
            <w:r>
              <w:rPr>
                <w:rFonts w:hint="eastAsia"/>
                <w:b w:val="0"/>
                <w:bCs w:val="0"/>
                <w:color w:val="auto"/>
                <w:sz w:val="24"/>
                <w:szCs w:val="24"/>
                <w:lang w:eastAsia="zh-CN"/>
              </w:rPr>
              <w:t>《</w:t>
            </w:r>
            <w:r>
              <w:rPr>
                <w:b w:val="0"/>
                <w:bCs w:val="0"/>
                <w:color w:val="auto"/>
                <w:sz w:val="24"/>
                <w:szCs w:val="24"/>
              </w:rPr>
              <w:t>玉溪市生态环境局关于</w:t>
            </w:r>
            <w:r>
              <w:rPr>
                <w:rFonts w:hint="eastAsia"/>
                <w:bCs/>
                <w:color w:val="auto"/>
                <w:sz w:val="24"/>
                <w:szCs w:val="24"/>
                <w:lang w:val="en-US" w:eastAsia="zh-CN"/>
              </w:rPr>
              <w:t>云南元江产业园区</w:t>
            </w:r>
            <w:r>
              <w:rPr>
                <w:b w:val="0"/>
                <w:bCs w:val="0"/>
                <w:color w:val="auto"/>
                <w:sz w:val="24"/>
                <w:szCs w:val="24"/>
              </w:rPr>
              <w:t>总体规划修编（2021-2035）环境影响报告书</w:t>
            </w:r>
            <w:r>
              <w:rPr>
                <w:rFonts w:hint="eastAsia"/>
                <w:b w:val="0"/>
                <w:bCs w:val="0"/>
                <w:color w:val="auto"/>
                <w:sz w:val="24"/>
                <w:szCs w:val="24"/>
                <w:lang w:eastAsia="zh-CN"/>
              </w:rPr>
              <w:t>》</w:t>
            </w:r>
            <w:r>
              <w:rPr>
                <w:b w:val="0"/>
                <w:bCs w:val="0"/>
                <w:color w:val="auto"/>
                <w:sz w:val="24"/>
                <w:szCs w:val="24"/>
              </w:rPr>
              <w:t>审查意见（玉市环函〔202</w:t>
            </w:r>
            <w:r>
              <w:rPr>
                <w:rFonts w:hint="eastAsia"/>
                <w:b w:val="0"/>
                <w:bCs w:val="0"/>
                <w:color w:val="auto"/>
                <w:sz w:val="24"/>
                <w:szCs w:val="24"/>
                <w:lang w:val="en-US" w:eastAsia="zh-CN"/>
              </w:rPr>
              <w:t>3</w:t>
            </w:r>
            <w:r>
              <w:rPr>
                <w:b w:val="0"/>
                <w:bCs w:val="0"/>
                <w:color w:val="auto"/>
                <w:sz w:val="24"/>
                <w:szCs w:val="24"/>
              </w:rPr>
              <w:t>〕</w:t>
            </w:r>
            <w:r>
              <w:rPr>
                <w:rFonts w:hint="eastAsia"/>
                <w:b w:val="0"/>
                <w:bCs w:val="0"/>
                <w:color w:val="auto"/>
                <w:sz w:val="24"/>
                <w:szCs w:val="24"/>
                <w:lang w:val="en-US" w:eastAsia="zh-CN"/>
              </w:rPr>
              <w:t>24</w:t>
            </w:r>
            <w:r>
              <w:rPr>
                <w:b w:val="0"/>
                <w:bCs w:val="0"/>
                <w:color w:val="auto"/>
                <w:sz w:val="24"/>
                <w:szCs w:val="24"/>
              </w:rPr>
              <w:t>号）。</w:t>
            </w:r>
          </w:p>
        </w:tc>
      </w:tr>
      <w:tr w14:paraId="6A403E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14" w:type="dxa"/>
            <w:vAlign w:val="center"/>
          </w:tcPr>
          <w:p w14:paraId="16D6AD7C">
            <w:pPr>
              <w:autoSpaceDE w:val="0"/>
              <w:autoSpaceDN w:val="0"/>
              <w:adjustRightInd w:val="0"/>
              <w:snapToGrid w:val="0"/>
              <w:jc w:val="center"/>
              <w:rPr>
                <w:color w:val="auto"/>
                <w:kern w:val="0"/>
                <w:sz w:val="24"/>
                <w:szCs w:val="24"/>
              </w:rPr>
            </w:pPr>
            <w:r>
              <w:rPr>
                <w:color w:val="auto"/>
                <w:kern w:val="0"/>
                <w:sz w:val="24"/>
                <w:szCs w:val="24"/>
              </w:rPr>
              <w:t>规划及规划环境影响评价符合性分析</w:t>
            </w:r>
          </w:p>
        </w:tc>
        <w:tc>
          <w:tcPr>
            <w:tcW w:w="7456" w:type="dxa"/>
            <w:gridSpan w:val="3"/>
            <w:vAlign w:val="center"/>
          </w:tcPr>
          <w:p w14:paraId="4C143ED6">
            <w:pPr>
              <w:adjustRightInd w:val="0"/>
              <w:snapToGrid w:val="0"/>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1、与《云南元江产业园区总体规划修编（2021-2035年）》符合性分析</w:t>
            </w:r>
          </w:p>
          <w:p w14:paraId="619580E2">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b w:val="0"/>
                <w:bCs w:val="0"/>
                <w:color w:val="auto"/>
                <w:sz w:val="24"/>
                <w:szCs w:val="24"/>
              </w:rPr>
              <w:t>根据《玉溪市开发区工作领导小组办公室关于做好有关开发区总体规划调整工作的通知》要求，调整编制了《云南元江产业园区总体规划修编（2021-2035年）》（以下简称《规划》），云南元江产业园区规划用地总面积为1440.0496公顷，按照“一园三区”进行空间布局，甘庄片区规划用地面积683.4643公顷，四至范围东至中老铁路跨境物流产业园，西至干坝水库，南至玉磨高速国道G213线，北至元江中电光伏发电区。江东片区规划用地面积384.5307公顷，四至范围东至元江职业中学，西至元江河岸，南至粮食仓库，北至老县水泥厂。安定片区规划用地面积372.0546公顷，四至范围东至坂壁河，西至墨江县县界，南至南安公路，北至小坂壁村南部。打造“一主三辅”的产业集群，以冶金新材料为主导产业，以装备</w:t>
            </w:r>
            <w:r>
              <w:rPr>
                <w:rFonts w:hint="default" w:ascii="Times New Roman" w:hAnsi="Times New Roman" w:eastAsia="宋体" w:cs="Times New Roman"/>
                <w:color w:val="auto"/>
                <w:sz w:val="24"/>
                <w:szCs w:val="24"/>
              </w:rPr>
              <w:t>制造、特色生物资源加工、轻工制造为辅助产业的园区产业体系。规划期限为2021-2035年。</w:t>
            </w:r>
          </w:p>
          <w:p w14:paraId="1327A69D">
            <w:pPr>
              <w:adjustRightInd w:val="0"/>
              <w:snapToGrid w:val="0"/>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eastAsia="宋体" w:cs="Times New Roman"/>
                <w:color w:val="auto"/>
                <w:sz w:val="24"/>
                <w:szCs w:val="24"/>
              </w:rPr>
              <w:t>甘庄片区是冶金新材料和特色生物资源加工片区，分为冶金新材料及装备制造组团、特色生物资源加工组团；江东片区是特色生物资源加工片区，分为特色生物资源加工组团、产城融合发展组团、轻工制造组团；安定片区是冶金新材料和装备制造片区，分为冶金新材料组团、装备制造组团。</w:t>
            </w:r>
          </w:p>
          <w:p w14:paraId="01D17D27">
            <w:pPr>
              <w:adjustRightInd w:val="0"/>
              <w:snapToGrid w:val="0"/>
              <w:spacing w:line="360" w:lineRule="auto"/>
              <w:ind w:firstLine="480" w:firstLineChars="200"/>
              <w:rPr>
                <w:rFonts w:hint="eastAsia" w:eastAsia="宋体"/>
                <w:b w:val="0"/>
                <w:bCs w:val="0"/>
                <w:color w:val="auto"/>
                <w:sz w:val="24"/>
                <w:szCs w:val="24"/>
                <w:highlight w:val="none"/>
                <w:lang w:val="en-US" w:eastAsia="zh-CN"/>
              </w:rPr>
            </w:pPr>
            <w:r>
              <w:rPr>
                <w:rFonts w:hint="eastAsia"/>
                <w:b w:val="0"/>
                <w:bCs w:val="0"/>
                <w:color w:val="auto"/>
                <w:sz w:val="24"/>
                <w:szCs w:val="24"/>
                <w:lang w:val="en-US" w:eastAsia="zh-CN"/>
              </w:rPr>
              <w:t>本项目为</w:t>
            </w:r>
            <w:r>
              <w:rPr>
                <w:rFonts w:hint="default" w:ascii="Times New Roman" w:hAnsi="Times New Roman" w:cs="Times New Roman"/>
                <w:color w:val="auto"/>
                <w:sz w:val="24"/>
                <w:szCs w:val="24"/>
                <w:highlight w:val="none"/>
              </w:rPr>
              <w:t>速冻果蔬食品</w:t>
            </w:r>
            <w:r>
              <w:rPr>
                <w:rFonts w:hint="eastAsia" w:cs="Times New Roman"/>
                <w:color w:val="auto"/>
                <w:sz w:val="24"/>
                <w:szCs w:val="24"/>
                <w:highlight w:val="none"/>
                <w:lang w:val="en-US" w:eastAsia="zh-CN"/>
              </w:rPr>
              <w:t>技改</w:t>
            </w:r>
            <w:r>
              <w:rPr>
                <w:rFonts w:hint="default" w:ascii="Times New Roman" w:hAnsi="Times New Roman" w:cs="Times New Roman"/>
                <w:color w:val="auto"/>
                <w:sz w:val="24"/>
                <w:szCs w:val="24"/>
                <w:highlight w:val="none"/>
              </w:rPr>
              <w:t>项目</w:t>
            </w:r>
            <w:r>
              <w:rPr>
                <w:rFonts w:hint="eastAsia"/>
                <w:bCs/>
                <w:color w:val="auto"/>
                <w:sz w:val="24"/>
                <w:szCs w:val="24"/>
                <w:highlight w:val="none"/>
                <w:lang w:val="en-US" w:eastAsia="zh-CN"/>
              </w:rPr>
              <w:t>，位于甘庄片区冶金新材料及装备制造组团内。根据云南元江产业园区管理委员会出具的《关于云南果研社农业科技发展有限公司果蔬深加工项目的情况说明》：云南果研社农业科技发展有限公司于2021年12月签订果蔬深加工项目入园投资协议，并于2022年5月1日建成投产，该项目落地在园区最新总体规划获批之前，项目符合旧版本规划要求。考虑到厂区搬迁难度较大，时间较长，为避免严重影响企业正常生产和运转，暂时保留该企业项目在干坝厂区，待后续情况适宜时，园区再协同企业缓慢进行搬迁工作。综上，项目与</w:t>
            </w:r>
            <w:r>
              <w:rPr>
                <w:rFonts w:hint="default" w:ascii="Times New Roman" w:hAnsi="Times New Roman" w:cs="Times New Roman"/>
                <w:b w:val="0"/>
                <w:bCs w:val="0"/>
                <w:color w:val="auto"/>
                <w:sz w:val="24"/>
                <w:szCs w:val="24"/>
              </w:rPr>
              <w:t>《云南元江产业园区总体规划修编（2021-2035年）》</w:t>
            </w:r>
            <w:r>
              <w:rPr>
                <w:rFonts w:hint="eastAsia" w:ascii="Times New Roman" w:hAnsi="Times New Roman" w:cs="Times New Roman"/>
                <w:b w:val="0"/>
                <w:bCs w:val="0"/>
                <w:color w:val="auto"/>
                <w:sz w:val="24"/>
                <w:szCs w:val="24"/>
                <w:lang w:val="en-US" w:eastAsia="zh-CN"/>
              </w:rPr>
              <w:t>不冲突。</w:t>
            </w:r>
          </w:p>
          <w:p w14:paraId="70627C0A">
            <w:pPr>
              <w:adjustRightInd w:val="0"/>
              <w:snapToGrid w:val="0"/>
              <w:spacing w:line="360" w:lineRule="auto"/>
              <w:rPr>
                <w:b/>
                <w:bCs/>
                <w:color w:val="auto"/>
                <w:sz w:val="24"/>
                <w:szCs w:val="24"/>
              </w:rPr>
            </w:pPr>
            <w:r>
              <w:rPr>
                <w:rFonts w:hint="eastAsia"/>
                <w:b/>
                <w:bCs/>
                <w:color w:val="auto"/>
                <w:sz w:val="24"/>
                <w:szCs w:val="24"/>
                <w:lang w:val="en-US" w:eastAsia="zh-CN"/>
              </w:rPr>
              <w:t>2、</w:t>
            </w:r>
            <w:r>
              <w:rPr>
                <w:b/>
                <w:bCs/>
                <w:color w:val="auto"/>
                <w:sz w:val="24"/>
                <w:szCs w:val="24"/>
              </w:rPr>
              <w:t>与《</w:t>
            </w:r>
            <w:r>
              <w:rPr>
                <w:rFonts w:hint="default" w:ascii="Times New Roman" w:hAnsi="Times New Roman" w:cs="Times New Roman"/>
                <w:b/>
                <w:bCs/>
                <w:color w:val="auto"/>
                <w:sz w:val="24"/>
                <w:szCs w:val="24"/>
              </w:rPr>
              <w:t>云南元江产业园区总体规划修编（2021-2035年）</w:t>
            </w:r>
            <w:r>
              <w:rPr>
                <w:b/>
                <w:bCs/>
                <w:color w:val="auto"/>
                <w:sz w:val="24"/>
                <w:szCs w:val="24"/>
              </w:rPr>
              <w:t>环境影响报告书》</w:t>
            </w:r>
            <w:r>
              <w:rPr>
                <w:rFonts w:hint="eastAsia"/>
                <w:b/>
                <w:bCs/>
                <w:color w:val="auto"/>
                <w:sz w:val="24"/>
                <w:szCs w:val="24"/>
                <w:lang w:val="en-US" w:eastAsia="zh-CN"/>
              </w:rPr>
              <w:t>及审查意见的</w:t>
            </w:r>
            <w:r>
              <w:rPr>
                <w:b/>
                <w:bCs/>
                <w:color w:val="auto"/>
                <w:sz w:val="24"/>
                <w:szCs w:val="24"/>
              </w:rPr>
              <w:t>符合性分析</w:t>
            </w:r>
          </w:p>
          <w:p w14:paraId="55CCA683">
            <w:pPr>
              <w:adjustRightInd w:val="0"/>
              <w:snapToGrid w:val="0"/>
              <w:spacing w:line="360" w:lineRule="auto"/>
              <w:rPr>
                <w:b/>
                <w:bCs/>
                <w:color w:val="auto"/>
                <w:sz w:val="24"/>
              </w:rPr>
            </w:pPr>
            <w:r>
              <w:rPr>
                <w:b/>
                <w:bCs/>
                <w:color w:val="auto"/>
                <w:sz w:val="24"/>
              </w:rPr>
              <w:t>（1）与《</w:t>
            </w:r>
            <w:r>
              <w:rPr>
                <w:rFonts w:hint="default" w:ascii="Times New Roman" w:hAnsi="Times New Roman" w:cs="Times New Roman"/>
                <w:b/>
                <w:bCs/>
                <w:color w:val="auto"/>
                <w:sz w:val="24"/>
                <w:szCs w:val="24"/>
              </w:rPr>
              <w:t>云南元江产业园区总体规划修编（2021-2035年）</w:t>
            </w:r>
            <w:r>
              <w:rPr>
                <w:b/>
                <w:bCs/>
                <w:color w:val="auto"/>
                <w:sz w:val="24"/>
              </w:rPr>
              <w:t>环境影响报告书》</w:t>
            </w:r>
            <w:r>
              <w:rPr>
                <w:rFonts w:hint="eastAsia"/>
                <w:b/>
                <w:bCs/>
                <w:color w:val="auto"/>
                <w:sz w:val="24"/>
                <w:lang w:val="en-US" w:eastAsia="zh-CN"/>
              </w:rPr>
              <w:t>的</w:t>
            </w:r>
            <w:r>
              <w:rPr>
                <w:b/>
                <w:bCs/>
                <w:color w:val="auto"/>
                <w:sz w:val="24"/>
              </w:rPr>
              <w:t>符合性分析</w:t>
            </w:r>
          </w:p>
          <w:p w14:paraId="1F6C864F">
            <w:pPr>
              <w:numPr>
                <w:ilvl w:val="0"/>
                <w:numId w:val="0"/>
              </w:numPr>
              <w:adjustRightInd w:val="0"/>
              <w:snapToGrid w:val="0"/>
              <w:spacing w:beforeLines="0" w:line="360" w:lineRule="auto"/>
              <w:ind w:firstLine="480" w:firstLineChars="200"/>
              <w:rPr>
                <w:rFonts w:hint="default" w:ascii="Times New Roman" w:hAnsi="Times New Roman" w:eastAsia="宋体" w:cs="Times New Roman"/>
                <w:snapToGrid w:val="0"/>
                <w:color w:val="auto"/>
                <w:kern w:val="0"/>
                <w:sz w:val="24"/>
                <w:szCs w:val="24"/>
              </w:rPr>
            </w:pPr>
            <w:r>
              <w:rPr>
                <w:rFonts w:hint="eastAsia" w:eastAsia="宋体"/>
                <w:b w:val="0"/>
                <w:bCs w:val="0"/>
                <w:color w:val="auto"/>
                <w:sz w:val="24"/>
                <w:szCs w:val="24"/>
                <w:lang w:val="en-US" w:eastAsia="zh-CN"/>
              </w:rPr>
              <w:t>根据《</w:t>
            </w:r>
            <w:r>
              <w:rPr>
                <w:rFonts w:hint="default" w:eastAsia="宋体"/>
                <w:b w:val="0"/>
                <w:bCs w:val="0"/>
                <w:color w:val="auto"/>
                <w:sz w:val="24"/>
                <w:szCs w:val="24"/>
                <w:lang w:val="en-US" w:eastAsia="zh-CN"/>
              </w:rPr>
              <w:t>云南元江产业园区总体规划修编（2021-2035年）</w:t>
            </w:r>
            <w:r>
              <w:rPr>
                <w:rFonts w:hint="eastAsia" w:eastAsia="宋体"/>
                <w:b w:val="0"/>
                <w:bCs w:val="0"/>
                <w:color w:val="auto"/>
                <w:sz w:val="24"/>
                <w:szCs w:val="24"/>
                <w:lang w:val="en-US" w:eastAsia="zh-CN"/>
              </w:rPr>
              <w:t>环境影响报告书》中现有企业的环境管理要求：园</w:t>
            </w:r>
            <w:r>
              <w:rPr>
                <w:rFonts w:hint="eastAsia" w:ascii="Times New Roman" w:hAnsi="Times New Roman" w:eastAsia="宋体" w:cs="Times New Roman"/>
                <w:snapToGrid w:val="0"/>
                <w:color w:val="auto"/>
                <w:kern w:val="0"/>
                <w:sz w:val="24"/>
                <w:szCs w:val="24"/>
                <w:lang w:val="en-US" w:eastAsia="zh-CN"/>
              </w:rPr>
              <w:t>区</w:t>
            </w:r>
            <w:r>
              <w:rPr>
                <w:rFonts w:hint="default" w:ascii="Times New Roman" w:hAnsi="Times New Roman" w:eastAsia="宋体" w:cs="Times New Roman"/>
                <w:snapToGrid w:val="0"/>
                <w:color w:val="auto"/>
                <w:kern w:val="0"/>
                <w:sz w:val="24"/>
                <w:szCs w:val="24"/>
              </w:rPr>
              <w:t>环境管理机构对现有</w:t>
            </w:r>
            <w:r>
              <w:rPr>
                <w:rFonts w:hint="eastAsia" w:ascii="Times New Roman" w:hAnsi="Times New Roman" w:eastAsia="宋体" w:cs="Times New Roman"/>
                <w:snapToGrid w:val="0"/>
                <w:color w:val="auto"/>
                <w:kern w:val="0"/>
                <w:sz w:val="24"/>
                <w:szCs w:val="24"/>
                <w:lang w:val="en-US" w:eastAsia="zh-CN"/>
              </w:rPr>
              <w:t>入驻</w:t>
            </w:r>
            <w:r>
              <w:rPr>
                <w:rFonts w:hint="default" w:ascii="Times New Roman" w:hAnsi="Times New Roman" w:eastAsia="宋体" w:cs="Times New Roman"/>
                <w:snapToGrid w:val="0"/>
                <w:color w:val="auto"/>
                <w:kern w:val="0"/>
                <w:sz w:val="24"/>
                <w:szCs w:val="24"/>
              </w:rPr>
              <w:t>项目的管理主要应作如下工作</w:t>
            </w:r>
            <w:r>
              <w:rPr>
                <w:rFonts w:hint="eastAsia" w:ascii="Times New Roman" w:hAnsi="Times New Roman" w:eastAsia="宋体" w:cs="Times New Roman"/>
                <w:snapToGrid w:val="0"/>
                <w:color w:val="auto"/>
                <w:kern w:val="0"/>
                <w:sz w:val="24"/>
                <w:szCs w:val="24"/>
                <w:lang w:eastAsia="zh-CN"/>
              </w:rPr>
              <w:t>：</w:t>
            </w:r>
            <w:r>
              <w:rPr>
                <w:rFonts w:hint="default" w:ascii="Times New Roman" w:hAnsi="Times New Roman" w:eastAsia="宋体" w:cs="Times New Roman"/>
                <w:snapToGrid w:val="0"/>
                <w:color w:val="auto"/>
                <w:kern w:val="0"/>
                <w:sz w:val="24"/>
                <w:szCs w:val="24"/>
              </w:rPr>
              <w:t>（1）现有</w:t>
            </w:r>
            <w:r>
              <w:rPr>
                <w:rFonts w:hint="eastAsia" w:ascii="Times New Roman" w:hAnsi="Times New Roman" w:eastAsia="宋体" w:cs="Times New Roman"/>
                <w:snapToGrid w:val="0"/>
                <w:color w:val="auto"/>
                <w:kern w:val="0"/>
                <w:sz w:val="24"/>
                <w:szCs w:val="24"/>
                <w:lang w:val="en-US" w:eastAsia="zh-CN"/>
              </w:rPr>
              <w:t>入驻</w:t>
            </w:r>
            <w:r>
              <w:rPr>
                <w:rFonts w:hint="default" w:ascii="Times New Roman" w:hAnsi="Times New Roman" w:eastAsia="宋体" w:cs="Times New Roman"/>
                <w:snapToGrid w:val="0"/>
                <w:color w:val="auto"/>
                <w:kern w:val="0"/>
                <w:sz w:val="24"/>
                <w:szCs w:val="24"/>
              </w:rPr>
              <w:t>项目的环保审批及环保“三同时”手续清理，对符合产业政策、符合</w:t>
            </w:r>
            <w:r>
              <w:rPr>
                <w:rFonts w:hint="eastAsia" w:ascii="Times New Roman" w:hAnsi="Times New Roman" w:eastAsia="宋体" w:cs="Times New Roman"/>
                <w:snapToGrid w:val="0"/>
                <w:color w:val="auto"/>
                <w:kern w:val="0"/>
                <w:sz w:val="24"/>
                <w:szCs w:val="24"/>
                <w:lang w:val="en-US" w:eastAsia="zh-CN"/>
              </w:rPr>
              <w:t>园区</w:t>
            </w:r>
            <w:r>
              <w:rPr>
                <w:rFonts w:hint="default" w:ascii="Times New Roman" w:hAnsi="Times New Roman" w:eastAsia="宋体" w:cs="Times New Roman"/>
                <w:snapToGrid w:val="0"/>
                <w:color w:val="auto"/>
                <w:kern w:val="0"/>
                <w:sz w:val="24"/>
                <w:szCs w:val="24"/>
              </w:rPr>
              <w:t>产业发展定位的企业，手续不全的限期补办；不符合</w:t>
            </w:r>
            <w:r>
              <w:rPr>
                <w:rFonts w:hint="eastAsia" w:ascii="Times New Roman" w:hAnsi="Times New Roman" w:eastAsia="宋体" w:cs="Times New Roman"/>
                <w:snapToGrid w:val="0"/>
                <w:color w:val="auto"/>
                <w:kern w:val="0"/>
                <w:sz w:val="24"/>
                <w:szCs w:val="24"/>
                <w:lang w:val="en-US" w:eastAsia="zh-CN"/>
              </w:rPr>
              <w:t>产业政策</w:t>
            </w:r>
            <w:r>
              <w:rPr>
                <w:rFonts w:hint="default" w:ascii="Times New Roman" w:hAnsi="Times New Roman" w:eastAsia="宋体" w:cs="Times New Roman"/>
                <w:snapToGrid w:val="0"/>
                <w:color w:val="auto"/>
                <w:kern w:val="0"/>
                <w:sz w:val="24"/>
                <w:szCs w:val="24"/>
              </w:rPr>
              <w:t>的则坚决取缔</w:t>
            </w:r>
            <w:r>
              <w:rPr>
                <w:rFonts w:hint="eastAsia" w:ascii="Times New Roman" w:hAnsi="Times New Roman" w:eastAsia="宋体" w:cs="Times New Roman"/>
                <w:snapToGrid w:val="0"/>
                <w:color w:val="auto"/>
                <w:kern w:val="0"/>
                <w:sz w:val="24"/>
                <w:szCs w:val="24"/>
                <w:lang w:eastAsia="zh-CN"/>
              </w:rPr>
              <w:t>；</w:t>
            </w:r>
            <w:r>
              <w:rPr>
                <w:rFonts w:hint="eastAsia" w:ascii="Times New Roman" w:hAnsi="Times New Roman" w:eastAsia="宋体" w:cs="Times New Roman"/>
                <w:snapToGrid w:val="0"/>
                <w:color w:val="auto"/>
                <w:kern w:val="0"/>
                <w:sz w:val="24"/>
                <w:szCs w:val="24"/>
                <w:lang w:val="en-US" w:eastAsia="zh-CN"/>
              </w:rPr>
              <w:t>不符合园区产业定位的提出限期迁出要求</w:t>
            </w:r>
            <w:r>
              <w:rPr>
                <w:rFonts w:hint="default" w:ascii="Times New Roman" w:hAnsi="Times New Roman" w:eastAsia="宋体" w:cs="Times New Roman"/>
                <w:snapToGrid w:val="0"/>
                <w:color w:val="auto"/>
                <w:kern w:val="0"/>
                <w:sz w:val="24"/>
                <w:szCs w:val="24"/>
              </w:rPr>
              <w:t>。（2）在现有</w:t>
            </w:r>
            <w:r>
              <w:rPr>
                <w:rFonts w:hint="eastAsia" w:ascii="Times New Roman" w:hAnsi="Times New Roman" w:eastAsia="宋体" w:cs="Times New Roman"/>
                <w:snapToGrid w:val="0"/>
                <w:color w:val="auto"/>
                <w:kern w:val="0"/>
                <w:sz w:val="24"/>
                <w:szCs w:val="24"/>
                <w:lang w:val="en-US" w:eastAsia="zh-CN"/>
              </w:rPr>
              <w:t>入驻</w:t>
            </w:r>
            <w:r>
              <w:rPr>
                <w:rFonts w:hint="default" w:ascii="Times New Roman" w:hAnsi="Times New Roman" w:eastAsia="宋体" w:cs="Times New Roman"/>
                <w:snapToGrid w:val="0"/>
                <w:color w:val="auto"/>
                <w:kern w:val="0"/>
                <w:sz w:val="24"/>
                <w:szCs w:val="24"/>
              </w:rPr>
              <w:t>企业中推广清洁生产审核，从源头上控制污染物的产生量，为后续</w:t>
            </w:r>
            <w:r>
              <w:rPr>
                <w:rFonts w:hint="eastAsia" w:ascii="Times New Roman" w:hAnsi="Times New Roman" w:eastAsia="宋体" w:cs="Times New Roman"/>
                <w:snapToGrid w:val="0"/>
                <w:color w:val="auto"/>
                <w:kern w:val="0"/>
                <w:sz w:val="24"/>
                <w:szCs w:val="24"/>
                <w:lang w:val="en-US" w:eastAsia="zh-CN"/>
              </w:rPr>
              <w:t>入园</w:t>
            </w:r>
            <w:r>
              <w:rPr>
                <w:rFonts w:hint="default" w:ascii="Times New Roman" w:hAnsi="Times New Roman" w:eastAsia="宋体" w:cs="Times New Roman"/>
                <w:snapToGrid w:val="0"/>
                <w:color w:val="auto"/>
                <w:kern w:val="0"/>
                <w:sz w:val="24"/>
                <w:szCs w:val="24"/>
              </w:rPr>
              <w:t xml:space="preserve">企业腾出污染物排放总量指标，确保区域污染物总量控制指标的实现。（3）现有大气污染较重企业应加强治理。 </w:t>
            </w:r>
          </w:p>
          <w:p w14:paraId="58B3C3DD">
            <w:pPr>
              <w:adjustRightInd w:val="0"/>
              <w:snapToGrid w:val="0"/>
              <w:spacing w:line="360" w:lineRule="auto"/>
              <w:ind w:firstLine="480" w:firstLineChars="200"/>
              <w:rPr>
                <w:rFonts w:hint="eastAsia"/>
                <w:bCs/>
                <w:color w:val="auto"/>
                <w:sz w:val="24"/>
                <w:szCs w:val="24"/>
                <w:highlight w:val="yellow"/>
                <w:lang w:val="en-US" w:eastAsia="zh-CN"/>
              </w:rPr>
            </w:pPr>
            <w:r>
              <w:rPr>
                <w:rFonts w:hint="eastAsia"/>
                <w:b w:val="0"/>
                <w:bCs w:val="0"/>
                <w:color w:val="auto"/>
                <w:sz w:val="24"/>
                <w:szCs w:val="24"/>
                <w:lang w:val="en-US" w:eastAsia="zh-CN"/>
              </w:rPr>
              <w:t>本项目为</w:t>
            </w:r>
            <w:r>
              <w:rPr>
                <w:rFonts w:hint="default" w:ascii="Times New Roman" w:hAnsi="Times New Roman" w:cs="Times New Roman"/>
                <w:color w:val="auto"/>
                <w:sz w:val="24"/>
                <w:szCs w:val="24"/>
                <w:highlight w:val="none"/>
              </w:rPr>
              <w:t>速冻果蔬食品</w:t>
            </w:r>
            <w:r>
              <w:rPr>
                <w:rFonts w:hint="eastAsia" w:cs="Times New Roman"/>
                <w:color w:val="auto"/>
                <w:sz w:val="24"/>
                <w:szCs w:val="24"/>
                <w:highlight w:val="none"/>
                <w:lang w:val="en-US" w:eastAsia="zh-CN"/>
              </w:rPr>
              <w:t>技改</w:t>
            </w:r>
            <w:r>
              <w:rPr>
                <w:rFonts w:hint="default" w:ascii="Times New Roman" w:hAnsi="Times New Roman" w:cs="Times New Roman"/>
                <w:color w:val="auto"/>
                <w:sz w:val="24"/>
                <w:szCs w:val="24"/>
                <w:highlight w:val="none"/>
              </w:rPr>
              <w:t>项目</w:t>
            </w:r>
            <w:r>
              <w:rPr>
                <w:rFonts w:hint="eastAsia"/>
                <w:bCs/>
                <w:color w:val="auto"/>
                <w:sz w:val="24"/>
                <w:szCs w:val="24"/>
                <w:highlight w:val="none"/>
                <w:lang w:val="en-US" w:eastAsia="zh-CN"/>
              </w:rPr>
              <w:t>，为园区现有已建企业，现有项目已办理了</w:t>
            </w:r>
            <w:r>
              <w:rPr>
                <w:rFonts w:hint="default" w:ascii="Times New Roman" w:hAnsi="Times New Roman" w:eastAsia="宋体" w:cs="Times New Roman"/>
                <w:snapToGrid w:val="0"/>
                <w:color w:val="auto"/>
                <w:kern w:val="0"/>
                <w:sz w:val="24"/>
                <w:szCs w:val="24"/>
              </w:rPr>
              <w:t>环保“三同时”</w:t>
            </w:r>
            <w:r>
              <w:rPr>
                <w:rFonts w:hint="eastAsia" w:ascii="Times New Roman" w:hAnsi="Times New Roman" w:eastAsia="宋体" w:cs="Times New Roman"/>
                <w:snapToGrid w:val="0"/>
                <w:color w:val="auto"/>
                <w:kern w:val="0"/>
                <w:sz w:val="24"/>
                <w:szCs w:val="24"/>
                <w:lang w:val="en-US" w:eastAsia="zh-CN"/>
              </w:rPr>
              <w:t>手续，</w:t>
            </w:r>
            <w:r>
              <w:rPr>
                <w:rFonts w:hint="eastAsia" w:ascii="Times New Roman" w:hAnsi="Times New Roman" w:cs="Times New Roman"/>
                <w:color w:val="auto"/>
                <w:sz w:val="24"/>
                <w:szCs w:val="24"/>
                <w:highlight w:val="none"/>
                <w:lang w:val="en-US" w:eastAsia="zh-CN"/>
              </w:rPr>
              <w:t>本次技改拟将锅炉现有“</w:t>
            </w:r>
            <w:r>
              <w:rPr>
                <w:rFonts w:hint="eastAsia" w:ascii="Times New Roman" w:hAnsi="Times New Roman"/>
                <w:color w:val="auto"/>
                <w:sz w:val="24"/>
                <w:szCs w:val="24"/>
                <w:highlight w:val="none"/>
                <w:lang w:val="en-US" w:eastAsia="zh-CN"/>
              </w:rPr>
              <w:t>多管旋风除尘器+水膜除尘器</w:t>
            </w:r>
            <w:r>
              <w:rPr>
                <w:rFonts w:hint="eastAsia" w:ascii="Times New Roman" w:hAnsi="Times New Roman" w:cs="Times New Roman"/>
                <w:color w:val="auto"/>
                <w:sz w:val="24"/>
                <w:szCs w:val="24"/>
                <w:highlight w:val="none"/>
                <w:lang w:val="en-US" w:eastAsia="zh-CN"/>
              </w:rPr>
              <w:t>”更换为更为高效的“</w:t>
            </w:r>
            <w:r>
              <w:rPr>
                <w:rFonts w:hint="eastAsia" w:ascii="Times New Roman" w:hAnsi="Times New Roman"/>
                <w:color w:val="auto"/>
                <w:sz w:val="24"/>
                <w:szCs w:val="24"/>
                <w:highlight w:val="none"/>
                <w:lang w:val="en-US" w:eastAsia="zh-CN"/>
              </w:rPr>
              <w:t>多管旋风除尘器+布袋除尘器</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并采用低氮燃烧技术，</w:t>
            </w:r>
            <w:r>
              <w:rPr>
                <w:rFonts w:hint="eastAsia" w:ascii="Times New Roman" w:hAnsi="Times New Roman" w:cs="Times New Roman"/>
                <w:color w:val="auto"/>
                <w:sz w:val="24"/>
                <w:szCs w:val="24"/>
                <w:highlight w:val="none"/>
                <w:lang w:val="en-US" w:eastAsia="zh-CN"/>
              </w:rPr>
              <w:t>更有利于大气环境。</w:t>
            </w:r>
            <w:r>
              <w:rPr>
                <w:rFonts w:hint="eastAsia"/>
                <w:bCs/>
                <w:color w:val="auto"/>
                <w:sz w:val="24"/>
                <w:szCs w:val="24"/>
                <w:highlight w:val="none"/>
                <w:lang w:val="en-US" w:eastAsia="zh-CN"/>
              </w:rPr>
              <w:t>根据云南元江产业园区管理委员会出具的《关于云南果研社农业科技发展有限公司果蔬深加工项目的情况说明》：云南果研社农业科技发展有限公司于2021年12月签订果蔬深加工项目入园投资协议，并于2022年5月1日建成投产，该项目落地在园区最新总体规划获批之前，项目符合旧版本规划要求。考虑到厂区搬迁难度较大，时间较长，为避免严重影响企业正常生产和运转，暂时保留该企业项目在干坝厂区，待后续情况适宜时，园区再协同企业缓慢进行搬迁工作。</w:t>
            </w:r>
          </w:p>
          <w:p w14:paraId="1EEA20FA">
            <w:pPr>
              <w:adjustRightInd w:val="0"/>
              <w:snapToGrid w:val="0"/>
              <w:spacing w:line="360" w:lineRule="auto"/>
              <w:ind w:firstLine="480" w:firstLineChars="200"/>
              <w:rPr>
                <w:rFonts w:hint="default" w:eastAsia="宋体"/>
                <w:b w:val="0"/>
                <w:bCs w:val="0"/>
                <w:color w:val="auto"/>
                <w:sz w:val="24"/>
                <w:szCs w:val="24"/>
                <w:lang w:val="en-US" w:eastAsia="zh-CN"/>
              </w:rPr>
            </w:pPr>
            <w:r>
              <w:rPr>
                <w:rFonts w:hint="eastAsia" w:eastAsia="宋体"/>
                <w:b w:val="0"/>
                <w:bCs w:val="0"/>
                <w:color w:val="auto"/>
                <w:sz w:val="24"/>
                <w:szCs w:val="24"/>
                <w:lang w:val="en-US" w:eastAsia="zh-CN"/>
              </w:rPr>
              <w:t>综上所述，本项目与</w:t>
            </w:r>
            <w:r>
              <w:rPr>
                <w:b w:val="0"/>
                <w:bCs w:val="0"/>
                <w:color w:val="auto"/>
                <w:sz w:val="24"/>
              </w:rPr>
              <w:t>《</w:t>
            </w:r>
            <w:r>
              <w:rPr>
                <w:rFonts w:hint="default" w:ascii="Times New Roman" w:hAnsi="Times New Roman" w:cs="Times New Roman"/>
                <w:b w:val="0"/>
                <w:bCs w:val="0"/>
                <w:color w:val="auto"/>
                <w:sz w:val="24"/>
                <w:szCs w:val="24"/>
              </w:rPr>
              <w:t>云南元江产业园区总体规划修编（2021-2035年）</w:t>
            </w:r>
            <w:r>
              <w:rPr>
                <w:b w:val="0"/>
                <w:bCs w:val="0"/>
                <w:color w:val="auto"/>
                <w:sz w:val="24"/>
              </w:rPr>
              <w:t>环境影响报告书》</w:t>
            </w:r>
            <w:r>
              <w:rPr>
                <w:rFonts w:hint="eastAsia"/>
                <w:b w:val="0"/>
                <w:bCs w:val="0"/>
                <w:color w:val="auto"/>
                <w:sz w:val="24"/>
                <w:lang w:val="en-US" w:eastAsia="zh-CN"/>
              </w:rPr>
              <w:t>中对</w:t>
            </w:r>
            <w:r>
              <w:rPr>
                <w:rFonts w:hint="eastAsia" w:eastAsia="宋体"/>
                <w:b w:val="0"/>
                <w:bCs w:val="0"/>
                <w:color w:val="auto"/>
                <w:sz w:val="24"/>
                <w:szCs w:val="24"/>
                <w:lang w:val="en-US" w:eastAsia="zh-CN"/>
              </w:rPr>
              <w:t>现有企业的环境管理要求是相符的。</w:t>
            </w:r>
          </w:p>
          <w:p w14:paraId="7F3B07E4">
            <w:pPr>
              <w:adjustRightInd w:val="0"/>
              <w:snapToGrid w:val="0"/>
              <w:spacing w:line="360" w:lineRule="auto"/>
              <w:rPr>
                <w:b/>
                <w:bCs/>
                <w:color w:val="auto"/>
                <w:sz w:val="24"/>
              </w:rPr>
            </w:pPr>
            <w:r>
              <w:rPr>
                <w:b/>
                <w:bCs/>
                <w:color w:val="auto"/>
                <w:sz w:val="24"/>
              </w:rPr>
              <w:t>（2）与《</w:t>
            </w:r>
            <w:r>
              <w:rPr>
                <w:rFonts w:hint="default" w:ascii="Times New Roman" w:hAnsi="Times New Roman" w:cs="Times New Roman"/>
                <w:b/>
                <w:bCs/>
                <w:color w:val="auto"/>
                <w:sz w:val="24"/>
                <w:szCs w:val="24"/>
              </w:rPr>
              <w:t>云南元江产业园区总体规划修编（2021-2035年）</w:t>
            </w:r>
            <w:r>
              <w:rPr>
                <w:b/>
                <w:bCs/>
                <w:color w:val="auto"/>
                <w:sz w:val="24"/>
              </w:rPr>
              <w:t>环境影响报告书》审查意见</w:t>
            </w:r>
            <w:r>
              <w:rPr>
                <w:rFonts w:hint="eastAsia"/>
                <w:b/>
                <w:bCs/>
                <w:color w:val="auto"/>
                <w:sz w:val="24"/>
                <w:lang w:val="en-US" w:eastAsia="zh-CN"/>
              </w:rPr>
              <w:t>的</w:t>
            </w:r>
            <w:r>
              <w:rPr>
                <w:b/>
                <w:bCs/>
                <w:color w:val="auto"/>
                <w:sz w:val="24"/>
              </w:rPr>
              <w:t>符合性分析</w:t>
            </w:r>
          </w:p>
          <w:p w14:paraId="7B9187A7">
            <w:pPr>
              <w:adjustRightInd w:val="0"/>
              <w:snapToGrid w:val="0"/>
              <w:spacing w:line="360" w:lineRule="auto"/>
              <w:ind w:firstLine="480" w:firstLineChars="200"/>
              <w:rPr>
                <w:bCs/>
                <w:color w:val="auto"/>
                <w:sz w:val="24"/>
              </w:rPr>
            </w:pPr>
            <w:r>
              <w:rPr>
                <w:bCs/>
                <w:color w:val="auto"/>
                <w:sz w:val="24"/>
              </w:rPr>
              <w:t>与规划环评审查意见符合性分析如下：</w:t>
            </w:r>
          </w:p>
          <w:p w14:paraId="1279A8DD">
            <w:pPr>
              <w:adjustRightInd w:val="0"/>
              <w:snapToGrid w:val="0"/>
              <w:jc w:val="center"/>
              <w:rPr>
                <w:b/>
                <w:bCs/>
                <w:color w:val="auto"/>
                <w:szCs w:val="21"/>
              </w:rPr>
            </w:pPr>
            <w:r>
              <w:rPr>
                <w:b/>
                <w:bCs/>
                <w:color w:val="auto"/>
                <w:szCs w:val="21"/>
              </w:rPr>
              <w:t>表1-</w:t>
            </w:r>
            <w:r>
              <w:rPr>
                <w:rFonts w:hint="eastAsia"/>
                <w:b/>
                <w:bCs/>
                <w:color w:val="auto"/>
                <w:szCs w:val="21"/>
                <w:lang w:val="en-US" w:eastAsia="zh-CN"/>
              </w:rPr>
              <w:t>2</w:t>
            </w:r>
            <w:r>
              <w:rPr>
                <w:b/>
                <w:bCs/>
                <w:color w:val="auto"/>
                <w:szCs w:val="21"/>
              </w:rPr>
              <w:t xml:space="preserve"> 本项目与《</w:t>
            </w:r>
            <w:r>
              <w:rPr>
                <w:rFonts w:hint="eastAsia"/>
                <w:b/>
                <w:bCs/>
                <w:color w:val="auto"/>
                <w:szCs w:val="21"/>
              </w:rPr>
              <w:t>云南元江产业园区总体规划修编（2021-2035年）环境影响报告书》</w:t>
            </w:r>
            <w:r>
              <w:rPr>
                <w:b/>
                <w:bCs/>
                <w:color w:val="auto"/>
                <w:szCs w:val="21"/>
              </w:rPr>
              <w:t>环境影响报告书审查意见的符合性分析</w:t>
            </w:r>
          </w:p>
          <w:tbl>
            <w:tblPr>
              <w:tblStyle w:val="22"/>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711"/>
              <w:gridCol w:w="2112"/>
              <w:gridCol w:w="900"/>
            </w:tblGrid>
            <w:tr w14:paraId="1315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dxa"/>
                  <w:noWrap w:val="0"/>
                  <w:vAlign w:val="center"/>
                </w:tcPr>
                <w:p w14:paraId="6EC820DF">
                  <w:pPr>
                    <w:adjustRightInd w:val="0"/>
                    <w:snapToGrid w:val="0"/>
                    <w:jc w:val="center"/>
                    <w:rPr>
                      <w:b/>
                      <w:color w:val="auto"/>
                      <w:szCs w:val="21"/>
                    </w:rPr>
                  </w:pPr>
                  <w:r>
                    <w:rPr>
                      <w:b/>
                      <w:color w:val="auto"/>
                      <w:szCs w:val="21"/>
                    </w:rPr>
                    <w:t>序号</w:t>
                  </w:r>
                </w:p>
              </w:tc>
              <w:tc>
                <w:tcPr>
                  <w:tcW w:w="3711" w:type="dxa"/>
                  <w:noWrap w:val="0"/>
                  <w:vAlign w:val="center"/>
                </w:tcPr>
                <w:p w14:paraId="0EB129E9">
                  <w:pPr>
                    <w:adjustRightInd w:val="0"/>
                    <w:snapToGrid w:val="0"/>
                    <w:jc w:val="center"/>
                    <w:rPr>
                      <w:b/>
                      <w:color w:val="auto"/>
                      <w:szCs w:val="21"/>
                    </w:rPr>
                  </w:pPr>
                  <w:r>
                    <w:rPr>
                      <w:b/>
                      <w:color w:val="auto"/>
                      <w:szCs w:val="21"/>
                    </w:rPr>
                    <w:t>相关内容</w:t>
                  </w:r>
                </w:p>
              </w:tc>
              <w:tc>
                <w:tcPr>
                  <w:tcW w:w="2112" w:type="dxa"/>
                  <w:noWrap w:val="0"/>
                  <w:vAlign w:val="center"/>
                </w:tcPr>
                <w:p w14:paraId="6402568C">
                  <w:pPr>
                    <w:adjustRightInd w:val="0"/>
                    <w:snapToGrid w:val="0"/>
                    <w:jc w:val="center"/>
                    <w:rPr>
                      <w:b/>
                      <w:color w:val="auto"/>
                      <w:szCs w:val="21"/>
                    </w:rPr>
                  </w:pPr>
                  <w:r>
                    <w:rPr>
                      <w:b/>
                      <w:color w:val="auto"/>
                      <w:szCs w:val="21"/>
                    </w:rPr>
                    <w:t>项目情况</w:t>
                  </w:r>
                </w:p>
              </w:tc>
              <w:tc>
                <w:tcPr>
                  <w:tcW w:w="900" w:type="dxa"/>
                  <w:noWrap w:val="0"/>
                  <w:vAlign w:val="center"/>
                </w:tcPr>
                <w:p w14:paraId="16145080">
                  <w:pPr>
                    <w:adjustRightInd w:val="0"/>
                    <w:snapToGrid w:val="0"/>
                    <w:jc w:val="center"/>
                    <w:rPr>
                      <w:b/>
                      <w:color w:val="auto"/>
                      <w:szCs w:val="21"/>
                    </w:rPr>
                  </w:pPr>
                  <w:r>
                    <w:rPr>
                      <w:b/>
                      <w:color w:val="auto"/>
                      <w:szCs w:val="21"/>
                    </w:rPr>
                    <w:t>符合性</w:t>
                  </w:r>
                </w:p>
              </w:tc>
            </w:tr>
            <w:tr w14:paraId="330C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dxa"/>
                  <w:noWrap w:val="0"/>
                  <w:vAlign w:val="center"/>
                </w:tcPr>
                <w:p w14:paraId="5D5E8C56">
                  <w:pPr>
                    <w:adjustRightInd w:val="0"/>
                    <w:snapToGrid w:val="0"/>
                    <w:jc w:val="center"/>
                    <w:rPr>
                      <w:color w:val="auto"/>
                      <w:szCs w:val="21"/>
                    </w:rPr>
                  </w:pPr>
                  <w:r>
                    <w:rPr>
                      <w:color w:val="auto"/>
                      <w:szCs w:val="21"/>
                    </w:rPr>
                    <w:t>1</w:t>
                  </w:r>
                </w:p>
              </w:tc>
              <w:tc>
                <w:tcPr>
                  <w:tcW w:w="3711" w:type="dxa"/>
                  <w:noWrap w:val="0"/>
                  <w:vAlign w:val="center"/>
                </w:tcPr>
                <w:p w14:paraId="32815B50">
                  <w:pPr>
                    <w:tabs>
                      <w:tab w:val="left" w:pos="612"/>
                    </w:tabs>
                    <w:adjustRightInd w:val="0"/>
                    <w:snapToGrid w:val="0"/>
                    <w:rPr>
                      <w:color w:val="auto"/>
                      <w:szCs w:val="21"/>
                    </w:rPr>
                  </w:pPr>
                  <w:r>
                    <w:rPr>
                      <w:rFonts w:hint="eastAsia"/>
                      <w:color w:val="auto"/>
                      <w:szCs w:val="21"/>
                    </w:rPr>
                    <w:t>加强规划引导，坚持绿色低碳高质量发展理念，结合生态环境分区管控要求，区域统筹保护好生态空间。落实国家、区域发展战略，坚持生态优先、集约高效，以生态环境质量改善为核心，做好与国土空间规划和“三线一单”（生态保护红线、环境质量底线、资源利用上线、生态环境准入清单）生态环境分区管控体系的协调衔接，产业园区应与元江县“三区三线”充分衔接，符合“三区三线”规划管控要求。按国家生态工业示范园区标准推进《规划》实施，进一步优化《规划》的布局和发展规模。</w:t>
                  </w:r>
                </w:p>
              </w:tc>
              <w:tc>
                <w:tcPr>
                  <w:tcW w:w="2112" w:type="dxa"/>
                  <w:noWrap w:val="0"/>
                  <w:vAlign w:val="center"/>
                </w:tcPr>
                <w:p w14:paraId="689CC212">
                  <w:pPr>
                    <w:adjustRightInd w:val="0"/>
                    <w:snapToGrid w:val="0"/>
                    <w:rPr>
                      <w:rFonts w:hint="default" w:eastAsia="宋体"/>
                      <w:color w:val="auto"/>
                      <w:szCs w:val="21"/>
                      <w:lang w:val="en-US" w:eastAsia="zh-CN"/>
                    </w:rPr>
                  </w:pPr>
                  <w:r>
                    <w:rPr>
                      <w:rFonts w:hint="eastAsia"/>
                      <w:color w:val="auto"/>
                      <w:szCs w:val="21"/>
                      <w:lang w:val="en-US" w:eastAsia="zh-CN"/>
                    </w:rPr>
                    <w:t xml:space="preserve">本项目位于云南元江产业园区甘庄片区，园区规划范围全部位于城镇开发边界内，与生态保护红线、永久基本农田线无冲突。 </w:t>
                  </w:r>
                </w:p>
              </w:tc>
              <w:tc>
                <w:tcPr>
                  <w:tcW w:w="900" w:type="dxa"/>
                  <w:noWrap w:val="0"/>
                  <w:vAlign w:val="center"/>
                </w:tcPr>
                <w:p w14:paraId="73A182E4">
                  <w:pPr>
                    <w:adjustRightInd w:val="0"/>
                    <w:snapToGrid w:val="0"/>
                    <w:jc w:val="center"/>
                    <w:rPr>
                      <w:rFonts w:hint="eastAsia" w:eastAsia="宋体"/>
                      <w:color w:val="auto"/>
                      <w:szCs w:val="21"/>
                      <w:lang w:val="en-US" w:eastAsia="zh-CN"/>
                    </w:rPr>
                  </w:pPr>
                  <w:r>
                    <w:rPr>
                      <w:rFonts w:hint="eastAsia"/>
                      <w:color w:val="auto"/>
                      <w:szCs w:val="21"/>
                      <w:lang w:val="en-US" w:eastAsia="zh-CN"/>
                    </w:rPr>
                    <w:t>符合</w:t>
                  </w:r>
                </w:p>
              </w:tc>
            </w:tr>
            <w:tr w14:paraId="6D0D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noWrap w:val="0"/>
                  <w:vAlign w:val="center"/>
                </w:tcPr>
                <w:p w14:paraId="7C01B979">
                  <w:pPr>
                    <w:adjustRightInd w:val="0"/>
                    <w:snapToGrid w:val="0"/>
                    <w:jc w:val="center"/>
                    <w:rPr>
                      <w:rFonts w:hint="eastAsia" w:eastAsia="宋体"/>
                      <w:color w:val="auto"/>
                      <w:szCs w:val="21"/>
                      <w:lang w:val="en-US" w:eastAsia="zh-CN"/>
                    </w:rPr>
                  </w:pPr>
                  <w:r>
                    <w:rPr>
                      <w:rFonts w:hint="eastAsia"/>
                      <w:color w:val="auto"/>
                      <w:szCs w:val="21"/>
                      <w:lang w:val="en-US" w:eastAsia="zh-CN"/>
                    </w:rPr>
                    <w:t>2</w:t>
                  </w:r>
                </w:p>
              </w:tc>
              <w:tc>
                <w:tcPr>
                  <w:tcW w:w="3711" w:type="dxa"/>
                  <w:noWrap w:val="0"/>
                  <w:vAlign w:val="center"/>
                </w:tcPr>
                <w:p w14:paraId="6D07376A">
                  <w:pPr>
                    <w:tabs>
                      <w:tab w:val="left" w:pos="612"/>
                    </w:tabs>
                    <w:adjustRightInd w:val="0"/>
                    <w:snapToGrid w:val="0"/>
                    <w:rPr>
                      <w:rFonts w:hint="eastAsia"/>
                      <w:color w:val="auto"/>
                      <w:szCs w:val="21"/>
                    </w:rPr>
                  </w:pPr>
                  <w:r>
                    <w:rPr>
                      <w:rFonts w:hint="eastAsia"/>
                      <w:color w:val="auto"/>
                      <w:szCs w:val="21"/>
                    </w:rPr>
                    <w:t>根据国家及地方碳减排和碳达峰行动方案及其他专项规划要求，推进园区绿色低碳发展。优化能源结构、产业结构等规划内容，推动金属冶炼、合金材料制造等重点碳排放行业燃料和原料替代、能源利用效率提升、绿色清洁能源利用、废弃物资源化利用等，促进减污降碳协同增效。</w:t>
                  </w:r>
                </w:p>
              </w:tc>
              <w:tc>
                <w:tcPr>
                  <w:tcW w:w="2112" w:type="dxa"/>
                  <w:noWrap w:val="0"/>
                  <w:vAlign w:val="center"/>
                </w:tcPr>
                <w:p w14:paraId="5C541317">
                  <w:pPr>
                    <w:adjustRightInd w:val="0"/>
                    <w:snapToGrid w:val="0"/>
                    <w:rPr>
                      <w:rFonts w:hint="default" w:eastAsia="宋体"/>
                      <w:bCs/>
                      <w:color w:val="auto"/>
                      <w:sz w:val="21"/>
                      <w:szCs w:val="21"/>
                      <w:highlight w:val="none"/>
                      <w:lang w:val="en-US" w:eastAsia="zh-CN"/>
                    </w:rPr>
                  </w:pPr>
                  <w:r>
                    <w:rPr>
                      <w:rFonts w:hint="eastAsia"/>
                      <w:bCs/>
                      <w:color w:val="auto"/>
                      <w:sz w:val="21"/>
                      <w:szCs w:val="21"/>
                      <w:highlight w:val="none"/>
                      <w:lang w:val="en-US" w:eastAsia="zh-CN"/>
                    </w:rPr>
                    <w:t>本项目使用电能及生物质燃料，均为清洁能源。</w:t>
                  </w:r>
                </w:p>
              </w:tc>
              <w:tc>
                <w:tcPr>
                  <w:tcW w:w="900" w:type="dxa"/>
                  <w:noWrap w:val="0"/>
                  <w:vAlign w:val="center"/>
                </w:tcPr>
                <w:p w14:paraId="6939A14A">
                  <w:pPr>
                    <w:adjustRightInd w:val="0"/>
                    <w:snapToGrid w:val="0"/>
                    <w:jc w:val="center"/>
                    <w:rPr>
                      <w:rFonts w:hint="default"/>
                      <w:color w:val="auto"/>
                      <w:szCs w:val="21"/>
                      <w:lang w:val="en-US" w:eastAsia="zh-CN"/>
                    </w:rPr>
                  </w:pPr>
                  <w:r>
                    <w:rPr>
                      <w:rFonts w:hint="eastAsia"/>
                      <w:color w:val="auto"/>
                      <w:szCs w:val="21"/>
                      <w:lang w:val="en-US" w:eastAsia="zh-CN"/>
                    </w:rPr>
                    <w:t>符合</w:t>
                  </w:r>
                </w:p>
              </w:tc>
            </w:tr>
            <w:tr w14:paraId="236C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noWrap w:val="0"/>
                  <w:vAlign w:val="center"/>
                </w:tcPr>
                <w:p w14:paraId="308A0064">
                  <w:pPr>
                    <w:adjustRightInd w:val="0"/>
                    <w:snapToGrid w:val="0"/>
                    <w:jc w:val="center"/>
                    <w:rPr>
                      <w:rFonts w:hint="eastAsia" w:eastAsia="宋体"/>
                      <w:color w:val="auto"/>
                      <w:szCs w:val="21"/>
                      <w:lang w:eastAsia="zh-CN"/>
                    </w:rPr>
                  </w:pPr>
                  <w:r>
                    <w:rPr>
                      <w:rFonts w:hint="eastAsia"/>
                      <w:color w:val="auto"/>
                      <w:szCs w:val="21"/>
                      <w:lang w:val="en-US" w:eastAsia="zh-CN"/>
                    </w:rPr>
                    <w:t>3</w:t>
                  </w:r>
                </w:p>
              </w:tc>
              <w:tc>
                <w:tcPr>
                  <w:tcW w:w="3711" w:type="dxa"/>
                  <w:noWrap w:val="0"/>
                  <w:vAlign w:val="center"/>
                </w:tcPr>
                <w:p w14:paraId="6A3C9FE5">
                  <w:pPr>
                    <w:pStyle w:val="11"/>
                    <w:spacing w:line="240" w:lineRule="auto"/>
                    <w:rPr>
                      <w:rFonts w:ascii="Times New Roman" w:hAnsi="Times New Roman"/>
                      <w:color w:val="auto"/>
                      <w:sz w:val="21"/>
                    </w:rPr>
                  </w:pPr>
                  <w:r>
                    <w:rPr>
                      <w:rFonts w:hint="eastAsia" w:ascii="Times New Roman" w:hAnsi="Times New Roman"/>
                      <w:color w:val="auto"/>
                      <w:sz w:val="21"/>
                    </w:rPr>
                    <w:t>严格控制发展规模，合理安排开发时序。根据资源环境禀赋条件、产业政策、能源双控等要求，审慎论证和确定“两高”产业发展规模。针对安定片区严格实施“雨污分流”，加强建设初期雨水收集处理系统，加强尾矿库、废渣堆场的防渗措施及渗滤液收集处理工程，实现园区企业废水的梯级利用和完全回用；在元江鲤国家级水产种质资源保护区内禁止新建排污口；结合水污染防治方案等实施相应的水环境质量改善工程，切实削减COD、氨氮等污染物。配合元江县相关政府部门，加强车垤河流域重金属污染环境综合整治工程，切实改善地表水环境质量。</w:t>
                  </w:r>
                </w:p>
              </w:tc>
              <w:tc>
                <w:tcPr>
                  <w:tcW w:w="2112" w:type="dxa"/>
                  <w:noWrap w:val="0"/>
                  <w:vAlign w:val="center"/>
                </w:tcPr>
                <w:p w14:paraId="721A8789">
                  <w:pPr>
                    <w:pStyle w:val="9"/>
                    <w:jc w:val="both"/>
                    <w:rPr>
                      <w:rFonts w:hint="eastAsia" w:eastAsia="宋体"/>
                      <w:color w:val="auto"/>
                      <w:lang w:val="en-US" w:eastAsia="zh-CN"/>
                    </w:rPr>
                  </w:pPr>
                  <w:r>
                    <w:rPr>
                      <w:rFonts w:hint="eastAsia"/>
                      <w:color w:val="auto"/>
                      <w:lang w:val="en-US" w:eastAsia="zh-CN"/>
                    </w:rPr>
                    <w:t>本项目位于甘庄片区，为速冻果蔬食品技改项目，不属于“两高”项目。本项目产生的生产废水及生活污水经处理达标后排至</w:t>
                  </w:r>
                  <w:r>
                    <w:rPr>
                      <w:color w:val="auto"/>
                      <w:sz w:val="21"/>
                      <w:szCs w:val="21"/>
                      <w:highlight w:val="none"/>
                    </w:rPr>
                    <w:t>元江工业园区MBR膜一体化300m</w:t>
                  </w:r>
                  <w:r>
                    <w:rPr>
                      <w:color w:val="auto"/>
                      <w:sz w:val="21"/>
                      <w:szCs w:val="21"/>
                      <w:highlight w:val="none"/>
                      <w:vertAlign w:val="superscript"/>
                    </w:rPr>
                    <w:t>3</w:t>
                  </w:r>
                  <w:r>
                    <w:rPr>
                      <w:color w:val="auto"/>
                      <w:sz w:val="21"/>
                      <w:szCs w:val="21"/>
                      <w:highlight w:val="none"/>
                    </w:rPr>
                    <w:t>/d过渡式污水处理站处理</w:t>
                  </w:r>
                  <w:r>
                    <w:rPr>
                      <w:rFonts w:hint="eastAsia"/>
                      <w:color w:val="auto"/>
                      <w:sz w:val="21"/>
                      <w:szCs w:val="21"/>
                      <w:highlight w:val="none"/>
                      <w:lang w:eastAsia="zh-CN"/>
                    </w:rPr>
                    <w:t>，</w:t>
                  </w:r>
                  <w:r>
                    <w:rPr>
                      <w:rFonts w:hint="eastAsia"/>
                      <w:color w:val="auto"/>
                      <w:sz w:val="21"/>
                      <w:szCs w:val="21"/>
                      <w:highlight w:val="none"/>
                      <w:lang w:val="en-US" w:eastAsia="zh-CN"/>
                    </w:rPr>
                    <w:t>不涉及在</w:t>
                  </w:r>
                  <w:r>
                    <w:rPr>
                      <w:rFonts w:hint="eastAsia" w:ascii="Times New Roman" w:hAnsi="Times New Roman"/>
                      <w:color w:val="auto"/>
                      <w:sz w:val="21"/>
                    </w:rPr>
                    <w:t>元江鲤国家级水产种质资源保护区内新建排污口</w:t>
                  </w:r>
                  <w:r>
                    <w:rPr>
                      <w:rFonts w:hint="eastAsia" w:ascii="Times New Roman" w:hAnsi="Times New Roman"/>
                      <w:color w:val="auto"/>
                      <w:sz w:val="21"/>
                      <w:lang w:eastAsia="zh-CN"/>
                    </w:rPr>
                    <w:t>。</w:t>
                  </w:r>
                </w:p>
              </w:tc>
              <w:tc>
                <w:tcPr>
                  <w:tcW w:w="900" w:type="dxa"/>
                  <w:noWrap w:val="0"/>
                  <w:vAlign w:val="center"/>
                </w:tcPr>
                <w:p w14:paraId="7B13CB83">
                  <w:pPr>
                    <w:adjustRightInd w:val="0"/>
                    <w:snapToGrid w:val="0"/>
                    <w:jc w:val="center"/>
                    <w:rPr>
                      <w:color w:val="auto"/>
                      <w:szCs w:val="21"/>
                    </w:rPr>
                  </w:pPr>
                  <w:r>
                    <w:rPr>
                      <w:color w:val="auto"/>
                      <w:szCs w:val="21"/>
                    </w:rPr>
                    <w:t>符合</w:t>
                  </w:r>
                </w:p>
              </w:tc>
            </w:tr>
            <w:tr w14:paraId="4D20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noWrap w:val="0"/>
                  <w:vAlign w:val="center"/>
                </w:tcPr>
                <w:p w14:paraId="64FB0C49">
                  <w:pPr>
                    <w:adjustRightInd w:val="0"/>
                    <w:snapToGrid w:val="0"/>
                    <w:jc w:val="center"/>
                    <w:rPr>
                      <w:rFonts w:hint="eastAsia" w:eastAsia="宋体"/>
                      <w:color w:val="auto"/>
                      <w:szCs w:val="21"/>
                      <w:lang w:eastAsia="zh-CN"/>
                    </w:rPr>
                  </w:pPr>
                  <w:r>
                    <w:rPr>
                      <w:rFonts w:hint="eastAsia"/>
                      <w:color w:val="auto"/>
                      <w:szCs w:val="21"/>
                      <w:lang w:val="en-US" w:eastAsia="zh-CN"/>
                    </w:rPr>
                    <w:t>4</w:t>
                  </w:r>
                </w:p>
              </w:tc>
              <w:tc>
                <w:tcPr>
                  <w:tcW w:w="3711" w:type="dxa"/>
                  <w:noWrap w:val="0"/>
                  <w:vAlign w:val="center"/>
                </w:tcPr>
                <w:p w14:paraId="2C64A90D">
                  <w:pPr>
                    <w:adjustRightInd w:val="0"/>
                    <w:snapToGrid w:val="0"/>
                    <w:rPr>
                      <w:rFonts w:hint="eastAsia"/>
                      <w:color w:val="auto"/>
                      <w:sz w:val="21"/>
                      <w:szCs w:val="21"/>
                    </w:rPr>
                  </w:pPr>
                  <w:r>
                    <w:rPr>
                      <w:rFonts w:hint="eastAsia"/>
                      <w:color w:val="auto"/>
                      <w:sz w:val="21"/>
                      <w:szCs w:val="21"/>
                    </w:rPr>
                    <w:t>进一步优化园区空间布局，加强空间管控，加大对环境敏感区的保护力度，严禁不符合管控要求的各类开发和建设活动。《规划》范围内的一般生态空间等敏感区域，严格进行保护，原则上不进行开发建设，在元江鲤国家级水产种质资源保护区内禁止新建排污口，在该保护区外从事可能损害保护区功能的工程建设活动的，应征求渔业行政主管部门意见并采取有关保护措施；甘庄片区冶金新材料产业与特色生物资源加工产业应留出防护距离。</w:t>
                  </w:r>
                </w:p>
                <w:p w14:paraId="699105E5">
                  <w:pPr>
                    <w:pStyle w:val="6"/>
                    <w:ind w:left="0" w:leftChars="0" w:firstLine="0" w:firstLineChars="0"/>
                    <w:rPr>
                      <w:color w:val="auto"/>
                      <w:sz w:val="21"/>
                      <w:szCs w:val="21"/>
                    </w:rPr>
                  </w:pPr>
                  <w:r>
                    <w:rPr>
                      <w:rFonts w:hint="eastAsia"/>
                      <w:color w:val="auto"/>
                      <w:sz w:val="21"/>
                      <w:szCs w:val="21"/>
                    </w:rPr>
                    <w:t>园区按《云南省人民政府办公厅关于推动落后和低端低效产能退出的实施意见》（云政办发〔2022〕17号）相关要求，依法依规关停退出能耗、环保、质量、安全不达标和落后、过剩产能，分行业有序退出“限制类”产能；现有重污染企业要开展技术升级改造和环保设施的提标改造，现有重污染企业要开展技术升级改造和环保设施的提标改造；甘庄片区、江东片区和安定片区应设置隔离带，按园区绿化美化要求，留出必要的防护距离，加强对各片区内及周边集中居住区等生活空间防护，确保园区产业布局与生态环境保护、人居环境安全相协调。</w:t>
                  </w:r>
                </w:p>
              </w:tc>
              <w:tc>
                <w:tcPr>
                  <w:tcW w:w="2112" w:type="dxa"/>
                  <w:noWrap w:val="0"/>
                  <w:vAlign w:val="center"/>
                </w:tcPr>
                <w:p w14:paraId="19D88457">
                  <w:pPr>
                    <w:pStyle w:val="6"/>
                    <w:keepNext w:val="0"/>
                    <w:keepLines w:val="0"/>
                    <w:pageBreakBefore w:val="0"/>
                    <w:widowControl w:val="0"/>
                    <w:kinsoku/>
                    <w:wordWrap/>
                    <w:overflowPunct/>
                    <w:topLinePunct w:val="0"/>
                    <w:autoSpaceDE/>
                    <w:autoSpaceDN/>
                    <w:bidi w:val="0"/>
                    <w:adjustRightInd/>
                    <w:snapToGrid/>
                    <w:ind w:firstLine="0" w:firstLineChars="0"/>
                    <w:textAlignment w:val="auto"/>
                    <w:rPr>
                      <w:color w:val="auto"/>
                      <w:sz w:val="21"/>
                      <w:szCs w:val="21"/>
                    </w:rPr>
                  </w:pPr>
                  <w:r>
                    <w:rPr>
                      <w:rFonts w:hint="eastAsia"/>
                      <w:color w:val="auto"/>
                      <w:sz w:val="21"/>
                      <w:szCs w:val="21"/>
                      <w:lang w:val="en-US" w:eastAsia="zh-CN"/>
                    </w:rPr>
                    <w:t>本项目产生的生产废水及生活污水经处理达标后排至</w:t>
                  </w:r>
                  <w:r>
                    <w:rPr>
                      <w:color w:val="auto"/>
                      <w:sz w:val="21"/>
                      <w:szCs w:val="21"/>
                      <w:highlight w:val="none"/>
                    </w:rPr>
                    <w:t>元江工业园区MBR膜一体化300m</w:t>
                  </w:r>
                  <w:r>
                    <w:rPr>
                      <w:color w:val="auto"/>
                      <w:sz w:val="21"/>
                      <w:szCs w:val="21"/>
                      <w:highlight w:val="none"/>
                      <w:vertAlign w:val="superscript"/>
                    </w:rPr>
                    <w:t>3</w:t>
                  </w:r>
                  <w:r>
                    <w:rPr>
                      <w:color w:val="auto"/>
                      <w:sz w:val="21"/>
                      <w:szCs w:val="21"/>
                      <w:highlight w:val="none"/>
                    </w:rPr>
                    <w:t>/d过渡式污水处理站处理</w:t>
                  </w:r>
                  <w:r>
                    <w:rPr>
                      <w:rFonts w:hint="eastAsia"/>
                      <w:color w:val="auto"/>
                      <w:sz w:val="21"/>
                      <w:szCs w:val="21"/>
                      <w:highlight w:val="none"/>
                      <w:lang w:eastAsia="zh-CN"/>
                    </w:rPr>
                    <w:t>，</w:t>
                  </w:r>
                  <w:r>
                    <w:rPr>
                      <w:rFonts w:hint="eastAsia"/>
                      <w:color w:val="auto"/>
                      <w:sz w:val="21"/>
                      <w:szCs w:val="21"/>
                      <w:highlight w:val="none"/>
                      <w:lang w:val="en-US" w:eastAsia="zh-CN"/>
                    </w:rPr>
                    <w:t>不涉及在</w:t>
                  </w:r>
                  <w:r>
                    <w:rPr>
                      <w:rFonts w:hint="eastAsia" w:ascii="Times New Roman" w:hAnsi="Times New Roman"/>
                      <w:color w:val="auto"/>
                      <w:sz w:val="21"/>
                      <w:szCs w:val="21"/>
                    </w:rPr>
                    <w:t>元江鲤国家级水产种质资源保护区内新建排污口</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本项目无须设置大气及卫生</w:t>
                  </w:r>
                  <w:r>
                    <w:rPr>
                      <w:rFonts w:hint="eastAsia" w:ascii="Times New Roman" w:hAnsi="Times New Roman" w:eastAsia="宋体" w:cs="Times New Roman"/>
                      <w:color w:val="auto"/>
                      <w:sz w:val="21"/>
                      <w:szCs w:val="21"/>
                      <w:lang w:val="en-US" w:eastAsia="zh-CN"/>
                    </w:rPr>
                    <w:t>防护距离。本项目不属于“实施意见”中应依法</w:t>
                  </w:r>
                  <w:r>
                    <w:rPr>
                      <w:rFonts w:hint="eastAsia"/>
                      <w:color w:val="auto"/>
                      <w:sz w:val="21"/>
                      <w:szCs w:val="21"/>
                    </w:rPr>
                    <w:t>依规关停退出</w:t>
                  </w:r>
                  <w:r>
                    <w:rPr>
                      <w:rFonts w:hint="eastAsia"/>
                      <w:color w:val="auto"/>
                      <w:sz w:val="21"/>
                      <w:szCs w:val="21"/>
                      <w:lang w:val="en-US" w:eastAsia="zh-CN"/>
                    </w:rPr>
                    <w:t>的</w:t>
                  </w:r>
                  <w:r>
                    <w:rPr>
                      <w:rFonts w:hint="eastAsia"/>
                      <w:color w:val="auto"/>
                      <w:sz w:val="21"/>
                      <w:szCs w:val="21"/>
                    </w:rPr>
                    <w:t>“限制类”</w:t>
                  </w:r>
                  <w:r>
                    <w:rPr>
                      <w:rFonts w:hint="eastAsia"/>
                      <w:color w:val="auto"/>
                      <w:sz w:val="21"/>
                      <w:szCs w:val="21"/>
                      <w:lang w:val="en-US" w:eastAsia="zh-CN"/>
                    </w:rPr>
                    <w:t>产业。</w:t>
                  </w:r>
                </w:p>
              </w:tc>
              <w:tc>
                <w:tcPr>
                  <w:tcW w:w="900" w:type="dxa"/>
                  <w:noWrap w:val="0"/>
                  <w:vAlign w:val="center"/>
                </w:tcPr>
                <w:p w14:paraId="186B759A">
                  <w:pPr>
                    <w:adjustRightInd w:val="0"/>
                    <w:snapToGrid w:val="0"/>
                    <w:jc w:val="center"/>
                    <w:rPr>
                      <w:color w:val="auto"/>
                      <w:szCs w:val="21"/>
                    </w:rPr>
                  </w:pPr>
                  <w:r>
                    <w:rPr>
                      <w:color w:val="auto"/>
                      <w:szCs w:val="21"/>
                    </w:rPr>
                    <w:t>符合</w:t>
                  </w:r>
                </w:p>
              </w:tc>
            </w:tr>
            <w:tr w14:paraId="71D3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noWrap w:val="0"/>
                  <w:vAlign w:val="center"/>
                </w:tcPr>
                <w:p w14:paraId="35DBBA9A">
                  <w:pPr>
                    <w:adjustRightInd w:val="0"/>
                    <w:snapToGrid w:val="0"/>
                    <w:jc w:val="center"/>
                    <w:rPr>
                      <w:rFonts w:hint="eastAsia" w:eastAsia="宋体"/>
                      <w:color w:val="auto"/>
                      <w:szCs w:val="21"/>
                      <w:lang w:val="en-US" w:eastAsia="zh-CN"/>
                    </w:rPr>
                  </w:pPr>
                  <w:r>
                    <w:rPr>
                      <w:rFonts w:hint="eastAsia"/>
                      <w:color w:val="auto"/>
                      <w:szCs w:val="21"/>
                      <w:lang w:val="en-US" w:eastAsia="zh-CN"/>
                    </w:rPr>
                    <w:t>5</w:t>
                  </w:r>
                </w:p>
              </w:tc>
              <w:tc>
                <w:tcPr>
                  <w:tcW w:w="3711" w:type="dxa"/>
                  <w:noWrap w:val="0"/>
                  <w:vAlign w:val="center"/>
                </w:tcPr>
                <w:p w14:paraId="275E400E">
                  <w:pPr>
                    <w:adjustRightInd w:val="0"/>
                    <w:snapToGrid w:val="0"/>
                    <w:rPr>
                      <w:color w:val="auto"/>
                      <w:szCs w:val="21"/>
                    </w:rPr>
                  </w:pPr>
                  <w:r>
                    <w:rPr>
                      <w:rFonts w:hint="eastAsia"/>
                      <w:color w:val="auto"/>
                      <w:szCs w:val="21"/>
                    </w:rPr>
                    <w:t>强化污染物排放总量管控。根据国家和云南省污染防治规划和区域“三线一单”生态环境分区管控相关要求，落实园区污染减排措施和要求，采取有效措施减少重金属、颗粒物和挥发性有机物等特征污染物的排放量，推进挥发性有机物和氮氧化物协同治理，促进产业发展与生态环境保护相协调，“两高”行业实行主要污染物区域削减。</w:t>
                  </w:r>
                </w:p>
              </w:tc>
              <w:tc>
                <w:tcPr>
                  <w:tcW w:w="2112" w:type="dxa"/>
                  <w:noWrap w:val="0"/>
                  <w:vAlign w:val="center"/>
                </w:tcPr>
                <w:p w14:paraId="0E8330F9">
                  <w:pPr>
                    <w:adjustRightInd w:val="0"/>
                    <w:snapToGrid w:val="0"/>
                    <w:rPr>
                      <w:color w:val="auto"/>
                    </w:rPr>
                  </w:pPr>
                  <w:r>
                    <w:rPr>
                      <w:rFonts w:hint="eastAsia"/>
                      <w:color w:val="auto"/>
                      <w:sz w:val="21"/>
                      <w:szCs w:val="21"/>
                      <w:highlight w:val="none"/>
                      <w:lang w:val="en-US" w:eastAsia="zh-CN"/>
                    </w:rPr>
                    <w:t>本项目生物质锅炉燃烧废气经</w:t>
                  </w:r>
                  <w:r>
                    <w:rPr>
                      <w:rFonts w:hint="default" w:ascii="Times New Roman" w:hAnsi="Times New Roman" w:cs="Times New Roman"/>
                      <w:color w:val="auto"/>
                      <w:sz w:val="21"/>
                      <w:szCs w:val="21"/>
                      <w:highlight w:val="none"/>
                      <w:lang w:val="en-US" w:eastAsia="zh-CN"/>
                    </w:rPr>
                    <w:t>多管旋风除尘器和</w:t>
                  </w:r>
                  <w:r>
                    <w:rPr>
                      <w:rFonts w:hint="eastAsia" w:cs="Times New Roman"/>
                      <w:color w:val="auto"/>
                      <w:sz w:val="21"/>
                      <w:szCs w:val="21"/>
                      <w:highlight w:val="none"/>
                      <w:lang w:val="en-US" w:eastAsia="zh-CN"/>
                    </w:rPr>
                    <w:t>布袋</w:t>
                  </w:r>
                  <w:r>
                    <w:rPr>
                      <w:rFonts w:hint="default" w:ascii="Times New Roman" w:hAnsi="Times New Roman" w:cs="Times New Roman"/>
                      <w:color w:val="auto"/>
                      <w:sz w:val="21"/>
                      <w:szCs w:val="21"/>
                      <w:highlight w:val="none"/>
                      <w:lang w:val="en-US" w:eastAsia="zh-CN"/>
                    </w:rPr>
                    <w:t>除尘器</w:t>
                  </w:r>
                  <w:r>
                    <w:rPr>
                      <w:rFonts w:hint="eastAsia"/>
                      <w:color w:val="auto"/>
                      <w:sz w:val="21"/>
                      <w:szCs w:val="21"/>
                      <w:highlight w:val="none"/>
                      <w:lang w:val="en-US" w:eastAsia="zh-CN"/>
                    </w:rPr>
                    <w:t>处理后经30m高排气筒（DA001）达标排放，</w:t>
                  </w:r>
                  <w:r>
                    <w:rPr>
                      <w:rFonts w:hint="eastAsia"/>
                      <w:color w:val="auto"/>
                      <w:sz w:val="21"/>
                      <w:szCs w:val="21"/>
                      <w:lang w:val="en-US" w:eastAsia="zh-CN"/>
                    </w:rPr>
                    <w:t>可有效的减少颗粒物的排放，且采取的措施可行，故本项目满足</w:t>
                  </w:r>
                  <w:r>
                    <w:rPr>
                      <w:color w:val="auto"/>
                      <w:sz w:val="21"/>
                      <w:szCs w:val="21"/>
                    </w:rPr>
                    <w:t>国家和云南省污染防治规划和</w:t>
                  </w:r>
                  <w:r>
                    <w:rPr>
                      <w:rFonts w:hint="eastAsia"/>
                      <w:color w:val="auto"/>
                      <w:sz w:val="21"/>
                      <w:szCs w:val="21"/>
                      <w:lang w:val="en-US" w:eastAsia="zh-CN"/>
                    </w:rPr>
                    <w:t>玉溪市</w:t>
                  </w:r>
                  <w:r>
                    <w:rPr>
                      <w:color w:val="auto"/>
                      <w:sz w:val="21"/>
                      <w:szCs w:val="21"/>
                    </w:rPr>
                    <w:t>生态环境分区管控相关要求</w:t>
                  </w:r>
                  <w:r>
                    <w:rPr>
                      <w:rFonts w:hint="eastAsia"/>
                      <w:color w:val="auto"/>
                      <w:sz w:val="21"/>
                      <w:szCs w:val="21"/>
                      <w:lang w:eastAsia="zh-CN"/>
                    </w:rPr>
                    <w:t>。</w:t>
                  </w:r>
                </w:p>
              </w:tc>
              <w:tc>
                <w:tcPr>
                  <w:tcW w:w="900" w:type="dxa"/>
                  <w:noWrap w:val="0"/>
                  <w:vAlign w:val="center"/>
                </w:tcPr>
                <w:p w14:paraId="70F9B006">
                  <w:pPr>
                    <w:adjustRightInd w:val="0"/>
                    <w:snapToGrid w:val="0"/>
                    <w:jc w:val="center"/>
                    <w:rPr>
                      <w:color w:val="auto"/>
                      <w:szCs w:val="21"/>
                    </w:rPr>
                  </w:pPr>
                  <w:r>
                    <w:rPr>
                      <w:color w:val="auto"/>
                      <w:szCs w:val="21"/>
                    </w:rPr>
                    <w:t>符合</w:t>
                  </w:r>
                </w:p>
              </w:tc>
            </w:tr>
            <w:tr w14:paraId="654F0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noWrap w:val="0"/>
                  <w:vAlign w:val="center"/>
                </w:tcPr>
                <w:p w14:paraId="2BAEEEB8">
                  <w:pPr>
                    <w:adjustRightInd w:val="0"/>
                    <w:snapToGrid w:val="0"/>
                    <w:jc w:val="center"/>
                    <w:rPr>
                      <w:rFonts w:hint="eastAsia" w:eastAsia="宋体"/>
                      <w:color w:val="auto"/>
                      <w:szCs w:val="21"/>
                      <w:lang w:eastAsia="zh-CN"/>
                    </w:rPr>
                  </w:pPr>
                  <w:r>
                    <w:rPr>
                      <w:rFonts w:hint="eastAsia"/>
                      <w:color w:val="auto"/>
                      <w:szCs w:val="21"/>
                      <w:lang w:val="en-US" w:eastAsia="zh-CN"/>
                    </w:rPr>
                    <w:t>6</w:t>
                  </w:r>
                </w:p>
              </w:tc>
              <w:tc>
                <w:tcPr>
                  <w:tcW w:w="3711" w:type="dxa"/>
                  <w:noWrap w:val="0"/>
                  <w:vAlign w:val="center"/>
                </w:tcPr>
                <w:p w14:paraId="29C54A82">
                  <w:pPr>
                    <w:adjustRightInd w:val="0"/>
                    <w:snapToGrid w:val="0"/>
                    <w:rPr>
                      <w:rFonts w:hint="eastAsia"/>
                      <w:color w:val="auto"/>
                      <w:sz w:val="21"/>
                      <w:szCs w:val="21"/>
                    </w:rPr>
                  </w:pPr>
                  <w:r>
                    <w:rPr>
                      <w:rFonts w:hint="eastAsia"/>
                      <w:color w:val="auto"/>
                      <w:sz w:val="21"/>
                      <w:szCs w:val="21"/>
                    </w:rPr>
                    <w:t>严守环境质量底线，严格片区环境管控。根据“三线一单”、国家和云南省有关大气污染防治的相关要求，严格执行园区大气污染物总量管控要求，合理确定产业规模、布局、建设时序；入园企业采用先进的生产工艺路线、装备、清洁能源与原料，从源头上控制污染物的产生，在技术经济可行的条件下，应采用先进高效的污染防治措施，重点做好外排废气中颗粒物削减、脱硫脱硝、挥发性有机物等污染物的减排工作，结合区域大气污染防</w:t>
                  </w:r>
                </w:p>
                <w:p w14:paraId="3FECE3BA">
                  <w:pPr>
                    <w:adjustRightInd w:val="0"/>
                    <w:snapToGrid w:val="0"/>
                    <w:rPr>
                      <w:rFonts w:hint="eastAsia"/>
                      <w:color w:val="auto"/>
                      <w:sz w:val="21"/>
                      <w:szCs w:val="21"/>
                    </w:rPr>
                  </w:pPr>
                  <w:r>
                    <w:rPr>
                      <w:rFonts w:hint="eastAsia"/>
                      <w:color w:val="auto"/>
                      <w:sz w:val="21"/>
                      <w:szCs w:val="21"/>
                    </w:rPr>
                    <w:t>治要求，加快能源结构升级改造和使用清洁能源，促进区域大气环境质量改善。</w:t>
                  </w:r>
                </w:p>
                <w:p w14:paraId="79467442">
                  <w:pPr>
                    <w:pStyle w:val="6"/>
                    <w:ind w:left="0" w:leftChars="0" w:firstLine="0" w:firstLineChars="0"/>
                    <w:rPr>
                      <w:rFonts w:hint="eastAsia"/>
                      <w:color w:val="auto"/>
                      <w:sz w:val="21"/>
                      <w:szCs w:val="21"/>
                    </w:rPr>
                  </w:pPr>
                  <w:r>
                    <w:rPr>
                      <w:rFonts w:hint="eastAsia"/>
                      <w:color w:val="auto"/>
                      <w:sz w:val="21"/>
                      <w:szCs w:val="21"/>
                    </w:rPr>
                    <w:t>高度重视园区废水收集、处理、回用、排放的环境管理，实施“雨污分流”，加快各片区污水管网、回用管网的建设，结合区域的建设时序适时建设污水处理厂、再生水处理设施，区域河流纳污容量有限，应严格控制废水外排量，确保受纳水体水质满足环境功能要求。</w:t>
                  </w:r>
                </w:p>
                <w:p w14:paraId="3CD7D911">
                  <w:pPr>
                    <w:pStyle w:val="6"/>
                    <w:ind w:left="0" w:leftChars="0" w:firstLine="0" w:firstLineChars="0"/>
                    <w:rPr>
                      <w:rFonts w:hint="eastAsia"/>
                      <w:color w:val="auto"/>
                      <w:sz w:val="21"/>
                      <w:szCs w:val="21"/>
                    </w:rPr>
                  </w:pPr>
                  <w:r>
                    <w:rPr>
                      <w:rFonts w:hint="eastAsia"/>
                      <w:color w:val="auto"/>
                      <w:sz w:val="21"/>
                      <w:szCs w:val="21"/>
                    </w:rPr>
                    <w:t>园区产业布局和项目建设时应充分考虑对地下水环境的影响，优化布局，严格水文地质、工程地质勘察，合理规避地下暗河及溶岩发育区，做好地下水污染防治和监控，按相关规范要求采取针对性防渗措施，确保区域地下水环境安全；严格执行《地下水管理条例》中相关规定，在泉域保护范围以及岩溶强发育、存在较多落水洞和岩溶漏斗的区域内</w:t>
                  </w:r>
                  <w:r>
                    <w:rPr>
                      <w:rFonts w:hint="eastAsia"/>
                      <w:color w:val="auto"/>
                      <w:sz w:val="21"/>
                      <w:szCs w:val="21"/>
                      <w:lang w:eastAsia="zh-CN"/>
                    </w:rPr>
                    <w:t>，</w:t>
                  </w:r>
                  <w:r>
                    <w:rPr>
                      <w:rFonts w:hint="eastAsia"/>
                      <w:color w:val="auto"/>
                      <w:sz w:val="21"/>
                      <w:szCs w:val="21"/>
                    </w:rPr>
                    <w:t>不得新建、改建、扩建可能造成地下水污染的建设项目。</w:t>
                  </w:r>
                </w:p>
                <w:p w14:paraId="410D8FAC">
                  <w:pPr>
                    <w:rPr>
                      <w:color w:val="auto"/>
                    </w:rPr>
                  </w:pPr>
                  <w:r>
                    <w:rPr>
                      <w:rFonts w:hint="eastAsia"/>
                      <w:color w:val="auto"/>
                    </w:rPr>
                    <w:t>将土壤污染防治工作纳入园区规划及相关环境保护规划，采取有效预防措施，防止、减少土壤污染，确保满足土壤环境管控要求。入园企业产生的危险废物按照规定严格管控，积极推进工业固体废物综合利用。</w:t>
                  </w:r>
                </w:p>
              </w:tc>
              <w:tc>
                <w:tcPr>
                  <w:tcW w:w="2112" w:type="dxa"/>
                  <w:noWrap w:val="0"/>
                  <w:vAlign w:val="center"/>
                </w:tcPr>
                <w:p w14:paraId="17BB35BC">
                  <w:pPr>
                    <w:numPr>
                      <w:ilvl w:val="0"/>
                      <w:numId w:val="0"/>
                    </w:numPr>
                    <w:adjustRightInd w:val="0"/>
                    <w:snapToGrid w:val="0"/>
                    <w:rPr>
                      <w:rFonts w:hint="default" w:eastAsia="宋体"/>
                      <w:color w:val="auto"/>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（1）</w:t>
                  </w:r>
                  <w:r>
                    <w:rPr>
                      <w:color w:val="auto"/>
                      <w:sz w:val="21"/>
                      <w:szCs w:val="21"/>
                      <w:highlight w:val="none"/>
                    </w:rPr>
                    <w:t>本项目对照</w:t>
                  </w:r>
                  <w:r>
                    <w:rPr>
                      <w:rFonts w:hint="eastAsia"/>
                      <w:color w:val="auto"/>
                      <w:sz w:val="21"/>
                      <w:szCs w:val="21"/>
                      <w:highlight w:val="none"/>
                    </w:rPr>
                    <w:t>《玉溪市生态环境局关于印发玉溪市生态环境分区管控动态更新调整方案（2023年)的通知》（玉市环〔2024〕40号）</w:t>
                  </w:r>
                  <w:r>
                    <w:rPr>
                      <w:color w:val="auto"/>
                      <w:szCs w:val="21"/>
                      <w:highlight w:val="none"/>
                    </w:rPr>
                    <w:t>分析，满足通知中</w:t>
                  </w:r>
                  <w:r>
                    <w:rPr>
                      <w:rFonts w:hint="eastAsia"/>
                      <w:color w:val="auto"/>
                      <w:szCs w:val="21"/>
                      <w:highlight w:val="none"/>
                      <w:lang w:val="en-US" w:eastAsia="zh-CN"/>
                    </w:rPr>
                    <w:t>生态</w:t>
                  </w:r>
                  <w:r>
                    <w:rPr>
                      <w:color w:val="auto"/>
                      <w:szCs w:val="21"/>
                      <w:highlight w:val="none"/>
                    </w:rPr>
                    <w:t>保护红线、环境质量底线、资源利用上限及生态环境准入清单相关要求</w:t>
                  </w:r>
                  <w:r>
                    <w:rPr>
                      <w:rFonts w:hint="eastAsia"/>
                      <w:color w:val="auto"/>
                      <w:szCs w:val="21"/>
                      <w:highlight w:val="none"/>
                      <w:lang w:eastAsia="zh-CN"/>
                    </w:rPr>
                    <w:t>，</w:t>
                  </w:r>
                  <w:r>
                    <w:rPr>
                      <w:color w:val="auto"/>
                      <w:szCs w:val="21"/>
                      <w:highlight w:val="none"/>
                    </w:rPr>
                    <w:t>项目</w:t>
                  </w:r>
                  <w:r>
                    <w:rPr>
                      <w:rFonts w:hint="eastAsia"/>
                      <w:color w:val="auto"/>
                      <w:szCs w:val="21"/>
                      <w:highlight w:val="none"/>
                      <w:lang w:val="en-US" w:eastAsia="zh-CN"/>
                    </w:rPr>
                    <w:t>生物质锅炉燃烧废气经</w:t>
                  </w:r>
                  <w:r>
                    <w:rPr>
                      <w:rFonts w:hint="default" w:ascii="Times New Roman" w:hAnsi="Times New Roman" w:cs="Times New Roman"/>
                      <w:color w:val="auto"/>
                      <w:sz w:val="21"/>
                      <w:szCs w:val="21"/>
                      <w:highlight w:val="none"/>
                      <w:lang w:val="en-US" w:eastAsia="zh-CN"/>
                    </w:rPr>
                    <w:t>多管旋风除尘器和</w:t>
                  </w:r>
                  <w:r>
                    <w:rPr>
                      <w:rFonts w:hint="eastAsia" w:cs="Times New Roman"/>
                      <w:color w:val="auto"/>
                      <w:sz w:val="21"/>
                      <w:szCs w:val="21"/>
                      <w:highlight w:val="none"/>
                      <w:lang w:val="en-US" w:eastAsia="zh-CN"/>
                    </w:rPr>
                    <w:t>布袋</w:t>
                  </w:r>
                  <w:r>
                    <w:rPr>
                      <w:rFonts w:hint="default" w:ascii="Times New Roman" w:hAnsi="Times New Roman" w:cs="Times New Roman"/>
                      <w:color w:val="auto"/>
                      <w:sz w:val="21"/>
                      <w:szCs w:val="21"/>
                      <w:highlight w:val="none"/>
                      <w:lang w:val="en-US" w:eastAsia="zh-CN"/>
                    </w:rPr>
                    <w:t>除尘器</w:t>
                  </w:r>
                  <w:r>
                    <w:rPr>
                      <w:rFonts w:hint="eastAsia"/>
                      <w:color w:val="auto"/>
                      <w:szCs w:val="21"/>
                      <w:highlight w:val="none"/>
                      <w:lang w:val="en-US" w:eastAsia="zh-CN"/>
                    </w:rPr>
                    <w:t>处理后经30m高排气筒（DA001）达标排放，生物质锅炉炉渣清灰粉尘经稀释扩散后无组织排放，生产车间异味及一体化污水处理站废气经绿化稀释扩散后呈无组织排放；各污染物均能达标排放。</w:t>
                  </w:r>
                </w:p>
                <w:p w14:paraId="2F703EB4">
                  <w:pPr>
                    <w:adjustRightInd w:val="0"/>
                    <w:snapToGrid w:val="0"/>
                    <w:rPr>
                      <w:rFonts w:hint="eastAsia" w:eastAsia="宋体"/>
                      <w:color w:val="auto"/>
                      <w:szCs w:val="21"/>
                      <w:highlight w:val="none"/>
                      <w:lang w:eastAsia="zh-CN"/>
                    </w:rPr>
                  </w:pPr>
                  <w:r>
                    <w:rPr>
                      <w:color w:val="auto"/>
                      <w:szCs w:val="21"/>
                      <w:highlight w:val="none"/>
                    </w:rPr>
                    <w:t>（2）项目区内实施雨污分流，</w:t>
                  </w:r>
                  <w:r>
                    <w:rPr>
                      <w:rFonts w:hint="eastAsia"/>
                      <w:color w:val="auto"/>
                      <w:szCs w:val="21"/>
                      <w:highlight w:val="none"/>
                      <w:lang w:val="en-US" w:eastAsia="zh-CN"/>
                    </w:rPr>
                    <w:t>项目生产废水及生活污水经</w:t>
                  </w:r>
                  <w:r>
                    <w:rPr>
                      <w:rFonts w:hint="eastAsia"/>
                      <w:color w:val="auto"/>
                      <w:sz w:val="21"/>
                      <w:szCs w:val="21"/>
                      <w:highlight w:val="none"/>
                      <w:lang w:val="en-US" w:eastAsia="zh-CN"/>
                    </w:rPr>
                    <w:t>处理达标后排入</w:t>
                  </w:r>
                  <w:r>
                    <w:rPr>
                      <w:color w:val="auto"/>
                      <w:sz w:val="21"/>
                      <w:szCs w:val="21"/>
                      <w:highlight w:val="none"/>
                    </w:rPr>
                    <w:t>元江工业园区MBR膜一体化300m</w:t>
                  </w:r>
                  <w:r>
                    <w:rPr>
                      <w:color w:val="auto"/>
                      <w:sz w:val="21"/>
                      <w:szCs w:val="21"/>
                      <w:highlight w:val="none"/>
                      <w:vertAlign w:val="superscript"/>
                    </w:rPr>
                    <w:t>3</w:t>
                  </w:r>
                  <w:r>
                    <w:rPr>
                      <w:color w:val="auto"/>
                      <w:sz w:val="21"/>
                      <w:szCs w:val="21"/>
                      <w:highlight w:val="none"/>
                    </w:rPr>
                    <w:t>/d过渡式污水处理站处理</w:t>
                  </w:r>
                  <w:r>
                    <w:rPr>
                      <w:rFonts w:hint="eastAsia"/>
                      <w:color w:val="auto"/>
                      <w:sz w:val="21"/>
                      <w:szCs w:val="21"/>
                      <w:highlight w:val="none"/>
                      <w:lang w:eastAsia="zh-CN"/>
                    </w:rPr>
                    <w:t>。</w:t>
                  </w:r>
                </w:p>
                <w:p w14:paraId="66587EC9">
                  <w:pPr>
                    <w:widowControl/>
                    <w:adjustRightInd w:val="0"/>
                    <w:snapToGrid w:val="0"/>
                    <w:textAlignment w:val="top"/>
                    <w:rPr>
                      <w:color w:val="auto"/>
                      <w:szCs w:val="21"/>
                    </w:rPr>
                  </w:pPr>
                  <w:r>
                    <w:rPr>
                      <w:rFonts w:hint="eastAsia"/>
                      <w:color w:val="auto"/>
                      <w:szCs w:val="21"/>
                      <w:lang w:eastAsia="zh-CN"/>
                    </w:rPr>
                    <w:t>（</w:t>
                  </w:r>
                  <w:r>
                    <w:rPr>
                      <w:rFonts w:hint="eastAsia"/>
                      <w:color w:val="auto"/>
                      <w:szCs w:val="21"/>
                      <w:lang w:val="en-US" w:eastAsia="zh-CN"/>
                    </w:rPr>
                    <w:t>3</w:t>
                  </w:r>
                  <w:r>
                    <w:rPr>
                      <w:rFonts w:hint="eastAsia"/>
                      <w:color w:val="auto"/>
                      <w:szCs w:val="21"/>
                      <w:lang w:eastAsia="zh-CN"/>
                    </w:rPr>
                    <w:t>）</w:t>
                  </w:r>
                  <w:r>
                    <w:rPr>
                      <w:rFonts w:hint="eastAsia"/>
                      <w:color w:val="auto"/>
                      <w:szCs w:val="21"/>
                      <w:lang w:val="en-US" w:eastAsia="zh-CN"/>
                    </w:rPr>
                    <w:t>项目固体废弃物均进行妥善处置，处置率为100%，同时项目危废贮存间已进行“三防”处理，可有效的防止土壤污染及地下水污染。</w:t>
                  </w:r>
                </w:p>
              </w:tc>
              <w:tc>
                <w:tcPr>
                  <w:tcW w:w="900" w:type="dxa"/>
                  <w:noWrap w:val="0"/>
                  <w:vAlign w:val="center"/>
                </w:tcPr>
                <w:p w14:paraId="2CACAF43">
                  <w:pPr>
                    <w:adjustRightInd w:val="0"/>
                    <w:snapToGrid w:val="0"/>
                    <w:jc w:val="center"/>
                    <w:rPr>
                      <w:color w:val="auto"/>
                      <w:szCs w:val="21"/>
                    </w:rPr>
                  </w:pPr>
                  <w:r>
                    <w:rPr>
                      <w:color w:val="auto"/>
                      <w:szCs w:val="21"/>
                    </w:rPr>
                    <w:t>符合</w:t>
                  </w:r>
                </w:p>
              </w:tc>
            </w:tr>
            <w:tr w14:paraId="2EC1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noWrap w:val="0"/>
                  <w:vAlign w:val="center"/>
                </w:tcPr>
                <w:p w14:paraId="398996FF">
                  <w:pPr>
                    <w:adjustRightInd w:val="0"/>
                    <w:snapToGrid w:val="0"/>
                    <w:spacing w:line="240" w:lineRule="auto"/>
                    <w:jc w:val="center"/>
                    <w:rPr>
                      <w:rFonts w:hint="default"/>
                      <w:color w:val="auto"/>
                      <w:szCs w:val="21"/>
                      <w:lang w:val="en-US" w:eastAsia="zh-CN"/>
                    </w:rPr>
                  </w:pPr>
                  <w:r>
                    <w:rPr>
                      <w:rFonts w:hint="eastAsia"/>
                      <w:color w:val="auto"/>
                      <w:szCs w:val="21"/>
                      <w:lang w:val="en-US" w:eastAsia="zh-CN"/>
                    </w:rPr>
                    <w:t>7</w:t>
                  </w:r>
                </w:p>
                <w:p w14:paraId="1988D819">
                  <w:pPr>
                    <w:pStyle w:val="6"/>
                    <w:spacing w:line="240" w:lineRule="auto"/>
                    <w:rPr>
                      <w:rFonts w:hint="eastAsia"/>
                      <w:color w:val="auto"/>
                      <w:lang w:val="en-US" w:eastAsia="zh-CN"/>
                    </w:rPr>
                  </w:pPr>
                </w:p>
              </w:tc>
              <w:tc>
                <w:tcPr>
                  <w:tcW w:w="3711" w:type="dxa"/>
                  <w:noWrap w:val="0"/>
                  <w:vAlign w:val="center"/>
                </w:tcPr>
                <w:p w14:paraId="095A0EBB">
                  <w:pPr>
                    <w:pStyle w:val="6"/>
                    <w:spacing w:line="240" w:lineRule="auto"/>
                    <w:ind w:left="0" w:leftChars="0" w:firstLine="0" w:firstLineChars="0"/>
                    <w:rPr>
                      <w:rFonts w:hint="eastAsia"/>
                      <w:color w:val="auto"/>
                      <w:sz w:val="21"/>
                      <w:szCs w:val="21"/>
                    </w:rPr>
                  </w:pPr>
                  <w:r>
                    <w:rPr>
                      <w:rFonts w:hint="eastAsia"/>
                      <w:color w:val="auto"/>
                      <w:sz w:val="21"/>
                      <w:szCs w:val="21"/>
                    </w:rPr>
                    <w:t>严格执行环境准入要求，加强入园项目生态环境准入管理。落实蓝天、碧水、净土保卫战有关管控要求，加强“两高”行业生态环境源头防控，引进项目的生产工艺、设备、污染物排放和资源利用等，应达到清洁生产国内先进水平；推进技术研发型、创新型产业发展，提升产业的技术水平和园区的绿色低碳化水平；园区招商引资、入园项目环评审批应严格执行生态环境准入要求，要以园区的资源环境承载能力为基础，充分论证、有序发展，严禁引进工艺装备落后，不符合污染物排放总量控制要求的企业。</w:t>
                  </w:r>
                </w:p>
              </w:tc>
              <w:tc>
                <w:tcPr>
                  <w:tcW w:w="2112" w:type="dxa"/>
                  <w:noWrap w:val="0"/>
                  <w:vAlign w:val="center"/>
                </w:tcPr>
                <w:p w14:paraId="7558EDE5">
                  <w:pPr>
                    <w:widowControl/>
                    <w:adjustRightInd w:val="0"/>
                    <w:snapToGrid w:val="0"/>
                    <w:textAlignment w:val="top"/>
                    <w:rPr>
                      <w:rFonts w:hint="eastAsia"/>
                      <w:color w:val="auto"/>
                      <w:szCs w:val="21"/>
                      <w:lang w:val="en-US" w:eastAsia="zh-CN"/>
                    </w:rPr>
                  </w:pPr>
                  <w:r>
                    <w:rPr>
                      <w:rFonts w:hint="eastAsia"/>
                      <w:color w:val="auto"/>
                      <w:szCs w:val="21"/>
                      <w:highlight w:val="none"/>
                      <w:lang w:val="en-US" w:eastAsia="zh-CN"/>
                    </w:rPr>
                    <w:t>本项目采用</w:t>
                  </w:r>
                  <w:r>
                    <w:rPr>
                      <w:rFonts w:hint="default" w:ascii="Times New Roman" w:hAnsi="Times New Roman" w:cs="Times New Roman"/>
                      <w:color w:val="auto"/>
                      <w:sz w:val="21"/>
                      <w:szCs w:val="21"/>
                      <w:highlight w:val="none"/>
                      <w:lang w:val="en-US" w:eastAsia="zh-CN"/>
                    </w:rPr>
                    <w:t>多管旋风除尘器</w:t>
                  </w:r>
                  <w:r>
                    <w:rPr>
                      <w:rFonts w:hint="eastAsia" w:cs="Times New Roman"/>
                      <w:color w:val="auto"/>
                      <w:sz w:val="21"/>
                      <w:szCs w:val="21"/>
                      <w:highlight w:val="none"/>
                      <w:lang w:val="en-US" w:eastAsia="zh-CN"/>
                    </w:rPr>
                    <w:t>+布袋</w:t>
                  </w:r>
                  <w:r>
                    <w:rPr>
                      <w:rFonts w:hint="default" w:ascii="Times New Roman" w:hAnsi="Times New Roman" w:cs="Times New Roman"/>
                      <w:color w:val="auto"/>
                      <w:sz w:val="21"/>
                      <w:szCs w:val="21"/>
                      <w:highlight w:val="none"/>
                      <w:lang w:val="en-US" w:eastAsia="zh-CN"/>
                    </w:rPr>
                    <w:t>除尘器</w:t>
                  </w:r>
                  <w:r>
                    <w:rPr>
                      <w:rFonts w:hint="eastAsia"/>
                      <w:color w:val="auto"/>
                      <w:szCs w:val="21"/>
                      <w:highlight w:val="none"/>
                      <w:lang w:val="en-US" w:eastAsia="zh-CN"/>
                    </w:rPr>
                    <w:t>对生物质锅炉燃烧废气</w:t>
                  </w:r>
                  <w:r>
                    <w:rPr>
                      <w:rFonts w:hint="eastAsia"/>
                      <w:color w:val="auto"/>
                      <w:sz w:val="21"/>
                      <w:szCs w:val="21"/>
                      <w:highlight w:val="none"/>
                      <w:lang w:val="en-US" w:eastAsia="zh-CN"/>
                    </w:rPr>
                    <w:t>进行处理；</w:t>
                  </w:r>
                  <w:r>
                    <w:rPr>
                      <w:color w:val="auto"/>
                      <w:sz w:val="21"/>
                      <w:szCs w:val="21"/>
                      <w:highlight w:val="none"/>
                    </w:rPr>
                    <w:t>项目区内实施雨污分流，雨水经</w:t>
                  </w:r>
                  <w:r>
                    <w:rPr>
                      <w:rFonts w:hint="eastAsia"/>
                      <w:color w:val="auto"/>
                      <w:sz w:val="21"/>
                      <w:szCs w:val="21"/>
                      <w:highlight w:val="none"/>
                      <w:lang w:val="en-US" w:eastAsia="zh-CN"/>
                    </w:rPr>
                    <w:t>园区</w:t>
                  </w:r>
                  <w:r>
                    <w:rPr>
                      <w:color w:val="auto"/>
                      <w:sz w:val="21"/>
                      <w:szCs w:val="21"/>
                      <w:highlight w:val="none"/>
                    </w:rPr>
                    <w:t>雨水管网收集后</w:t>
                  </w:r>
                  <w:r>
                    <w:rPr>
                      <w:rFonts w:hint="eastAsia"/>
                      <w:color w:val="auto"/>
                      <w:sz w:val="21"/>
                      <w:szCs w:val="21"/>
                      <w:highlight w:val="none"/>
                      <w:lang w:val="en-US" w:eastAsia="zh-CN"/>
                    </w:rPr>
                    <w:t>外排</w:t>
                  </w:r>
                  <w:r>
                    <w:rPr>
                      <w:rFonts w:hint="eastAsia"/>
                      <w:color w:val="auto"/>
                      <w:sz w:val="21"/>
                      <w:szCs w:val="21"/>
                      <w:highlight w:val="none"/>
                      <w:lang w:eastAsia="zh-CN"/>
                    </w:rPr>
                    <w:t>；</w:t>
                  </w:r>
                  <w:r>
                    <w:rPr>
                      <w:rFonts w:hint="eastAsia"/>
                      <w:color w:val="auto"/>
                      <w:sz w:val="21"/>
                      <w:szCs w:val="21"/>
                      <w:highlight w:val="none"/>
                      <w:lang w:val="en-US" w:eastAsia="zh-CN"/>
                    </w:rPr>
                    <w:t>生产废水及生活污水经处理达标后排入</w:t>
                  </w:r>
                  <w:r>
                    <w:rPr>
                      <w:color w:val="auto"/>
                      <w:sz w:val="21"/>
                      <w:szCs w:val="21"/>
                      <w:highlight w:val="none"/>
                    </w:rPr>
                    <w:t>元江工业园区MBR膜一体化300m</w:t>
                  </w:r>
                  <w:r>
                    <w:rPr>
                      <w:color w:val="auto"/>
                      <w:sz w:val="21"/>
                      <w:szCs w:val="21"/>
                      <w:highlight w:val="none"/>
                      <w:vertAlign w:val="superscript"/>
                    </w:rPr>
                    <w:t>3</w:t>
                  </w:r>
                  <w:r>
                    <w:rPr>
                      <w:color w:val="auto"/>
                      <w:sz w:val="21"/>
                      <w:szCs w:val="21"/>
                      <w:highlight w:val="none"/>
                    </w:rPr>
                    <w:t>/d过渡式污水处理站</w:t>
                  </w:r>
                  <w:r>
                    <w:rPr>
                      <w:rFonts w:hint="eastAsia"/>
                      <w:color w:val="auto"/>
                      <w:sz w:val="21"/>
                      <w:szCs w:val="21"/>
                      <w:highlight w:val="none"/>
                      <w:lang w:eastAsia="zh-CN"/>
                    </w:rPr>
                    <w:t>；</w:t>
                  </w:r>
                  <w:r>
                    <w:rPr>
                      <w:rFonts w:hint="eastAsia"/>
                      <w:color w:val="auto"/>
                      <w:sz w:val="21"/>
                      <w:szCs w:val="21"/>
                      <w:highlight w:val="none"/>
                      <w:lang w:val="en-US" w:eastAsia="zh-CN"/>
                    </w:rPr>
                    <w:t>项目固废已进行妥善处置。</w:t>
                  </w:r>
                  <w:r>
                    <w:rPr>
                      <w:rFonts w:hint="eastAsia"/>
                      <w:color w:val="auto"/>
                      <w:sz w:val="21"/>
                      <w:szCs w:val="21"/>
                      <w:lang w:val="en-US" w:eastAsia="zh-CN"/>
                    </w:rPr>
                    <w:t>本项目不属于“两高”行业及工艺装备落后企业，项目与园区环境准入要求相符。</w:t>
                  </w:r>
                </w:p>
              </w:tc>
              <w:tc>
                <w:tcPr>
                  <w:tcW w:w="900" w:type="dxa"/>
                  <w:noWrap w:val="0"/>
                  <w:vAlign w:val="center"/>
                </w:tcPr>
                <w:p w14:paraId="15E249E3">
                  <w:pPr>
                    <w:adjustRightInd w:val="0"/>
                    <w:snapToGrid w:val="0"/>
                    <w:spacing w:line="240" w:lineRule="auto"/>
                    <w:jc w:val="center"/>
                    <w:rPr>
                      <w:color w:val="auto"/>
                      <w:szCs w:val="21"/>
                    </w:rPr>
                  </w:pPr>
                </w:p>
              </w:tc>
            </w:tr>
            <w:tr w14:paraId="3621E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noWrap w:val="0"/>
                  <w:vAlign w:val="center"/>
                </w:tcPr>
                <w:p w14:paraId="0E0B59E3">
                  <w:pPr>
                    <w:adjustRightInd w:val="0"/>
                    <w:snapToGrid w:val="0"/>
                    <w:jc w:val="center"/>
                    <w:rPr>
                      <w:rFonts w:hint="eastAsia" w:eastAsia="宋体"/>
                      <w:color w:val="auto"/>
                      <w:szCs w:val="21"/>
                      <w:lang w:val="en-US" w:eastAsia="zh-CN"/>
                    </w:rPr>
                  </w:pPr>
                  <w:r>
                    <w:rPr>
                      <w:rFonts w:hint="eastAsia"/>
                      <w:color w:val="auto"/>
                      <w:szCs w:val="21"/>
                      <w:lang w:val="en-US" w:eastAsia="zh-CN"/>
                    </w:rPr>
                    <w:t>8</w:t>
                  </w:r>
                </w:p>
              </w:tc>
              <w:tc>
                <w:tcPr>
                  <w:tcW w:w="3711" w:type="dxa"/>
                  <w:noWrap w:val="0"/>
                  <w:vAlign w:val="center"/>
                </w:tcPr>
                <w:p w14:paraId="5AA8AC3D">
                  <w:pPr>
                    <w:adjustRightInd w:val="0"/>
                    <w:snapToGrid w:val="0"/>
                    <w:rPr>
                      <w:color w:val="auto"/>
                      <w:szCs w:val="21"/>
                    </w:rPr>
                  </w:pPr>
                  <w:r>
                    <w:rPr>
                      <w:rFonts w:hint="eastAsia"/>
                      <w:color w:val="auto"/>
                      <w:szCs w:val="21"/>
                    </w:rPr>
                    <w:t>建立健全区域环境风险防范和生态安全保障体系。加强园区内易导致环境风险的有毒有害和易燃易爆物质的生产、使用、贮运等管理，统筹考虑区内污染防治、生态恢复与建设、环境风险防范、环境管理等事宜；强化园区危险化学品储运的环境风险管理，制定建立厂区、园区、区域三级防控措施，强化环境监测与预警能力建设、环境风险应急与防范措施，建立应急响应联动机制和风险防控体系并编制应急预案，防范环境风险，避免事故废水排入园区外水体，保障区域环境安全。</w:t>
                  </w:r>
                </w:p>
              </w:tc>
              <w:tc>
                <w:tcPr>
                  <w:tcW w:w="2112" w:type="dxa"/>
                  <w:noWrap w:val="0"/>
                  <w:vAlign w:val="center"/>
                </w:tcPr>
                <w:p w14:paraId="00265821">
                  <w:pPr>
                    <w:adjustRightInd w:val="0"/>
                    <w:snapToGrid w:val="0"/>
                    <w:rPr>
                      <w:color w:val="auto"/>
                      <w:szCs w:val="21"/>
                    </w:rPr>
                  </w:pPr>
                  <w:r>
                    <w:rPr>
                      <w:color w:val="auto"/>
                      <w:szCs w:val="21"/>
                    </w:rPr>
                    <w:t>本项目</w:t>
                  </w:r>
                  <w:r>
                    <w:rPr>
                      <w:rFonts w:hint="eastAsia"/>
                      <w:color w:val="auto"/>
                      <w:szCs w:val="21"/>
                      <w:lang w:val="en-US" w:eastAsia="zh-CN"/>
                    </w:rPr>
                    <w:t>目前正在办理环境影响评价手续，该手续办理完成后企业应</w:t>
                  </w:r>
                  <w:r>
                    <w:rPr>
                      <w:color w:val="auto"/>
                      <w:szCs w:val="21"/>
                    </w:rPr>
                    <w:t>按要求建立健</w:t>
                  </w:r>
                  <w:r>
                    <w:rPr>
                      <w:rFonts w:hint="eastAsia"/>
                      <w:color w:val="auto"/>
                      <w:szCs w:val="21"/>
                    </w:rPr>
                    <w:t>全</w:t>
                  </w:r>
                  <w:r>
                    <w:rPr>
                      <w:color w:val="auto"/>
                      <w:szCs w:val="21"/>
                    </w:rPr>
                    <w:t>环境风险防范和生态安全保障体系，建立应急响应联动机制和风险防控体系并</w:t>
                  </w:r>
                  <w:r>
                    <w:rPr>
                      <w:rFonts w:hint="eastAsia"/>
                      <w:color w:val="auto"/>
                      <w:szCs w:val="21"/>
                      <w:lang w:val="en-US" w:eastAsia="zh-CN"/>
                    </w:rPr>
                    <w:t>修编</w:t>
                  </w:r>
                  <w:r>
                    <w:rPr>
                      <w:color w:val="auto"/>
                      <w:szCs w:val="21"/>
                    </w:rPr>
                    <w:t>应急预案，确保环境风险可接受。</w:t>
                  </w:r>
                </w:p>
              </w:tc>
              <w:tc>
                <w:tcPr>
                  <w:tcW w:w="900" w:type="dxa"/>
                  <w:noWrap w:val="0"/>
                  <w:vAlign w:val="center"/>
                </w:tcPr>
                <w:p w14:paraId="760FEEF1">
                  <w:pPr>
                    <w:adjustRightInd w:val="0"/>
                    <w:snapToGrid w:val="0"/>
                    <w:jc w:val="center"/>
                    <w:rPr>
                      <w:color w:val="auto"/>
                      <w:szCs w:val="21"/>
                    </w:rPr>
                  </w:pPr>
                </w:p>
              </w:tc>
            </w:tr>
            <w:tr w14:paraId="2E71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noWrap w:val="0"/>
                  <w:vAlign w:val="center"/>
                </w:tcPr>
                <w:p w14:paraId="60FF7A4A">
                  <w:pPr>
                    <w:adjustRightInd w:val="0"/>
                    <w:snapToGrid w:val="0"/>
                    <w:jc w:val="center"/>
                    <w:rPr>
                      <w:rFonts w:hint="eastAsia" w:eastAsia="宋体"/>
                      <w:color w:val="auto"/>
                      <w:szCs w:val="21"/>
                      <w:lang w:eastAsia="zh-CN"/>
                    </w:rPr>
                  </w:pPr>
                  <w:r>
                    <w:rPr>
                      <w:rFonts w:hint="eastAsia"/>
                      <w:color w:val="auto"/>
                      <w:szCs w:val="21"/>
                      <w:lang w:val="en-US" w:eastAsia="zh-CN"/>
                    </w:rPr>
                    <w:t>9</w:t>
                  </w:r>
                </w:p>
              </w:tc>
              <w:tc>
                <w:tcPr>
                  <w:tcW w:w="3711" w:type="dxa"/>
                  <w:noWrap w:val="0"/>
                  <w:vAlign w:val="center"/>
                </w:tcPr>
                <w:p w14:paraId="2683309E">
                  <w:pPr>
                    <w:adjustRightInd w:val="0"/>
                    <w:snapToGrid w:val="0"/>
                    <w:rPr>
                      <w:color w:val="auto"/>
                      <w:szCs w:val="21"/>
                    </w:rPr>
                  </w:pPr>
                  <w:r>
                    <w:rPr>
                      <w:rFonts w:hint="eastAsia"/>
                      <w:color w:val="auto"/>
                      <w:szCs w:val="21"/>
                    </w:rPr>
                    <w:t>建立环境质量监测网络并共享数据。根据园区功能分区、产业布局、重点企业分布、特征污染物的排放种类和状况、环境敏感目标分布等情况，统筹安排环境监测监控网络建设；切实做好园区大气、地表水、地下水、土壤等环境的长期跟踪监测与管理，督促排污企业落实自行监测责任，根据监测结果、实际环境影响、不良环境影响减缓措施的有效性等提出完善环境管理方案并适时优化调整《规划》。</w:t>
                  </w:r>
                </w:p>
              </w:tc>
              <w:tc>
                <w:tcPr>
                  <w:tcW w:w="2112" w:type="dxa"/>
                  <w:noWrap w:val="0"/>
                  <w:vAlign w:val="center"/>
                </w:tcPr>
                <w:p w14:paraId="06EA5A4B">
                  <w:pPr>
                    <w:adjustRightInd w:val="0"/>
                    <w:snapToGrid w:val="0"/>
                    <w:rPr>
                      <w:rFonts w:hint="default" w:eastAsia="宋体"/>
                      <w:color w:val="auto"/>
                      <w:szCs w:val="21"/>
                      <w:lang w:val="en-US" w:eastAsia="zh-CN"/>
                    </w:rPr>
                  </w:pPr>
                  <w:r>
                    <w:rPr>
                      <w:rFonts w:hint="eastAsia"/>
                      <w:color w:val="auto"/>
                      <w:szCs w:val="21"/>
                      <w:lang w:val="en-US" w:eastAsia="zh-CN"/>
                    </w:rPr>
                    <w:t>本项目建成后严格按照排污许可自行监测要求执行。</w:t>
                  </w:r>
                </w:p>
              </w:tc>
              <w:tc>
                <w:tcPr>
                  <w:tcW w:w="900" w:type="dxa"/>
                  <w:noWrap w:val="0"/>
                  <w:vAlign w:val="center"/>
                </w:tcPr>
                <w:p w14:paraId="3439B49D">
                  <w:pPr>
                    <w:adjustRightInd w:val="0"/>
                    <w:snapToGrid w:val="0"/>
                    <w:jc w:val="center"/>
                    <w:rPr>
                      <w:color w:val="auto"/>
                      <w:szCs w:val="21"/>
                    </w:rPr>
                  </w:pPr>
                </w:p>
              </w:tc>
            </w:tr>
            <w:tr w14:paraId="17B8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noWrap w:val="0"/>
                  <w:vAlign w:val="center"/>
                </w:tcPr>
                <w:p w14:paraId="084419DD">
                  <w:pPr>
                    <w:tabs>
                      <w:tab w:val="left" w:pos="321"/>
                    </w:tabs>
                    <w:adjustRightInd w:val="0"/>
                    <w:snapToGrid w:val="0"/>
                    <w:jc w:val="center"/>
                    <w:rPr>
                      <w:rFonts w:hint="default" w:eastAsia="宋体"/>
                      <w:color w:val="auto"/>
                      <w:szCs w:val="21"/>
                      <w:lang w:val="en-US" w:eastAsia="zh-CN"/>
                    </w:rPr>
                  </w:pPr>
                  <w:r>
                    <w:rPr>
                      <w:rFonts w:hint="eastAsia"/>
                      <w:color w:val="auto"/>
                      <w:szCs w:val="21"/>
                      <w:lang w:val="en-US" w:eastAsia="zh-CN"/>
                    </w:rPr>
                    <w:t>10</w:t>
                  </w:r>
                </w:p>
              </w:tc>
              <w:tc>
                <w:tcPr>
                  <w:tcW w:w="3711" w:type="dxa"/>
                  <w:noWrap w:val="0"/>
                  <w:vAlign w:val="center"/>
                </w:tcPr>
                <w:p w14:paraId="5ADBBBD2">
                  <w:pPr>
                    <w:adjustRightInd w:val="0"/>
                    <w:snapToGrid w:val="0"/>
                    <w:rPr>
                      <w:color w:val="auto"/>
                      <w:szCs w:val="21"/>
                    </w:rPr>
                  </w:pPr>
                  <w:r>
                    <w:rPr>
                      <w:rFonts w:hint="eastAsia"/>
                      <w:color w:val="auto"/>
                      <w:szCs w:val="21"/>
                    </w:rPr>
                    <w:t>加快园区环保基础设施建设，促进区域环境质量持续改善。各片区应根据用地规模、开发程度、产业聚集程度及排水条件，因地制宜规划建设污水集中处理设施及中水回用设施，并同步建设污水管网、雨水管网及中水回用管网，确保各片区污水得到有效收集和处理；积极推进集中供热的建设，督促园区企业加强废气、废水、噪声、固废等环保设施建设和运行管理。</w:t>
                  </w:r>
                </w:p>
              </w:tc>
              <w:tc>
                <w:tcPr>
                  <w:tcW w:w="2112" w:type="dxa"/>
                  <w:noWrap w:val="0"/>
                  <w:vAlign w:val="center"/>
                </w:tcPr>
                <w:p w14:paraId="2DC2AF96">
                  <w:pPr>
                    <w:adjustRightInd w:val="0"/>
                    <w:snapToGrid w:val="0"/>
                    <w:rPr>
                      <w:rFonts w:hint="default" w:eastAsia="宋体"/>
                      <w:color w:val="auto"/>
                      <w:szCs w:val="21"/>
                      <w:lang w:val="en-US" w:eastAsia="zh-CN"/>
                    </w:rPr>
                  </w:pPr>
                  <w:r>
                    <w:rPr>
                      <w:rFonts w:hint="eastAsia"/>
                      <w:color w:val="auto"/>
                      <w:szCs w:val="21"/>
                    </w:rPr>
                    <w:t>目前</w:t>
                  </w:r>
                  <w:r>
                    <w:rPr>
                      <w:rFonts w:hint="eastAsia"/>
                      <w:color w:val="auto"/>
                      <w:szCs w:val="21"/>
                      <w:lang w:val="en-US" w:eastAsia="zh-CN"/>
                    </w:rPr>
                    <w:t>甘庄</w:t>
                  </w:r>
                  <w:r>
                    <w:rPr>
                      <w:rFonts w:hint="eastAsia"/>
                      <w:color w:val="auto"/>
                      <w:szCs w:val="21"/>
                    </w:rPr>
                    <w:t>片区设有1座元江工业园区MBR膜一体化300m</w:t>
                  </w:r>
                  <w:r>
                    <w:rPr>
                      <w:rFonts w:hint="eastAsia"/>
                      <w:color w:val="auto"/>
                      <w:szCs w:val="21"/>
                      <w:vertAlign w:val="superscript"/>
                    </w:rPr>
                    <w:t>3</w:t>
                  </w:r>
                  <w:r>
                    <w:rPr>
                      <w:rFonts w:hint="eastAsia"/>
                      <w:color w:val="auto"/>
                      <w:szCs w:val="21"/>
                    </w:rPr>
                    <w:t>/d过渡式污水处理站，该污水处理站处理园区现有企业的废水，作为</w:t>
                  </w:r>
                  <w:r>
                    <w:rPr>
                      <w:rFonts w:hint="eastAsia"/>
                      <w:color w:val="auto"/>
                      <w:szCs w:val="21"/>
                      <w:lang w:val="en-US" w:eastAsia="zh-CN"/>
                    </w:rPr>
                    <w:t>园区</w:t>
                  </w:r>
                  <w:r>
                    <w:rPr>
                      <w:rFonts w:hint="eastAsia"/>
                      <w:color w:val="auto"/>
                      <w:szCs w:val="21"/>
                    </w:rPr>
                    <w:t>过渡式污水处理站</w:t>
                  </w:r>
                  <w:r>
                    <w:rPr>
                      <w:rFonts w:hint="eastAsia"/>
                      <w:color w:val="auto"/>
                      <w:szCs w:val="21"/>
                      <w:lang w:eastAsia="zh-CN"/>
                    </w:rPr>
                    <w:t>。</w:t>
                  </w:r>
                  <w:r>
                    <w:rPr>
                      <w:rFonts w:hint="eastAsia"/>
                      <w:color w:val="auto"/>
                      <w:szCs w:val="21"/>
                      <w:lang w:val="en-US" w:eastAsia="zh-CN"/>
                    </w:rPr>
                    <w:t>根据调查，项目所在区域污水管网已接至该过渡式污水处理站，且污水处理站目前正常运行中。</w:t>
                  </w:r>
                </w:p>
              </w:tc>
              <w:tc>
                <w:tcPr>
                  <w:tcW w:w="900" w:type="dxa"/>
                  <w:noWrap w:val="0"/>
                  <w:vAlign w:val="center"/>
                </w:tcPr>
                <w:p w14:paraId="02E9D52E">
                  <w:pPr>
                    <w:adjustRightInd w:val="0"/>
                    <w:snapToGrid w:val="0"/>
                    <w:jc w:val="center"/>
                    <w:rPr>
                      <w:color w:val="auto"/>
                      <w:szCs w:val="21"/>
                    </w:rPr>
                  </w:pPr>
                </w:p>
              </w:tc>
            </w:tr>
          </w:tbl>
          <w:p w14:paraId="1A813B35">
            <w:pPr>
              <w:adjustRightInd w:val="0"/>
              <w:snapToGrid w:val="0"/>
              <w:spacing w:line="360" w:lineRule="auto"/>
              <w:ind w:firstLine="480" w:firstLineChars="200"/>
              <w:rPr>
                <w:color w:val="auto"/>
                <w:kern w:val="0"/>
                <w:sz w:val="24"/>
                <w:szCs w:val="24"/>
              </w:rPr>
            </w:pPr>
            <w:r>
              <w:rPr>
                <w:rFonts w:hint="eastAsia"/>
                <w:color w:val="auto"/>
                <w:sz w:val="24"/>
                <w:szCs w:val="24"/>
                <w:highlight w:val="none"/>
                <w:lang w:val="en-US" w:eastAsia="zh-CN"/>
              </w:rPr>
              <w:t>根据上表</w:t>
            </w:r>
            <w:r>
              <w:rPr>
                <w:rFonts w:hint="eastAsia"/>
                <w:color w:val="auto"/>
                <w:sz w:val="24"/>
                <w:szCs w:val="24"/>
                <w:highlight w:val="none"/>
              </w:rPr>
              <w:t>，</w:t>
            </w:r>
            <w:r>
              <w:rPr>
                <w:rFonts w:hint="eastAsia"/>
                <w:color w:val="auto"/>
                <w:sz w:val="24"/>
                <w:szCs w:val="24"/>
                <w:highlight w:val="none"/>
                <w:lang w:val="en-US" w:eastAsia="zh-CN"/>
              </w:rPr>
              <w:t>本</w:t>
            </w:r>
            <w:r>
              <w:rPr>
                <w:rFonts w:hint="eastAsia"/>
                <w:color w:val="auto"/>
                <w:sz w:val="24"/>
                <w:szCs w:val="24"/>
                <w:highlight w:val="none"/>
              </w:rPr>
              <w:t>项目</w:t>
            </w:r>
            <w:r>
              <w:rPr>
                <w:rFonts w:hint="eastAsia"/>
                <w:color w:val="auto"/>
                <w:sz w:val="24"/>
                <w:szCs w:val="24"/>
                <w:highlight w:val="none"/>
                <w:lang w:val="en-US" w:eastAsia="zh-CN"/>
              </w:rPr>
              <w:t>符合</w:t>
            </w:r>
            <w:r>
              <w:rPr>
                <w:color w:val="auto"/>
                <w:sz w:val="24"/>
                <w:szCs w:val="24"/>
                <w:highlight w:val="none"/>
              </w:rPr>
              <w:t>《</w:t>
            </w:r>
            <w:r>
              <w:rPr>
                <w:rFonts w:hint="eastAsia"/>
                <w:bCs/>
                <w:color w:val="auto"/>
                <w:sz w:val="24"/>
                <w:szCs w:val="24"/>
                <w:highlight w:val="none"/>
                <w:lang w:val="en-US" w:eastAsia="zh-CN"/>
              </w:rPr>
              <w:t>云南元江产业园区</w:t>
            </w:r>
            <w:r>
              <w:rPr>
                <w:bCs/>
                <w:color w:val="auto"/>
                <w:sz w:val="24"/>
                <w:szCs w:val="24"/>
                <w:highlight w:val="none"/>
              </w:rPr>
              <w:t>总体规划修编（2021-2035）</w:t>
            </w:r>
            <w:r>
              <w:rPr>
                <w:color w:val="auto"/>
                <w:sz w:val="24"/>
                <w:szCs w:val="24"/>
                <w:highlight w:val="none"/>
              </w:rPr>
              <w:t>环境影响报告书》</w:t>
            </w:r>
            <w:r>
              <w:rPr>
                <w:rFonts w:hint="eastAsia"/>
                <w:color w:val="auto"/>
                <w:sz w:val="24"/>
                <w:szCs w:val="24"/>
                <w:highlight w:val="none"/>
              </w:rPr>
              <w:t>及</w:t>
            </w:r>
            <w:r>
              <w:rPr>
                <w:color w:val="auto"/>
                <w:sz w:val="24"/>
                <w:szCs w:val="24"/>
                <w:highlight w:val="none"/>
              </w:rPr>
              <w:t>审查</w:t>
            </w:r>
            <w:r>
              <w:rPr>
                <w:rFonts w:hint="eastAsia"/>
                <w:color w:val="auto"/>
                <w:sz w:val="24"/>
                <w:szCs w:val="24"/>
                <w:highlight w:val="none"/>
              </w:rPr>
              <w:t>意见</w:t>
            </w:r>
            <w:r>
              <w:rPr>
                <w:rFonts w:hint="eastAsia"/>
                <w:color w:val="auto"/>
                <w:sz w:val="24"/>
                <w:szCs w:val="24"/>
                <w:highlight w:val="none"/>
                <w:lang w:val="en-US" w:eastAsia="zh-CN"/>
              </w:rPr>
              <w:t>的相关要求</w:t>
            </w:r>
            <w:r>
              <w:rPr>
                <w:rFonts w:hint="eastAsia"/>
                <w:color w:val="auto"/>
                <w:sz w:val="24"/>
                <w:szCs w:val="24"/>
                <w:highlight w:val="none"/>
              </w:rPr>
              <w:t>。</w:t>
            </w:r>
          </w:p>
        </w:tc>
      </w:tr>
      <w:tr w14:paraId="298CA4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34" w:hRule="atLeast"/>
          <w:jc w:val="center"/>
        </w:trPr>
        <w:tc>
          <w:tcPr>
            <w:tcW w:w="1414" w:type="dxa"/>
            <w:vAlign w:val="center"/>
          </w:tcPr>
          <w:p w14:paraId="4E6E026E">
            <w:pPr>
              <w:autoSpaceDE w:val="0"/>
              <w:autoSpaceDN w:val="0"/>
              <w:adjustRightInd w:val="0"/>
              <w:snapToGrid w:val="0"/>
              <w:jc w:val="center"/>
              <w:rPr>
                <w:color w:val="auto"/>
                <w:kern w:val="0"/>
                <w:sz w:val="24"/>
                <w:szCs w:val="24"/>
              </w:rPr>
            </w:pPr>
            <w:r>
              <w:rPr>
                <w:color w:val="auto"/>
                <w:kern w:val="0"/>
                <w:sz w:val="24"/>
                <w:szCs w:val="24"/>
              </w:rPr>
              <w:t>其他符合性分析</w:t>
            </w:r>
          </w:p>
        </w:tc>
        <w:tc>
          <w:tcPr>
            <w:tcW w:w="7456" w:type="dxa"/>
            <w:gridSpan w:val="3"/>
            <w:vAlign w:val="center"/>
          </w:tcPr>
          <w:p w14:paraId="31199C90">
            <w:pPr>
              <w:spacing w:line="360" w:lineRule="auto"/>
              <w:rPr>
                <w:rFonts w:hint="default" w:eastAsia="宋体"/>
                <w:b/>
                <w:bCs/>
                <w:color w:val="auto"/>
                <w:sz w:val="24"/>
                <w:szCs w:val="24"/>
                <w:lang w:val="en-US" w:eastAsia="zh-CN"/>
              </w:rPr>
            </w:pPr>
            <w:r>
              <w:rPr>
                <w:rFonts w:hint="eastAsia"/>
                <w:b/>
                <w:bCs/>
                <w:color w:val="auto"/>
                <w:sz w:val="24"/>
                <w:szCs w:val="24"/>
                <w:lang w:val="en-US" w:eastAsia="zh-CN"/>
              </w:rPr>
              <w:t>1、产业政策符合性分析</w:t>
            </w:r>
          </w:p>
          <w:p w14:paraId="6C8D04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bCs/>
                <w:color w:val="auto"/>
                <w:sz w:val="24"/>
                <w:szCs w:val="24"/>
              </w:rPr>
            </w:pPr>
            <w:r>
              <w:rPr>
                <w:rFonts w:hint="eastAsia"/>
                <w:b w:val="0"/>
                <w:bCs w:val="0"/>
                <w:color w:val="auto"/>
                <w:sz w:val="24"/>
                <w:szCs w:val="24"/>
                <w:lang w:val="en-US" w:eastAsia="zh-CN"/>
              </w:rPr>
              <w:t>本项目为</w:t>
            </w:r>
            <w:r>
              <w:rPr>
                <w:rFonts w:hint="eastAsia"/>
                <w:b w:val="0"/>
                <w:bCs w:val="0"/>
                <w:color w:val="auto"/>
                <w:sz w:val="24"/>
                <w:szCs w:val="24"/>
                <w:highlight w:val="none"/>
                <w:lang w:val="en-US" w:eastAsia="zh-CN"/>
              </w:rPr>
              <w:t>速冻果蔬食品技改项目，</w:t>
            </w:r>
            <w:r>
              <w:rPr>
                <w:rFonts w:hint="eastAsia"/>
                <w:b w:val="0"/>
                <w:bCs w:val="0"/>
                <w:color w:val="auto"/>
                <w:sz w:val="24"/>
                <w:szCs w:val="24"/>
                <w:lang w:val="en-US" w:eastAsia="zh-CN"/>
              </w:rPr>
              <w:t>根据《产业结构调整指导目录（2024年本）》，本项目不属于国家发展和改革委员会令第7号《产业结构调整指导目录（2024年本）》的鼓励类、限制类、淘汰类，为允许类项目，符合国家产业政策</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同时，本</w:t>
            </w:r>
            <w:r>
              <w:rPr>
                <w:rFonts w:hint="eastAsia" w:ascii="Times New Roman" w:hAnsi="Times New Roman" w:cs="Times New Roman"/>
                <w:color w:val="auto"/>
                <w:sz w:val="24"/>
                <w:szCs w:val="24"/>
                <w:highlight w:val="none"/>
                <w:lang w:val="en-US" w:eastAsia="zh-CN"/>
              </w:rPr>
              <w:t>项目于202</w:t>
            </w:r>
            <w:r>
              <w:rPr>
                <w:rFonts w:hint="eastAsia"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val="en-US" w:eastAsia="zh-CN"/>
              </w:rPr>
              <w:t>年</w:t>
            </w:r>
            <w:r>
              <w:rPr>
                <w:rFonts w:hint="eastAsia" w:cs="Times New Roman"/>
                <w:color w:val="auto"/>
                <w:sz w:val="24"/>
                <w:szCs w:val="24"/>
                <w:highlight w:val="none"/>
                <w:lang w:val="en-US" w:eastAsia="zh-CN"/>
              </w:rPr>
              <w:t>11</w:t>
            </w:r>
            <w:r>
              <w:rPr>
                <w:rFonts w:hint="eastAsia" w:ascii="Times New Roman" w:hAnsi="Times New Roman" w:cs="Times New Roman"/>
                <w:color w:val="auto"/>
                <w:sz w:val="24"/>
                <w:szCs w:val="24"/>
                <w:highlight w:val="none"/>
                <w:lang w:val="en-US" w:eastAsia="zh-CN"/>
              </w:rPr>
              <w:t>月</w:t>
            </w:r>
            <w:r>
              <w:rPr>
                <w:rFonts w:hint="eastAsia" w:cs="Times New Roman"/>
                <w:color w:val="auto"/>
                <w:sz w:val="24"/>
                <w:szCs w:val="24"/>
                <w:highlight w:val="none"/>
                <w:lang w:val="en-US" w:eastAsia="zh-CN"/>
              </w:rPr>
              <w:t>27</w:t>
            </w:r>
            <w:r>
              <w:rPr>
                <w:rFonts w:hint="eastAsia" w:ascii="Times New Roman" w:hAnsi="Times New Roman" w:cs="Times New Roman"/>
                <w:color w:val="auto"/>
                <w:sz w:val="24"/>
                <w:szCs w:val="24"/>
                <w:highlight w:val="none"/>
                <w:lang w:val="en-US" w:eastAsia="zh-CN"/>
              </w:rPr>
              <w:t>日取得</w:t>
            </w:r>
            <w:r>
              <w:rPr>
                <w:rFonts w:hint="eastAsia"/>
                <w:color w:val="auto"/>
                <w:sz w:val="24"/>
                <w:highlight w:val="none"/>
              </w:rPr>
              <w:t>元江县</w:t>
            </w:r>
            <w:r>
              <w:rPr>
                <w:color w:val="auto"/>
                <w:sz w:val="24"/>
                <w:highlight w:val="none"/>
              </w:rPr>
              <w:t>发展和改革</w:t>
            </w:r>
            <w:r>
              <w:rPr>
                <w:rFonts w:hint="eastAsia"/>
                <w:color w:val="auto"/>
                <w:sz w:val="24"/>
                <w:highlight w:val="none"/>
              </w:rPr>
              <w:t>局关于</w:t>
            </w:r>
            <w:r>
              <w:rPr>
                <w:rFonts w:hint="eastAsia"/>
                <w:color w:val="auto"/>
                <w:sz w:val="24"/>
                <w:highlight w:val="none"/>
                <w:lang w:val="en-US" w:eastAsia="zh-CN"/>
              </w:rPr>
              <w:t>本</w:t>
            </w:r>
            <w:r>
              <w:rPr>
                <w:rFonts w:hint="eastAsia"/>
                <w:color w:val="auto"/>
                <w:sz w:val="24"/>
                <w:highlight w:val="none"/>
              </w:rPr>
              <w:t>项目的</w:t>
            </w:r>
            <w:r>
              <w:rPr>
                <w:color w:val="auto"/>
                <w:sz w:val="24"/>
                <w:highlight w:val="none"/>
              </w:rPr>
              <w:t>投资</w:t>
            </w:r>
            <w:r>
              <w:rPr>
                <w:rFonts w:hint="eastAsia"/>
                <w:color w:val="auto"/>
                <w:sz w:val="24"/>
                <w:highlight w:val="none"/>
              </w:rPr>
              <w:t>项目</w:t>
            </w:r>
            <w:r>
              <w:rPr>
                <w:color w:val="auto"/>
                <w:sz w:val="24"/>
                <w:highlight w:val="none"/>
              </w:rPr>
              <w:t>备案证</w:t>
            </w:r>
            <w:r>
              <w:rPr>
                <w:rFonts w:hint="eastAsia"/>
                <w:color w:val="auto"/>
                <w:sz w:val="24"/>
                <w:highlight w:val="none"/>
              </w:rPr>
              <w:t>（</w:t>
            </w:r>
            <w:r>
              <w:rPr>
                <w:rFonts w:hint="eastAsia"/>
                <w:color w:val="auto"/>
                <w:sz w:val="24"/>
                <w:highlight w:val="none"/>
                <w:lang w:val="en-US" w:eastAsia="zh-CN"/>
              </w:rPr>
              <w:t>项目代码：</w:t>
            </w:r>
            <w:r>
              <w:rPr>
                <w:rFonts w:hint="default" w:ascii="Times New Roman" w:hAnsi="Times New Roman" w:cs="Times New Roman"/>
                <w:color w:val="auto"/>
                <w:sz w:val="24"/>
                <w:szCs w:val="24"/>
                <w:highlight w:val="none"/>
              </w:rPr>
              <w:t>2511-530428-04-02-573619</w:t>
            </w:r>
            <w:r>
              <w:rPr>
                <w:rFonts w:hint="eastAsia"/>
                <w:color w:val="auto"/>
                <w:sz w:val="24"/>
                <w:highlight w:val="none"/>
              </w:rPr>
              <w:t>）</w:t>
            </w:r>
            <w:r>
              <w:rPr>
                <w:rFonts w:hint="eastAsia"/>
                <w:color w:val="auto"/>
                <w:sz w:val="24"/>
                <w:highlight w:val="none"/>
                <w:lang w:eastAsia="zh-CN"/>
              </w:rPr>
              <w:t>，</w:t>
            </w:r>
            <w:r>
              <w:rPr>
                <w:rFonts w:hint="eastAsia"/>
                <w:color w:val="auto"/>
                <w:sz w:val="24"/>
                <w:lang w:val="en-US" w:eastAsia="zh-CN"/>
              </w:rPr>
              <w:t>因此，本项目的建设符合国家产业政策。</w:t>
            </w:r>
          </w:p>
          <w:p w14:paraId="3EAD628E">
            <w:pPr>
              <w:autoSpaceDE w:val="0"/>
              <w:autoSpaceDN w:val="0"/>
              <w:adjustRightInd w:val="0"/>
              <w:snapToGrid w:val="0"/>
              <w:spacing w:line="360" w:lineRule="auto"/>
              <w:rPr>
                <w:b/>
                <w:color w:val="auto"/>
                <w:kern w:val="0"/>
                <w:sz w:val="24"/>
              </w:rPr>
            </w:pPr>
            <w:r>
              <w:rPr>
                <w:b/>
                <w:color w:val="auto"/>
                <w:kern w:val="0"/>
                <w:sz w:val="24"/>
              </w:rPr>
              <w:t>2、与</w:t>
            </w:r>
            <w:r>
              <w:rPr>
                <w:rFonts w:hint="eastAsia"/>
                <w:b/>
                <w:color w:val="auto"/>
                <w:kern w:val="0"/>
                <w:sz w:val="24"/>
                <w:lang w:eastAsia="zh-CN"/>
              </w:rPr>
              <w:t>《玉溪市生态环境局关于印发玉溪市生态环境分区管控动态更新调整方案（2023年）的通知》（玉市环〔2024〕40号）</w:t>
            </w:r>
            <w:r>
              <w:rPr>
                <w:rFonts w:hint="eastAsia"/>
                <w:b/>
                <w:color w:val="auto"/>
                <w:kern w:val="0"/>
                <w:sz w:val="24"/>
                <w:lang w:val="en-US" w:eastAsia="zh-CN"/>
              </w:rPr>
              <w:t>的</w:t>
            </w:r>
            <w:r>
              <w:rPr>
                <w:b/>
                <w:color w:val="auto"/>
                <w:kern w:val="0"/>
                <w:sz w:val="24"/>
              </w:rPr>
              <w:t>符合性分析</w:t>
            </w:r>
          </w:p>
          <w:p w14:paraId="044A47A5">
            <w:pPr>
              <w:autoSpaceDE w:val="0"/>
              <w:autoSpaceDN w:val="0"/>
              <w:adjustRightInd w:val="0"/>
              <w:snapToGrid w:val="0"/>
              <w:spacing w:line="360" w:lineRule="auto"/>
              <w:ind w:firstLine="480" w:firstLineChars="200"/>
              <w:rPr>
                <w:color w:val="auto"/>
                <w:sz w:val="24"/>
              </w:rPr>
            </w:pPr>
            <w:r>
              <w:rPr>
                <w:rFonts w:hint="eastAsia"/>
                <w:color w:val="auto"/>
                <w:sz w:val="24"/>
                <w:lang w:val="en-US" w:eastAsia="zh-CN"/>
              </w:rPr>
              <w:t>2</w:t>
            </w:r>
            <w:r>
              <w:rPr>
                <w:rFonts w:hint="eastAsia"/>
                <w:color w:val="auto"/>
                <w:sz w:val="24"/>
              </w:rPr>
              <w:t>024年6月7日玉溪市</w:t>
            </w:r>
            <w:r>
              <w:rPr>
                <w:rFonts w:hint="eastAsia"/>
                <w:color w:val="auto"/>
                <w:sz w:val="24"/>
                <w:lang w:val="en-US" w:eastAsia="zh-CN"/>
              </w:rPr>
              <w:t>生态</w:t>
            </w:r>
            <w:r>
              <w:rPr>
                <w:rFonts w:hint="eastAsia"/>
                <w:color w:val="auto"/>
                <w:sz w:val="24"/>
              </w:rPr>
              <w:t>环境局发布了《玉溪市生态环境局关于印发玉溪市生态环境分区管控动态更新调整方案（2023年</w:t>
            </w:r>
            <w:r>
              <w:rPr>
                <w:rFonts w:hint="eastAsia"/>
                <w:color w:val="auto"/>
                <w:sz w:val="24"/>
                <w:lang w:eastAsia="zh-CN"/>
              </w:rPr>
              <w:t>）</w:t>
            </w:r>
            <w:r>
              <w:rPr>
                <w:rFonts w:hint="eastAsia"/>
                <w:color w:val="auto"/>
                <w:sz w:val="24"/>
              </w:rPr>
              <w:t>的通知》（玉市环〔2024〕40号），本项目符合性分析详见下表。</w:t>
            </w:r>
          </w:p>
          <w:p w14:paraId="0B636DAE">
            <w:pPr>
              <w:autoSpaceDE w:val="0"/>
              <w:autoSpaceDN w:val="0"/>
              <w:adjustRightInd w:val="0"/>
              <w:snapToGrid w:val="0"/>
              <w:spacing w:line="240" w:lineRule="auto"/>
              <w:jc w:val="center"/>
              <w:rPr>
                <w:rFonts w:hint="default" w:eastAsia="宋体"/>
                <w:b/>
                <w:bCs/>
                <w:color w:val="auto"/>
                <w:sz w:val="21"/>
                <w:szCs w:val="21"/>
                <w:lang w:val="en-US" w:eastAsia="zh-CN"/>
              </w:rPr>
            </w:pPr>
            <w:r>
              <w:rPr>
                <w:rFonts w:hint="eastAsia"/>
                <w:b/>
                <w:bCs/>
                <w:color w:val="auto"/>
                <w:sz w:val="21"/>
                <w:szCs w:val="21"/>
                <w:lang w:val="en-US" w:eastAsia="zh-CN"/>
              </w:rPr>
              <w:t>表1-3 项目与（玉市环〔2024〕40号）符合性分析一览表</w:t>
            </w:r>
          </w:p>
          <w:tbl>
            <w:tblPr>
              <w:tblStyle w:val="23"/>
              <w:tblW w:w="7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282"/>
              <w:gridCol w:w="2468"/>
              <w:gridCol w:w="803"/>
            </w:tblGrid>
            <w:tr w14:paraId="1C81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05" w:type="dxa"/>
                  <w:vAlign w:val="center"/>
                </w:tcPr>
                <w:p w14:paraId="696B728E">
                  <w:pPr>
                    <w:autoSpaceDE w:val="0"/>
                    <w:autoSpaceDN w:val="0"/>
                    <w:adjustRightInd w:val="0"/>
                    <w:snapToGrid w:val="0"/>
                    <w:spacing w:line="240" w:lineRule="auto"/>
                    <w:jc w:val="center"/>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3282" w:type="dxa"/>
                  <w:vAlign w:val="center"/>
                </w:tcPr>
                <w:p w14:paraId="3AC8AE94">
                  <w:pPr>
                    <w:autoSpaceDE w:val="0"/>
                    <w:autoSpaceDN w:val="0"/>
                    <w:adjustRightInd w:val="0"/>
                    <w:snapToGrid w:val="0"/>
                    <w:spacing w:line="240" w:lineRule="auto"/>
                    <w:jc w:val="center"/>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相关内容</w:t>
                  </w:r>
                </w:p>
              </w:tc>
              <w:tc>
                <w:tcPr>
                  <w:tcW w:w="2468" w:type="dxa"/>
                  <w:vAlign w:val="center"/>
                </w:tcPr>
                <w:p w14:paraId="300353DA">
                  <w:pPr>
                    <w:autoSpaceDE w:val="0"/>
                    <w:autoSpaceDN w:val="0"/>
                    <w:adjustRightInd w:val="0"/>
                    <w:snapToGrid w:val="0"/>
                    <w:spacing w:line="240" w:lineRule="auto"/>
                    <w:jc w:val="center"/>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本项目情况</w:t>
                  </w:r>
                </w:p>
              </w:tc>
              <w:tc>
                <w:tcPr>
                  <w:tcW w:w="803" w:type="dxa"/>
                  <w:vAlign w:val="center"/>
                </w:tcPr>
                <w:p w14:paraId="79370187">
                  <w:pPr>
                    <w:autoSpaceDE w:val="0"/>
                    <w:autoSpaceDN w:val="0"/>
                    <w:adjustRightInd w:val="0"/>
                    <w:snapToGrid w:val="0"/>
                    <w:spacing w:line="240" w:lineRule="auto"/>
                    <w:jc w:val="center"/>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符合性</w:t>
                  </w:r>
                </w:p>
              </w:tc>
            </w:tr>
            <w:tr w14:paraId="124B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258" w:type="dxa"/>
                  <w:gridSpan w:val="4"/>
                  <w:vAlign w:val="center"/>
                </w:tcPr>
                <w:p w14:paraId="2778C92F">
                  <w:pPr>
                    <w:autoSpaceDE w:val="0"/>
                    <w:autoSpaceDN w:val="0"/>
                    <w:adjustRightInd w:val="0"/>
                    <w:snapToGrid w:val="0"/>
                    <w:spacing w:line="240" w:lineRule="auto"/>
                    <w:jc w:val="center"/>
                    <w:rPr>
                      <w:color w:val="auto"/>
                      <w:sz w:val="21"/>
                      <w:szCs w:val="21"/>
                      <w:vertAlign w:val="baseline"/>
                    </w:rPr>
                  </w:pPr>
                  <w:r>
                    <w:rPr>
                      <w:rFonts w:hint="eastAsia"/>
                      <w:color w:val="auto"/>
                      <w:sz w:val="21"/>
                      <w:szCs w:val="21"/>
                      <w:vertAlign w:val="baseline"/>
                    </w:rPr>
                    <w:t>一、生态保护红线和一般生态空间</w:t>
                  </w:r>
                </w:p>
              </w:tc>
            </w:tr>
            <w:tr w14:paraId="7F37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705" w:type="dxa"/>
                  <w:vAlign w:val="center"/>
                </w:tcPr>
                <w:p w14:paraId="35BFA9C9">
                  <w:pPr>
                    <w:autoSpaceDE w:val="0"/>
                    <w:autoSpaceDN w:val="0"/>
                    <w:adjustRightInd w:val="0"/>
                    <w:snapToGrid w:val="0"/>
                    <w:spacing w:line="240" w:lineRule="auto"/>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1</w:t>
                  </w:r>
                </w:p>
              </w:tc>
              <w:tc>
                <w:tcPr>
                  <w:tcW w:w="3282" w:type="dxa"/>
                  <w:vAlign w:val="center"/>
                </w:tcPr>
                <w:p w14:paraId="4C6BECFF">
                  <w:pPr>
                    <w:autoSpaceDE w:val="0"/>
                    <w:autoSpaceDN w:val="0"/>
                    <w:adjustRightInd w:val="0"/>
                    <w:snapToGrid w:val="0"/>
                    <w:spacing w:line="240" w:lineRule="auto"/>
                    <w:jc w:val="center"/>
                    <w:rPr>
                      <w:color w:val="auto"/>
                      <w:sz w:val="21"/>
                      <w:szCs w:val="21"/>
                      <w:vertAlign w:val="baseline"/>
                    </w:rPr>
                  </w:pPr>
                  <w:r>
                    <w:rPr>
                      <w:rFonts w:hint="eastAsia"/>
                      <w:color w:val="auto"/>
                      <w:sz w:val="21"/>
                      <w:szCs w:val="21"/>
                      <w:vertAlign w:val="baseline"/>
                    </w:rPr>
                    <w:t>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2468" w:type="dxa"/>
                  <w:vAlign w:val="center"/>
                </w:tcPr>
                <w:p w14:paraId="5D3A17C5">
                  <w:pPr>
                    <w:autoSpaceDE w:val="0"/>
                    <w:autoSpaceDN w:val="0"/>
                    <w:adjustRightInd w:val="0"/>
                    <w:snapToGrid w:val="0"/>
                    <w:spacing w:line="240" w:lineRule="auto"/>
                    <w:jc w:val="center"/>
                    <w:rPr>
                      <w:rFonts w:hint="eastAsia" w:eastAsia="宋体"/>
                      <w:color w:val="auto"/>
                      <w:sz w:val="21"/>
                      <w:szCs w:val="21"/>
                      <w:vertAlign w:val="baseline"/>
                      <w:lang w:eastAsia="zh-CN"/>
                    </w:rPr>
                  </w:pPr>
                  <w:r>
                    <w:rPr>
                      <w:rFonts w:hint="eastAsia"/>
                      <w:color w:val="auto"/>
                      <w:sz w:val="21"/>
                      <w:szCs w:val="21"/>
                      <w:vertAlign w:val="baseline"/>
                    </w:rPr>
                    <w:t>本项目位于云南</w:t>
                  </w:r>
                  <w:r>
                    <w:rPr>
                      <w:rFonts w:hint="eastAsia"/>
                      <w:color w:val="auto"/>
                      <w:sz w:val="21"/>
                      <w:szCs w:val="21"/>
                      <w:vertAlign w:val="baseline"/>
                      <w:lang w:val="en-US" w:eastAsia="zh-CN"/>
                    </w:rPr>
                    <w:t>元江产业园区甘庄片区</w:t>
                  </w:r>
                  <w:r>
                    <w:rPr>
                      <w:rFonts w:hint="eastAsia"/>
                      <w:color w:val="auto"/>
                      <w:sz w:val="21"/>
                      <w:szCs w:val="21"/>
                      <w:vertAlign w:val="baseline"/>
                    </w:rPr>
                    <w:t>，不涉及生态红线及永久基本农田</w:t>
                  </w:r>
                  <w:r>
                    <w:rPr>
                      <w:rFonts w:hint="eastAsia"/>
                      <w:color w:val="auto"/>
                      <w:sz w:val="21"/>
                      <w:szCs w:val="21"/>
                      <w:vertAlign w:val="baseline"/>
                      <w:lang w:eastAsia="zh-CN"/>
                    </w:rPr>
                    <w:t>。</w:t>
                  </w:r>
                </w:p>
              </w:tc>
              <w:tc>
                <w:tcPr>
                  <w:tcW w:w="803" w:type="dxa"/>
                  <w:vAlign w:val="center"/>
                </w:tcPr>
                <w:p w14:paraId="72F3BB22">
                  <w:pPr>
                    <w:autoSpaceDE w:val="0"/>
                    <w:autoSpaceDN w:val="0"/>
                    <w:adjustRightInd w:val="0"/>
                    <w:snapToGrid w:val="0"/>
                    <w:spacing w:line="240" w:lineRule="auto"/>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符合</w:t>
                  </w:r>
                </w:p>
              </w:tc>
            </w:tr>
            <w:tr w14:paraId="7486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258" w:type="dxa"/>
                  <w:gridSpan w:val="4"/>
                  <w:vAlign w:val="center"/>
                </w:tcPr>
                <w:p w14:paraId="45D2AC88">
                  <w:pPr>
                    <w:autoSpaceDE w:val="0"/>
                    <w:autoSpaceDN w:val="0"/>
                    <w:adjustRightInd w:val="0"/>
                    <w:snapToGrid w:val="0"/>
                    <w:spacing w:line="240" w:lineRule="auto"/>
                    <w:jc w:val="center"/>
                    <w:rPr>
                      <w:color w:val="auto"/>
                      <w:sz w:val="21"/>
                      <w:szCs w:val="21"/>
                      <w:vertAlign w:val="baseline"/>
                    </w:rPr>
                  </w:pPr>
                  <w:r>
                    <w:rPr>
                      <w:rFonts w:hint="eastAsia"/>
                      <w:color w:val="auto"/>
                      <w:sz w:val="21"/>
                      <w:szCs w:val="21"/>
                      <w:vertAlign w:val="baseline"/>
                    </w:rPr>
                    <w:t>二、环境质量底线</w:t>
                  </w:r>
                </w:p>
              </w:tc>
            </w:tr>
            <w:tr w14:paraId="7AB4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Align w:val="center"/>
                </w:tcPr>
                <w:p w14:paraId="23E5AB1F">
                  <w:pPr>
                    <w:autoSpaceDE w:val="0"/>
                    <w:autoSpaceDN w:val="0"/>
                    <w:adjustRightInd w:val="0"/>
                    <w:snapToGrid w:val="0"/>
                    <w:spacing w:line="240" w:lineRule="auto"/>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1</w:t>
                  </w:r>
                </w:p>
              </w:tc>
              <w:tc>
                <w:tcPr>
                  <w:tcW w:w="3282" w:type="dxa"/>
                  <w:vAlign w:val="center"/>
                </w:tcPr>
                <w:p w14:paraId="0E49A75B">
                  <w:pPr>
                    <w:autoSpaceDE w:val="0"/>
                    <w:autoSpaceDN w:val="0"/>
                    <w:adjustRightInd w:val="0"/>
                    <w:snapToGrid w:val="0"/>
                    <w:spacing w:line="240" w:lineRule="auto"/>
                    <w:jc w:val="center"/>
                    <w:rPr>
                      <w:color w:val="auto"/>
                      <w:sz w:val="21"/>
                      <w:szCs w:val="21"/>
                      <w:vertAlign w:val="baseline"/>
                    </w:rPr>
                  </w:pPr>
                  <w:r>
                    <w:rPr>
                      <w:rFonts w:hint="eastAsia"/>
                      <w:color w:val="auto"/>
                      <w:sz w:val="21"/>
                      <w:szCs w:val="21"/>
                      <w:vertAlign w:val="baseline"/>
                    </w:rPr>
                    <w:t>水环境质量底线。到2025年，全市水环境质量持续改善，纳入国家和省级考核的地表水监测断面水质优良率稳步提升。抚仙湖水质稳定保持Ⅰ类水质标准，星云湖、杞麓湖水质指标均达到Ⅴ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tc>
              <w:tc>
                <w:tcPr>
                  <w:tcW w:w="2468" w:type="dxa"/>
                  <w:vAlign w:val="center"/>
                </w:tcPr>
                <w:p w14:paraId="69E9552A">
                  <w:pPr>
                    <w:autoSpaceDE w:val="0"/>
                    <w:autoSpaceDN w:val="0"/>
                    <w:adjustRightInd w:val="0"/>
                    <w:snapToGrid w:val="0"/>
                    <w:spacing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项目区最近的地表水为项目区西南侧823m处的烂渣河及南侧1760m处的甘庄河，烂渣河为季节性河流，最终汇入甘庄河，甘庄河顺地势从东北流向西南后汇入元江。</w:t>
                  </w:r>
                  <w:r>
                    <w:rPr>
                      <w:rFonts w:hint="default" w:ascii="Times New Roman" w:hAnsi="Times New Roman" w:cs="Times New Roman"/>
                      <w:color w:val="auto"/>
                      <w:sz w:val="21"/>
                      <w:szCs w:val="21"/>
                      <w:highlight w:val="none"/>
                      <w:vertAlign w:val="baseline"/>
                    </w:rPr>
                    <w:t>根据</w:t>
                  </w:r>
                  <w:r>
                    <w:rPr>
                      <w:rFonts w:hint="default" w:ascii="Times New Roman" w:hAnsi="Times New Roman" w:cs="Times New Roman"/>
                      <w:color w:val="auto"/>
                      <w:sz w:val="21"/>
                      <w:szCs w:val="21"/>
                      <w:highlight w:val="none"/>
                    </w:rPr>
                    <w:t>《元江县2024年环境质量状况（简报）》</w:t>
                  </w:r>
                  <w:r>
                    <w:rPr>
                      <w:rFonts w:hint="default" w:ascii="Times New Roman" w:hAnsi="Times New Roman" w:cs="Times New Roman"/>
                      <w:color w:val="auto"/>
                      <w:sz w:val="21"/>
                      <w:szCs w:val="21"/>
                      <w:highlight w:val="none"/>
                      <w:vertAlign w:val="baseline"/>
                    </w:rPr>
                    <w:t>，2024年甘庄河河流整体评价Ⅲ类，水质状况良好，水质符合功能区划要求。本项目</w:t>
                  </w:r>
                  <w:r>
                    <w:rPr>
                      <w:rFonts w:hint="eastAsia" w:cs="Times New Roman"/>
                      <w:color w:val="auto"/>
                      <w:sz w:val="21"/>
                      <w:szCs w:val="21"/>
                      <w:highlight w:val="none"/>
                      <w:vertAlign w:val="baseline"/>
                      <w:lang w:val="en-US" w:eastAsia="zh-CN"/>
                    </w:rPr>
                    <w:t>废水为间接排放</w:t>
                  </w:r>
                  <w:r>
                    <w:rPr>
                      <w:rFonts w:hint="default" w:ascii="Times New Roman" w:hAnsi="Times New Roman" w:cs="Times New Roman"/>
                      <w:color w:val="auto"/>
                      <w:sz w:val="21"/>
                      <w:szCs w:val="21"/>
                      <w:highlight w:val="none"/>
                      <w:vertAlign w:val="baseline"/>
                    </w:rPr>
                    <w:t>，不影响区域地表水提升水质的目标。</w:t>
                  </w:r>
                </w:p>
              </w:tc>
              <w:tc>
                <w:tcPr>
                  <w:tcW w:w="803" w:type="dxa"/>
                  <w:vAlign w:val="center"/>
                </w:tcPr>
                <w:p w14:paraId="5E2B7C33">
                  <w:pPr>
                    <w:autoSpaceDE w:val="0"/>
                    <w:autoSpaceDN w:val="0"/>
                    <w:adjustRightInd w:val="0"/>
                    <w:snapToGrid w:val="0"/>
                    <w:spacing w:line="240" w:lineRule="auto"/>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符合</w:t>
                  </w:r>
                </w:p>
              </w:tc>
            </w:tr>
            <w:tr w14:paraId="3BBB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8" w:hRule="atLeast"/>
              </w:trPr>
              <w:tc>
                <w:tcPr>
                  <w:tcW w:w="705" w:type="dxa"/>
                  <w:vAlign w:val="center"/>
                </w:tcPr>
                <w:p w14:paraId="5C0CA3C8">
                  <w:pPr>
                    <w:autoSpaceDE w:val="0"/>
                    <w:autoSpaceDN w:val="0"/>
                    <w:adjustRightInd w:val="0"/>
                    <w:snapToGrid w:val="0"/>
                    <w:spacing w:line="240" w:lineRule="auto"/>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2</w:t>
                  </w:r>
                </w:p>
              </w:tc>
              <w:tc>
                <w:tcPr>
                  <w:tcW w:w="3282" w:type="dxa"/>
                  <w:vAlign w:val="center"/>
                </w:tcPr>
                <w:p w14:paraId="317074A0">
                  <w:pPr>
                    <w:autoSpaceDE w:val="0"/>
                    <w:autoSpaceDN w:val="0"/>
                    <w:adjustRightInd w:val="0"/>
                    <w:snapToGrid w:val="0"/>
                    <w:spacing w:line="240" w:lineRule="auto"/>
                    <w:jc w:val="center"/>
                    <w:rPr>
                      <w:color w:val="auto"/>
                      <w:sz w:val="21"/>
                      <w:szCs w:val="21"/>
                      <w:highlight w:val="green"/>
                      <w:vertAlign w:val="baseline"/>
                    </w:rPr>
                  </w:pPr>
                  <w:r>
                    <w:rPr>
                      <w:rFonts w:hint="eastAsia"/>
                      <w:color w:val="auto"/>
                      <w:sz w:val="21"/>
                      <w:szCs w:val="21"/>
                      <w:highlight w:val="none"/>
                      <w:vertAlign w:val="baseline"/>
                    </w:rPr>
                    <w:t>大气环境质量底线。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tc>
              <w:tc>
                <w:tcPr>
                  <w:tcW w:w="2468" w:type="dxa"/>
                  <w:vAlign w:val="center"/>
                </w:tcPr>
                <w:p w14:paraId="565D8ADD">
                  <w:pPr>
                    <w:autoSpaceDE w:val="0"/>
                    <w:autoSpaceDN w:val="0"/>
                    <w:adjustRightInd w:val="0"/>
                    <w:snapToGrid w:val="0"/>
                    <w:spacing w:line="240" w:lineRule="auto"/>
                    <w:jc w:val="center"/>
                    <w:rPr>
                      <w:color w:val="auto"/>
                      <w:sz w:val="21"/>
                      <w:szCs w:val="21"/>
                      <w:highlight w:val="green"/>
                      <w:vertAlign w:val="baseline"/>
                    </w:rPr>
                  </w:pPr>
                  <w:r>
                    <w:rPr>
                      <w:rFonts w:hint="eastAsia"/>
                      <w:color w:val="auto"/>
                      <w:sz w:val="21"/>
                      <w:szCs w:val="21"/>
                      <w:highlight w:val="none"/>
                      <w:vertAlign w:val="baseline"/>
                    </w:rPr>
                    <w:t>根据202</w:t>
                  </w:r>
                  <w:r>
                    <w:rPr>
                      <w:rFonts w:hint="eastAsia"/>
                      <w:color w:val="auto"/>
                      <w:sz w:val="21"/>
                      <w:szCs w:val="21"/>
                      <w:highlight w:val="none"/>
                      <w:vertAlign w:val="baseline"/>
                      <w:lang w:val="en-US" w:eastAsia="zh-CN"/>
                    </w:rPr>
                    <w:t>4</w:t>
                  </w:r>
                  <w:r>
                    <w:rPr>
                      <w:rFonts w:hint="eastAsia"/>
                      <w:color w:val="auto"/>
                      <w:sz w:val="21"/>
                      <w:szCs w:val="21"/>
                      <w:highlight w:val="none"/>
                      <w:vertAlign w:val="baseline"/>
                    </w:rPr>
                    <w:t>年元江县自动监测站空气质量统计数据可知，SO</w:t>
                  </w:r>
                  <w:r>
                    <w:rPr>
                      <w:rFonts w:hint="eastAsia"/>
                      <w:color w:val="auto"/>
                      <w:sz w:val="21"/>
                      <w:szCs w:val="21"/>
                      <w:highlight w:val="none"/>
                      <w:vertAlign w:val="subscript"/>
                    </w:rPr>
                    <w:t>2</w:t>
                  </w:r>
                  <w:r>
                    <w:rPr>
                      <w:rFonts w:hint="eastAsia"/>
                      <w:color w:val="auto"/>
                      <w:sz w:val="21"/>
                      <w:szCs w:val="21"/>
                      <w:highlight w:val="none"/>
                      <w:vertAlign w:val="baseline"/>
                    </w:rPr>
                    <w:t>、NO</w:t>
                  </w:r>
                  <w:r>
                    <w:rPr>
                      <w:rFonts w:hint="eastAsia"/>
                      <w:color w:val="auto"/>
                      <w:sz w:val="21"/>
                      <w:szCs w:val="21"/>
                      <w:highlight w:val="none"/>
                      <w:vertAlign w:val="subscript"/>
                    </w:rPr>
                    <w:t>2</w:t>
                  </w:r>
                  <w:r>
                    <w:rPr>
                      <w:rFonts w:hint="eastAsia"/>
                      <w:color w:val="auto"/>
                      <w:sz w:val="21"/>
                      <w:szCs w:val="21"/>
                      <w:highlight w:val="none"/>
                      <w:vertAlign w:val="baseline"/>
                    </w:rPr>
                    <w:t>、PM</w:t>
                  </w:r>
                  <w:r>
                    <w:rPr>
                      <w:rFonts w:hint="eastAsia"/>
                      <w:color w:val="auto"/>
                      <w:sz w:val="21"/>
                      <w:szCs w:val="21"/>
                      <w:highlight w:val="none"/>
                      <w:vertAlign w:val="subscript"/>
                    </w:rPr>
                    <w:t>10</w:t>
                  </w:r>
                  <w:r>
                    <w:rPr>
                      <w:rFonts w:hint="eastAsia"/>
                      <w:color w:val="auto"/>
                      <w:sz w:val="21"/>
                      <w:szCs w:val="21"/>
                      <w:highlight w:val="none"/>
                      <w:vertAlign w:val="baseline"/>
                    </w:rPr>
                    <w:t>、PM</w:t>
                  </w:r>
                  <w:r>
                    <w:rPr>
                      <w:rFonts w:hint="eastAsia"/>
                      <w:color w:val="auto"/>
                      <w:sz w:val="21"/>
                      <w:szCs w:val="21"/>
                      <w:highlight w:val="none"/>
                      <w:vertAlign w:val="subscript"/>
                    </w:rPr>
                    <w:t>2.5</w:t>
                  </w:r>
                  <w:r>
                    <w:rPr>
                      <w:rFonts w:hint="eastAsia"/>
                      <w:color w:val="auto"/>
                      <w:sz w:val="21"/>
                      <w:szCs w:val="21"/>
                      <w:highlight w:val="none"/>
                      <w:vertAlign w:val="baseline"/>
                    </w:rPr>
                    <w:t>、O</w:t>
                  </w:r>
                  <w:r>
                    <w:rPr>
                      <w:rFonts w:hint="eastAsia"/>
                      <w:color w:val="auto"/>
                      <w:sz w:val="21"/>
                      <w:szCs w:val="21"/>
                      <w:highlight w:val="none"/>
                      <w:vertAlign w:val="subscript"/>
                    </w:rPr>
                    <w:t>3</w:t>
                  </w:r>
                  <w:r>
                    <w:rPr>
                      <w:rFonts w:hint="eastAsia"/>
                      <w:color w:val="auto"/>
                      <w:sz w:val="21"/>
                      <w:szCs w:val="21"/>
                      <w:highlight w:val="none"/>
                      <w:vertAlign w:val="baseline"/>
                    </w:rPr>
                    <w:t>、CO六项污染物均满足《环境空气质量标准》（GB3095－2012）二级标准，项目运营过程废气对周边大气环境影响小，不会改变区域大气环境功能。</w:t>
                  </w:r>
                </w:p>
              </w:tc>
              <w:tc>
                <w:tcPr>
                  <w:tcW w:w="803" w:type="dxa"/>
                  <w:vAlign w:val="center"/>
                </w:tcPr>
                <w:p w14:paraId="78E43595">
                  <w:pPr>
                    <w:autoSpaceDE w:val="0"/>
                    <w:autoSpaceDN w:val="0"/>
                    <w:adjustRightInd w:val="0"/>
                    <w:snapToGrid w:val="0"/>
                    <w:spacing w:line="240" w:lineRule="auto"/>
                    <w:jc w:val="center"/>
                    <w:rPr>
                      <w:color w:val="auto"/>
                      <w:sz w:val="21"/>
                      <w:szCs w:val="21"/>
                      <w:vertAlign w:val="baseline"/>
                    </w:rPr>
                  </w:pPr>
                  <w:r>
                    <w:rPr>
                      <w:rFonts w:hint="eastAsia"/>
                      <w:color w:val="auto"/>
                      <w:sz w:val="21"/>
                      <w:szCs w:val="21"/>
                      <w:vertAlign w:val="baseline"/>
                      <w:lang w:val="en-US" w:eastAsia="zh-CN"/>
                    </w:rPr>
                    <w:t>符合</w:t>
                  </w:r>
                </w:p>
              </w:tc>
            </w:tr>
            <w:tr w14:paraId="56B5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8" w:hRule="atLeast"/>
              </w:trPr>
              <w:tc>
                <w:tcPr>
                  <w:tcW w:w="705" w:type="dxa"/>
                  <w:vAlign w:val="center"/>
                </w:tcPr>
                <w:p w14:paraId="7BA16D5D">
                  <w:pPr>
                    <w:autoSpaceDE w:val="0"/>
                    <w:autoSpaceDN w:val="0"/>
                    <w:adjustRightInd w:val="0"/>
                    <w:snapToGrid w:val="0"/>
                    <w:spacing w:line="240" w:lineRule="auto"/>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3</w:t>
                  </w:r>
                </w:p>
              </w:tc>
              <w:tc>
                <w:tcPr>
                  <w:tcW w:w="3282" w:type="dxa"/>
                  <w:vAlign w:val="center"/>
                </w:tcPr>
                <w:p w14:paraId="2CB9F2AF">
                  <w:pPr>
                    <w:autoSpaceDE w:val="0"/>
                    <w:autoSpaceDN w:val="0"/>
                    <w:adjustRightInd w:val="0"/>
                    <w:snapToGrid w:val="0"/>
                    <w:spacing w:line="240" w:lineRule="auto"/>
                    <w:jc w:val="center"/>
                    <w:rPr>
                      <w:color w:val="auto"/>
                      <w:sz w:val="21"/>
                      <w:szCs w:val="21"/>
                      <w:vertAlign w:val="baseline"/>
                    </w:rPr>
                  </w:pPr>
                  <w:r>
                    <w:rPr>
                      <w:rFonts w:hint="eastAsia"/>
                      <w:color w:val="auto"/>
                      <w:sz w:val="21"/>
                      <w:szCs w:val="21"/>
                      <w:vertAlign w:val="baseline"/>
                    </w:rPr>
                    <w:t>土壤环境风险防控底线。到2025</w:t>
                  </w:r>
                  <w:r>
                    <w:rPr>
                      <w:rFonts w:hint="eastAsia"/>
                      <w:color w:val="auto"/>
                      <w:sz w:val="21"/>
                      <w:szCs w:val="21"/>
                      <w:vertAlign w:val="baseline"/>
                      <w:lang w:val="en-US" w:eastAsia="zh-CN"/>
                    </w:rPr>
                    <w:t>年</w:t>
                  </w:r>
                  <w:r>
                    <w:rPr>
                      <w:rFonts w:hint="eastAsia"/>
                      <w:color w:val="auto"/>
                      <w:sz w:val="21"/>
                      <w:szCs w:val="21"/>
                      <w:vertAlign w:val="baseline"/>
                    </w:rPr>
                    <w:t>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2468" w:type="dxa"/>
                  <w:vAlign w:val="center"/>
                </w:tcPr>
                <w:p w14:paraId="5855C58E">
                  <w:pPr>
                    <w:autoSpaceDE w:val="0"/>
                    <w:autoSpaceDN w:val="0"/>
                    <w:adjustRightInd w:val="0"/>
                    <w:snapToGrid w:val="0"/>
                    <w:spacing w:line="240" w:lineRule="auto"/>
                    <w:jc w:val="center"/>
                    <w:rPr>
                      <w:color w:val="auto"/>
                      <w:sz w:val="21"/>
                      <w:szCs w:val="21"/>
                      <w:vertAlign w:val="baseline"/>
                    </w:rPr>
                  </w:pPr>
                  <w:r>
                    <w:rPr>
                      <w:rFonts w:hint="eastAsia"/>
                      <w:color w:val="auto"/>
                      <w:sz w:val="21"/>
                      <w:szCs w:val="21"/>
                      <w:vertAlign w:val="baseline"/>
                    </w:rPr>
                    <w:t>项目建设及运营过程对土壤环境影响较小，不会造成土壤环境风险污染。</w:t>
                  </w:r>
                </w:p>
              </w:tc>
              <w:tc>
                <w:tcPr>
                  <w:tcW w:w="803" w:type="dxa"/>
                  <w:vAlign w:val="center"/>
                </w:tcPr>
                <w:p w14:paraId="4C670D10">
                  <w:pPr>
                    <w:autoSpaceDE w:val="0"/>
                    <w:autoSpaceDN w:val="0"/>
                    <w:adjustRightInd w:val="0"/>
                    <w:snapToGrid w:val="0"/>
                    <w:spacing w:line="240" w:lineRule="auto"/>
                    <w:jc w:val="center"/>
                    <w:rPr>
                      <w:color w:val="auto"/>
                      <w:sz w:val="21"/>
                      <w:szCs w:val="21"/>
                      <w:vertAlign w:val="baseline"/>
                    </w:rPr>
                  </w:pPr>
                  <w:r>
                    <w:rPr>
                      <w:rFonts w:hint="eastAsia"/>
                      <w:color w:val="auto"/>
                      <w:sz w:val="21"/>
                      <w:szCs w:val="21"/>
                      <w:vertAlign w:val="baseline"/>
                      <w:lang w:val="en-US" w:eastAsia="zh-CN"/>
                    </w:rPr>
                    <w:t>符合</w:t>
                  </w:r>
                </w:p>
              </w:tc>
            </w:tr>
            <w:tr w14:paraId="6A204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258" w:type="dxa"/>
                  <w:gridSpan w:val="4"/>
                  <w:vAlign w:val="center"/>
                </w:tcPr>
                <w:p w14:paraId="4462089D">
                  <w:pPr>
                    <w:autoSpaceDE w:val="0"/>
                    <w:autoSpaceDN w:val="0"/>
                    <w:adjustRightInd w:val="0"/>
                    <w:snapToGrid w:val="0"/>
                    <w:spacing w:line="240" w:lineRule="auto"/>
                    <w:jc w:val="center"/>
                    <w:rPr>
                      <w:color w:val="auto"/>
                      <w:sz w:val="21"/>
                      <w:szCs w:val="21"/>
                      <w:vertAlign w:val="baseline"/>
                    </w:rPr>
                  </w:pPr>
                  <w:r>
                    <w:rPr>
                      <w:rFonts w:hint="eastAsia"/>
                      <w:color w:val="auto"/>
                      <w:sz w:val="21"/>
                      <w:szCs w:val="21"/>
                      <w:vertAlign w:val="baseline"/>
                    </w:rPr>
                    <w:t>三、资源利用上线</w:t>
                  </w:r>
                </w:p>
              </w:tc>
            </w:tr>
            <w:tr w14:paraId="1ABD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Align w:val="center"/>
                </w:tcPr>
                <w:p w14:paraId="75B3C2C1">
                  <w:pPr>
                    <w:autoSpaceDE w:val="0"/>
                    <w:autoSpaceDN w:val="0"/>
                    <w:adjustRightInd w:val="0"/>
                    <w:snapToGrid w:val="0"/>
                    <w:spacing w:line="240" w:lineRule="auto"/>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1</w:t>
                  </w:r>
                </w:p>
              </w:tc>
              <w:tc>
                <w:tcPr>
                  <w:tcW w:w="3282" w:type="dxa"/>
                  <w:vAlign w:val="center"/>
                </w:tcPr>
                <w:p w14:paraId="1366D1D3">
                  <w:pPr>
                    <w:autoSpaceDE w:val="0"/>
                    <w:autoSpaceDN w:val="0"/>
                    <w:adjustRightInd w:val="0"/>
                    <w:snapToGrid w:val="0"/>
                    <w:spacing w:line="240" w:lineRule="auto"/>
                    <w:jc w:val="center"/>
                    <w:rPr>
                      <w:color w:val="auto"/>
                      <w:sz w:val="21"/>
                      <w:szCs w:val="21"/>
                      <w:vertAlign w:val="baseline"/>
                    </w:rPr>
                  </w:pPr>
                  <w:r>
                    <w:rPr>
                      <w:rFonts w:hint="eastAsia"/>
                      <w:color w:val="auto"/>
                      <w:sz w:val="21"/>
                      <w:szCs w:val="21"/>
                      <w:vertAlign w:val="baseline"/>
                    </w:rPr>
                    <w:t>强化资源能源节约集约利用，持续提升资源能源利用效率，水资源、土地资源、能源消耗等达到或优于省下达的总量和强度控制目标。</w:t>
                  </w:r>
                </w:p>
              </w:tc>
              <w:tc>
                <w:tcPr>
                  <w:tcW w:w="2468" w:type="dxa"/>
                  <w:vAlign w:val="center"/>
                </w:tcPr>
                <w:p w14:paraId="3A729CC2">
                  <w:pPr>
                    <w:autoSpaceDE w:val="0"/>
                    <w:autoSpaceDN w:val="0"/>
                    <w:adjustRightInd w:val="0"/>
                    <w:snapToGrid w:val="0"/>
                    <w:spacing w:line="240" w:lineRule="auto"/>
                    <w:jc w:val="center"/>
                    <w:rPr>
                      <w:color w:val="auto"/>
                      <w:sz w:val="21"/>
                      <w:szCs w:val="21"/>
                      <w:vertAlign w:val="baseline"/>
                    </w:rPr>
                  </w:pPr>
                  <w:r>
                    <w:rPr>
                      <w:rFonts w:hint="eastAsia"/>
                      <w:color w:val="auto"/>
                      <w:sz w:val="21"/>
                      <w:szCs w:val="21"/>
                      <w:vertAlign w:val="baseline"/>
                    </w:rPr>
                    <w:t>项目位于</w:t>
                  </w:r>
                  <w:r>
                    <w:rPr>
                      <w:rFonts w:hint="eastAsia"/>
                      <w:color w:val="auto"/>
                      <w:sz w:val="21"/>
                      <w:szCs w:val="21"/>
                      <w:vertAlign w:val="baseline"/>
                      <w:lang w:val="en-US" w:eastAsia="zh-CN"/>
                    </w:rPr>
                    <w:t>云南元江产业园区甘庄片区</w:t>
                  </w:r>
                  <w:r>
                    <w:rPr>
                      <w:rFonts w:hint="eastAsia"/>
                      <w:color w:val="auto"/>
                      <w:sz w:val="21"/>
                      <w:szCs w:val="21"/>
                      <w:vertAlign w:val="baseline"/>
                    </w:rPr>
                    <w:t>，为工业用地</w:t>
                  </w:r>
                  <w:r>
                    <w:rPr>
                      <w:rFonts w:hint="eastAsia"/>
                      <w:color w:val="auto"/>
                      <w:sz w:val="21"/>
                      <w:szCs w:val="21"/>
                      <w:vertAlign w:val="baseline"/>
                      <w:lang w:eastAsia="zh-CN"/>
                    </w:rPr>
                    <w:t>，</w:t>
                  </w:r>
                  <w:r>
                    <w:rPr>
                      <w:color w:val="auto"/>
                      <w:sz w:val="21"/>
                      <w:szCs w:val="21"/>
                    </w:rPr>
                    <w:t>项目</w:t>
                  </w:r>
                  <w:r>
                    <w:rPr>
                      <w:rFonts w:hint="eastAsia"/>
                      <w:color w:val="auto"/>
                      <w:sz w:val="21"/>
                      <w:szCs w:val="21"/>
                      <w:lang w:val="en-US" w:eastAsia="zh-CN"/>
                    </w:rPr>
                    <w:t>工业</w:t>
                  </w:r>
                  <w:r>
                    <w:rPr>
                      <w:color w:val="auto"/>
                      <w:sz w:val="21"/>
                      <w:szCs w:val="21"/>
                    </w:rPr>
                    <w:t>用水</w:t>
                  </w:r>
                  <w:r>
                    <w:rPr>
                      <w:color w:val="auto"/>
                      <w:sz w:val="21"/>
                      <w:szCs w:val="21"/>
                      <w:highlight w:val="none"/>
                    </w:rPr>
                    <w:t>量为</w:t>
                  </w:r>
                  <w:r>
                    <w:rPr>
                      <w:rFonts w:hint="eastAsia"/>
                      <w:color w:val="auto"/>
                      <w:sz w:val="21"/>
                      <w:szCs w:val="21"/>
                      <w:highlight w:val="none"/>
                      <w:lang w:val="en-US" w:eastAsia="zh-CN"/>
                    </w:rPr>
                    <w:t>87.07</w:t>
                  </w:r>
                  <w:r>
                    <w:rPr>
                      <w:color w:val="auto"/>
                      <w:sz w:val="21"/>
                      <w:szCs w:val="21"/>
                      <w:highlight w:val="none"/>
                    </w:rPr>
                    <w:t>m</w:t>
                  </w:r>
                  <w:r>
                    <w:rPr>
                      <w:color w:val="auto"/>
                      <w:sz w:val="21"/>
                      <w:szCs w:val="21"/>
                      <w:highlight w:val="none"/>
                      <w:vertAlign w:val="superscript"/>
                    </w:rPr>
                    <w:t>3</w:t>
                  </w:r>
                  <w:r>
                    <w:rPr>
                      <w:color w:val="auto"/>
                      <w:sz w:val="21"/>
                      <w:szCs w:val="21"/>
                      <w:highlight w:val="none"/>
                    </w:rPr>
                    <w:t>/d，由</w:t>
                  </w:r>
                  <w:r>
                    <w:rPr>
                      <w:color w:val="auto"/>
                      <w:sz w:val="21"/>
                      <w:szCs w:val="21"/>
                    </w:rPr>
                    <w:t>园区负责用水供给</w:t>
                  </w:r>
                  <w:r>
                    <w:rPr>
                      <w:rFonts w:hint="eastAsia"/>
                      <w:color w:val="auto"/>
                      <w:sz w:val="21"/>
                      <w:szCs w:val="21"/>
                      <w:lang w:eastAsia="zh-CN"/>
                    </w:rPr>
                    <w:t>；</w:t>
                  </w:r>
                  <w:r>
                    <w:rPr>
                      <w:rFonts w:hint="eastAsia"/>
                      <w:color w:val="auto"/>
                      <w:sz w:val="21"/>
                      <w:szCs w:val="21"/>
                      <w:vertAlign w:val="baseline"/>
                      <w:lang w:val="en-US" w:eastAsia="zh-CN"/>
                    </w:rPr>
                    <w:t>项目</w:t>
                  </w:r>
                  <w:r>
                    <w:rPr>
                      <w:rFonts w:hint="eastAsia"/>
                      <w:color w:val="auto"/>
                      <w:sz w:val="21"/>
                      <w:szCs w:val="21"/>
                      <w:vertAlign w:val="baseline"/>
                    </w:rPr>
                    <w:t>生产主要能耗为电能</w:t>
                  </w:r>
                  <w:r>
                    <w:rPr>
                      <w:rFonts w:hint="eastAsia"/>
                      <w:color w:val="auto"/>
                      <w:sz w:val="21"/>
                      <w:szCs w:val="21"/>
                      <w:vertAlign w:val="baseline"/>
                      <w:lang w:val="en-US" w:eastAsia="zh-CN"/>
                    </w:rPr>
                    <w:t>及生物质燃料；</w:t>
                  </w:r>
                  <w:r>
                    <w:rPr>
                      <w:rFonts w:hint="eastAsia"/>
                      <w:color w:val="auto"/>
                      <w:sz w:val="21"/>
                      <w:szCs w:val="21"/>
                      <w:vertAlign w:val="baseline"/>
                    </w:rPr>
                    <w:t>项目资源消耗量相对区域资源利用总量较少，符合资源上限的要求。</w:t>
                  </w:r>
                </w:p>
              </w:tc>
              <w:tc>
                <w:tcPr>
                  <w:tcW w:w="803" w:type="dxa"/>
                  <w:vAlign w:val="center"/>
                </w:tcPr>
                <w:p w14:paraId="102A295C">
                  <w:pPr>
                    <w:autoSpaceDE w:val="0"/>
                    <w:autoSpaceDN w:val="0"/>
                    <w:adjustRightInd w:val="0"/>
                    <w:snapToGrid w:val="0"/>
                    <w:spacing w:line="240" w:lineRule="auto"/>
                    <w:jc w:val="center"/>
                    <w:rPr>
                      <w:color w:val="auto"/>
                      <w:sz w:val="21"/>
                      <w:szCs w:val="21"/>
                      <w:vertAlign w:val="baseline"/>
                    </w:rPr>
                  </w:pPr>
                  <w:r>
                    <w:rPr>
                      <w:rFonts w:hint="eastAsia"/>
                      <w:color w:val="auto"/>
                      <w:sz w:val="21"/>
                      <w:szCs w:val="21"/>
                      <w:vertAlign w:val="baseline"/>
                      <w:lang w:val="en-US" w:eastAsia="zh-CN"/>
                    </w:rPr>
                    <w:t>符合</w:t>
                  </w:r>
                </w:p>
              </w:tc>
            </w:tr>
            <w:tr w14:paraId="5C83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258" w:type="dxa"/>
                  <w:gridSpan w:val="4"/>
                  <w:vAlign w:val="center"/>
                </w:tcPr>
                <w:p w14:paraId="5379A6E1">
                  <w:pPr>
                    <w:autoSpaceDE w:val="0"/>
                    <w:autoSpaceDN w:val="0"/>
                    <w:adjustRightInd w:val="0"/>
                    <w:snapToGrid w:val="0"/>
                    <w:spacing w:line="240" w:lineRule="auto"/>
                    <w:jc w:val="center"/>
                    <w:rPr>
                      <w:color w:val="auto"/>
                      <w:sz w:val="21"/>
                      <w:szCs w:val="21"/>
                      <w:vertAlign w:val="baseline"/>
                    </w:rPr>
                  </w:pPr>
                  <w:r>
                    <w:rPr>
                      <w:rFonts w:hint="eastAsia"/>
                      <w:color w:val="auto"/>
                      <w:sz w:val="21"/>
                      <w:szCs w:val="21"/>
                      <w:vertAlign w:val="baseline"/>
                    </w:rPr>
                    <w:t>四、构建生态环境分区管控体系</w:t>
                  </w:r>
                </w:p>
              </w:tc>
            </w:tr>
            <w:tr w14:paraId="0C9E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58" w:type="dxa"/>
                  <w:gridSpan w:val="4"/>
                  <w:vAlign w:val="center"/>
                </w:tcPr>
                <w:p w14:paraId="2868FCC1">
                  <w:pPr>
                    <w:keepNext w:val="0"/>
                    <w:keepLines w:val="0"/>
                    <w:pageBreakBefore w:val="0"/>
                    <w:widowControl w:val="0"/>
                    <w:kinsoku/>
                    <w:wordWrap/>
                    <w:overflowPunct/>
                    <w:topLinePunct w:val="0"/>
                    <w:autoSpaceDE w:val="0"/>
                    <w:autoSpaceDN w:val="0"/>
                    <w:bidi w:val="0"/>
                    <w:adjustRightInd/>
                    <w:snapToGrid/>
                    <w:spacing w:line="240" w:lineRule="auto"/>
                    <w:ind w:left="42" w:leftChars="20" w:right="42" w:rightChars="20"/>
                    <w:jc w:val="left"/>
                    <w:textAlignment w:val="auto"/>
                    <w:rPr>
                      <w:rFonts w:hint="eastAsia"/>
                      <w:color w:val="auto"/>
                      <w:sz w:val="21"/>
                      <w:szCs w:val="21"/>
                      <w:vertAlign w:val="baseline"/>
                    </w:rPr>
                  </w:pPr>
                  <w:r>
                    <w:rPr>
                      <w:rFonts w:hint="eastAsia"/>
                      <w:color w:val="auto"/>
                      <w:sz w:val="21"/>
                      <w:szCs w:val="21"/>
                      <w:vertAlign w:val="baseline"/>
                    </w:rPr>
                    <w:t>生态环境管控单元划分。全市共划分83个生态环境管控单元，分为优先保护、重点管控和一般管控3类。</w:t>
                  </w:r>
                </w:p>
                <w:p w14:paraId="325D58AE">
                  <w:pPr>
                    <w:keepNext w:val="0"/>
                    <w:keepLines w:val="0"/>
                    <w:pageBreakBefore w:val="0"/>
                    <w:widowControl w:val="0"/>
                    <w:kinsoku/>
                    <w:wordWrap/>
                    <w:overflowPunct/>
                    <w:topLinePunct w:val="0"/>
                    <w:autoSpaceDE w:val="0"/>
                    <w:autoSpaceDN w:val="0"/>
                    <w:bidi w:val="0"/>
                    <w:adjustRightInd/>
                    <w:snapToGrid/>
                    <w:spacing w:line="240" w:lineRule="auto"/>
                    <w:ind w:left="42" w:leftChars="20" w:right="42" w:rightChars="20"/>
                    <w:jc w:val="left"/>
                    <w:textAlignment w:val="auto"/>
                    <w:rPr>
                      <w:rFonts w:hint="eastAsia"/>
                      <w:color w:val="auto"/>
                      <w:sz w:val="21"/>
                      <w:szCs w:val="21"/>
                      <w:vertAlign w:val="baseline"/>
                    </w:rPr>
                  </w:pPr>
                  <w:r>
                    <w:rPr>
                      <w:rFonts w:hint="eastAsia"/>
                      <w:color w:val="auto"/>
                      <w:sz w:val="21"/>
                      <w:szCs w:val="21"/>
                      <w:vertAlign w:val="baseline"/>
                    </w:rPr>
                    <w:t>①优先保护单元。共27个，包含生态保护红线和一般生态空间，主要分布在哀牢山、红河（元江）干热河谷、珠江上游及滇东南喀斯特地带、高原湖泊湖区及流域水源涵养区等生态功能重要、生态环境敏感区域。</w:t>
                  </w:r>
                </w:p>
                <w:p w14:paraId="7E8D6E0D">
                  <w:pPr>
                    <w:keepNext w:val="0"/>
                    <w:keepLines w:val="0"/>
                    <w:pageBreakBefore w:val="0"/>
                    <w:widowControl w:val="0"/>
                    <w:kinsoku/>
                    <w:wordWrap/>
                    <w:overflowPunct/>
                    <w:topLinePunct w:val="0"/>
                    <w:autoSpaceDE w:val="0"/>
                    <w:autoSpaceDN w:val="0"/>
                    <w:bidi w:val="0"/>
                    <w:adjustRightInd/>
                    <w:snapToGrid/>
                    <w:spacing w:line="240" w:lineRule="auto"/>
                    <w:ind w:left="42" w:leftChars="20" w:right="42" w:rightChars="20"/>
                    <w:jc w:val="left"/>
                    <w:textAlignment w:val="auto"/>
                    <w:rPr>
                      <w:rFonts w:hint="eastAsia"/>
                      <w:color w:val="auto"/>
                      <w:sz w:val="21"/>
                      <w:szCs w:val="21"/>
                      <w:vertAlign w:val="baseline"/>
                    </w:rPr>
                  </w:pPr>
                  <w:r>
                    <w:rPr>
                      <w:rFonts w:hint="eastAsia"/>
                      <w:color w:val="auto"/>
                      <w:sz w:val="21"/>
                      <w:szCs w:val="21"/>
                      <w:vertAlign w:val="baseline"/>
                    </w:rPr>
                    <w:t>②重点管控单元。共47个，包含开发强度高、污染物排放强度大、环境问题相对集中的区域和大气环境布局敏感区等，主要分布在“三湖”（抚仙湖、星云湖、杞麓湖）坝区、各类开发区和工业集中区、城镇规划区及环境质量改善压力较大的区域。</w:t>
                  </w:r>
                </w:p>
                <w:p w14:paraId="3640BF2F">
                  <w:pPr>
                    <w:keepNext w:val="0"/>
                    <w:keepLines w:val="0"/>
                    <w:pageBreakBefore w:val="0"/>
                    <w:widowControl w:val="0"/>
                    <w:kinsoku/>
                    <w:wordWrap/>
                    <w:overflowPunct/>
                    <w:topLinePunct w:val="0"/>
                    <w:autoSpaceDE w:val="0"/>
                    <w:autoSpaceDN w:val="0"/>
                    <w:bidi w:val="0"/>
                    <w:adjustRightInd/>
                    <w:snapToGrid/>
                    <w:spacing w:line="240" w:lineRule="auto"/>
                    <w:ind w:left="42" w:leftChars="20" w:right="42" w:rightChars="20"/>
                    <w:jc w:val="left"/>
                    <w:textAlignment w:val="auto"/>
                    <w:rPr>
                      <w:rFonts w:hint="eastAsia"/>
                      <w:color w:val="auto"/>
                      <w:sz w:val="21"/>
                      <w:szCs w:val="21"/>
                      <w:vertAlign w:val="baseline"/>
                    </w:rPr>
                  </w:pPr>
                  <w:r>
                    <w:rPr>
                      <w:rFonts w:hint="eastAsia"/>
                      <w:color w:val="auto"/>
                      <w:sz w:val="21"/>
                      <w:szCs w:val="21"/>
                      <w:vertAlign w:val="baseline"/>
                    </w:rPr>
                    <w:t>③一般管控单元。共9个，为优先保护、重点管控单元之外的区域。</w:t>
                  </w:r>
                </w:p>
                <w:p w14:paraId="36320094">
                  <w:pPr>
                    <w:keepNext w:val="0"/>
                    <w:keepLines w:val="0"/>
                    <w:pageBreakBefore w:val="0"/>
                    <w:widowControl w:val="0"/>
                    <w:kinsoku/>
                    <w:wordWrap/>
                    <w:overflowPunct/>
                    <w:topLinePunct w:val="0"/>
                    <w:autoSpaceDE w:val="0"/>
                    <w:autoSpaceDN w:val="0"/>
                    <w:bidi w:val="0"/>
                    <w:adjustRightInd/>
                    <w:snapToGrid/>
                    <w:spacing w:line="240" w:lineRule="auto"/>
                    <w:ind w:left="42" w:leftChars="20" w:right="42" w:rightChars="20"/>
                    <w:jc w:val="left"/>
                    <w:textAlignment w:val="auto"/>
                    <w:rPr>
                      <w:rFonts w:hint="eastAsia"/>
                      <w:b/>
                      <w:bCs/>
                      <w:color w:val="auto"/>
                      <w:sz w:val="21"/>
                      <w:szCs w:val="21"/>
                      <w:vertAlign w:val="baseline"/>
                      <w:lang w:eastAsia="zh-CN"/>
                    </w:rPr>
                  </w:pPr>
                  <w:r>
                    <w:rPr>
                      <w:rFonts w:hint="eastAsia"/>
                      <w:b/>
                      <w:bCs/>
                      <w:color w:val="auto"/>
                      <w:sz w:val="21"/>
                      <w:szCs w:val="21"/>
                      <w:vertAlign w:val="baseline"/>
                      <w:lang w:val="en-US" w:eastAsia="zh-CN"/>
                    </w:rPr>
                    <w:t>根据</w:t>
                  </w:r>
                  <w:r>
                    <w:rPr>
                      <w:rFonts w:hint="eastAsia"/>
                      <w:b/>
                      <w:bCs/>
                      <w:color w:val="auto"/>
                      <w:sz w:val="21"/>
                      <w:szCs w:val="21"/>
                      <w:vertAlign w:val="baseline"/>
                    </w:rPr>
                    <w:t>云南省生态环境分区管控公共服务查询平台查询，项目区位于</w:t>
                  </w:r>
                  <w:r>
                    <w:rPr>
                      <w:rFonts w:hint="eastAsia"/>
                      <w:b/>
                      <w:bCs/>
                      <w:color w:val="auto"/>
                      <w:sz w:val="21"/>
                      <w:szCs w:val="21"/>
                      <w:vertAlign w:val="baseline"/>
                      <w:lang w:val="en-US" w:eastAsia="zh-CN"/>
                    </w:rPr>
                    <w:t>云南元江产业园区甘庄片区</w:t>
                  </w:r>
                  <w:r>
                    <w:rPr>
                      <w:rFonts w:hint="eastAsia"/>
                      <w:b/>
                      <w:bCs/>
                      <w:color w:val="auto"/>
                      <w:sz w:val="21"/>
                      <w:szCs w:val="21"/>
                      <w:vertAlign w:val="baseline"/>
                    </w:rPr>
                    <w:t>，涉及元江县产业园区重点管控单元</w:t>
                  </w:r>
                  <w:r>
                    <w:rPr>
                      <w:rFonts w:hint="eastAsia"/>
                      <w:b/>
                      <w:bCs/>
                      <w:color w:val="auto"/>
                      <w:sz w:val="21"/>
                      <w:szCs w:val="21"/>
                      <w:vertAlign w:val="baseline"/>
                      <w:lang w:eastAsia="zh-CN"/>
                    </w:rPr>
                    <w:t>。查询结果详见下图。</w:t>
                  </w:r>
                </w:p>
                <w:p w14:paraId="7350200D">
                  <w:pPr>
                    <w:pStyle w:val="10"/>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eastAsia"/>
                      <w:b/>
                      <w:bCs/>
                      <w:color w:val="auto"/>
                      <w:sz w:val="21"/>
                      <w:szCs w:val="21"/>
                      <w:vertAlign w:val="baseline"/>
                      <w:lang w:eastAsia="zh-CN"/>
                    </w:rPr>
                  </w:pPr>
                  <w:r>
                    <w:rPr>
                      <w:rFonts w:hint="eastAsia"/>
                      <w:b/>
                      <w:bCs/>
                      <w:color w:val="auto"/>
                      <w:sz w:val="21"/>
                      <w:szCs w:val="21"/>
                      <w:vertAlign w:val="baseline"/>
                      <w:lang w:eastAsia="zh-CN"/>
                    </w:rPr>
                    <w:drawing>
                      <wp:inline distT="0" distB="0" distL="114300" distR="114300">
                        <wp:extent cx="4257675" cy="3914140"/>
                        <wp:effectExtent l="0" t="0" r="9525" b="10160"/>
                        <wp:docPr id="1" name="图片 1" descr="管控单元截图2025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管控单元截图20251121"/>
                                <pic:cNvPicPr>
                                  <a:picLocks noChangeAspect="1"/>
                                </pic:cNvPicPr>
                              </pic:nvPicPr>
                              <pic:blipFill>
                                <a:blip r:embed="rId10"/>
                                <a:stretch>
                                  <a:fillRect/>
                                </a:stretch>
                              </pic:blipFill>
                              <pic:spPr>
                                <a:xfrm>
                                  <a:off x="0" y="0"/>
                                  <a:ext cx="4257675" cy="3914140"/>
                                </a:xfrm>
                                <a:prstGeom prst="rect">
                                  <a:avLst/>
                                </a:prstGeom>
                              </pic:spPr>
                            </pic:pic>
                          </a:graphicData>
                        </a:graphic>
                      </wp:inline>
                    </w:drawing>
                  </w:r>
                </w:p>
                <w:p w14:paraId="1651A8B8">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eastAsia"/>
                      <w:color w:val="auto"/>
                      <w:lang w:eastAsia="zh-CN"/>
                    </w:rPr>
                  </w:pPr>
                  <w:r>
                    <w:rPr>
                      <w:rFonts w:hint="eastAsia" w:cs="Times New Roman"/>
                      <w:b/>
                      <w:bCs/>
                      <w:color w:val="auto"/>
                      <w:sz w:val="21"/>
                      <w:szCs w:val="21"/>
                      <w:highlight w:val="none"/>
                      <w:lang w:val="en-US" w:eastAsia="zh-CN"/>
                    </w:rPr>
                    <w:t>图1-1  本项目分区管控图</w:t>
                  </w:r>
                </w:p>
              </w:tc>
            </w:tr>
            <w:tr w14:paraId="32B3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258" w:type="dxa"/>
                  <w:gridSpan w:val="4"/>
                  <w:vAlign w:val="center"/>
                </w:tcPr>
                <w:p w14:paraId="5E2FBD5A">
                  <w:pPr>
                    <w:autoSpaceDE w:val="0"/>
                    <w:autoSpaceDN w:val="0"/>
                    <w:adjustRightInd w:val="0"/>
                    <w:snapToGrid w:val="0"/>
                    <w:spacing w:line="240" w:lineRule="auto"/>
                    <w:jc w:val="center"/>
                    <w:rPr>
                      <w:color w:val="auto"/>
                      <w:sz w:val="21"/>
                      <w:szCs w:val="21"/>
                      <w:vertAlign w:val="baseline"/>
                    </w:rPr>
                  </w:pPr>
                  <w:r>
                    <w:rPr>
                      <w:rFonts w:hint="eastAsia"/>
                      <w:color w:val="auto"/>
                      <w:sz w:val="21"/>
                      <w:szCs w:val="21"/>
                      <w:vertAlign w:val="baseline"/>
                    </w:rPr>
                    <w:t>元江县产业园区重点管控单元</w:t>
                  </w:r>
                </w:p>
              </w:tc>
            </w:tr>
            <w:tr w14:paraId="5616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3" w:hRule="atLeast"/>
              </w:trPr>
              <w:tc>
                <w:tcPr>
                  <w:tcW w:w="705" w:type="dxa"/>
                  <w:vAlign w:val="center"/>
                </w:tcPr>
                <w:p w14:paraId="697A74D6">
                  <w:pPr>
                    <w:autoSpaceDE w:val="0"/>
                    <w:autoSpaceDN w:val="0"/>
                    <w:adjustRightInd w:val="0"/>
                    <w:snapToGrid w:val="0"/>
                    <w:spacing w:line="240" w:lineRule="auto"/>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空间布局结构</w:t>
                  </w:r>
                </w:p>
              </w:tc>
              <w:tc>
                <w:tcPr>
                  <w:tcW w:w="3282" w:type="dxa"/>
                  <w:vAlign w:val="center"/>
                </w:tcPr>
                <w:p w14:paraId="4B7E4B93">
                  <w:pPr>
                    <w:autoSpaceDE w:val="0"/>
                    <w:autoSpaceDN w:val="0"/>
                    <w:adjustRightInd w:val="0"/>
                    <w:snapToGrid w:val="0"/>
                    <w:spacing w:line="240" w:lineRule="auto"/>
                    <w:jc w:val="left"/>
                    <w:rPr>
                      <w:rFonts w:hint="eastAsia"/>
                      <w:color w:val="auto"/>
                      <w:sz w:val="21"/>
                      <w:szCs w:val="21"/>
                      <w:vertAlign w:val="baseline"/>
                    </w:rPr>
                  </w:pPr>
                  <w:r>
                    <w:rPr>
                      <w:rFonts w:hint="eastAsia"/>
                      <w:color w:val="auto"/>
                      <w:sz w:val="21"/>
                      <w:szCs w:val="21"/>
                      <w:vertAlign w:val="baseline"/>
                    </w:rPr>
                    <w:t>1.合理规划产业分区和功能定位，禁止不符合产业政策、产业结构调整指导目录和园区规划要求的项目入园区，不得引入污染严重的基础化工、农药、造纸制浆、制革、石棉制品和染料等企业和项目。</w:t>
                  </w:r>
                </w:p>
                <w:p w14:paraId="53137A7D">
                  <w:pPr>
                    <w:autoSpaceDE w:val="0"/>
                    <w:autoSpaceDN w:val="0"/>
                    <w:adjustRightInd w:val="0"/>
                    <w:snapToGrid w:val="0"/>
                    <w:spacing w:line="240" w:lineRule="auto"/>
                    <w:jc w:val="left"/>
                    <w:rPr>
                      <w:rFonts w:hint="eastAsia"/>
                      <w:color w:val="auto"/>
                      <w:sz w:val="21"/>
                      <w:szCs w:val="21"/>
                      <w:vertAlign w:val="baseline"/>
                    </w:rPr>
                  </w:pPr>
                  <w:r>
                    <w:rPr>
                      <w:rFonts w:hint="eastAsia"/>
                      <w:color w:val="auto"/>
                      <w:sz w:val="21"/>
                      <w:szCs w:val="21"/>
                      <w:vertAlign w:val="baseline"/>
                    </w:rPr>
                    <w:t>2.安定片区镍矿采选不得采用淘汰落后工艺，有计划逐步控制火法冶金和湿法冶金规模。</w:t>
                  </w:r>
                </w:p>
                <w:p w14:paraId="12C634A7">
                  <w:pPr>
                    <w:autoSpaceDE w:val="0"/>
                    <w:autoSpaceDN w:val="0"/>
                    <w:adjustRightInd w:val="0"/>
                    <w:snapToGrid w:val="0"/>
                    <w:spacing w:line="240" w:lineRule="auto"/>
                    <w:jc w:val="left"/>
                    <w:rPr>
                      <w:rFonts w:hint="eastAsia"/>
                      <w:color w:val="auto"/>
                      <w:sz w:val="21"/>
                      <w:szCs w:val="21"/>
                      <w:vertAlign w:val="baseline"/>
                    </w:rPr>
                  </w:pPr>
                  <w:r>
                    <w:rPr>
                      <w:rFonts w:hint="eastAsia"/>
                      <w:color w:val="auto"/>
                      <w:sz w:val="21"/>
                      <w:szCs w:val="21"/>
                      <w:vertAlign w:val="baseline"/>
                    </w:rPr>
                    <w:t>3.江东片区禁止新增“高污染、高排放、高架源”废气污染型企业，扩建项目要求“增产不增污”。</w:t>
                  </w:r>
                </w:p>
                <w:p w14:paraId="6B52B8CF">
                  <w:pPr>
                    <w:autoSpaceDE w:val="0"/>
                    <w:autoSpaceDN w:val="0"/>
                    <w:adjustRightInd w:val="0"/>
                    <w:snapToGrid w:val="0"/>
                    <w:spacing w:line="240" w:lineRule="auto"/>
                    <w:jc w:val="left"/>
                    <w:rPr>
                      <w:rFonts w:hint="eastAsia"/>
                      <w:color w:val="auto"/>
                      <w:sz w:val="21"/>
                      <w:szCs w:val="21"/>
                      <w:vertAlign w:val="baseline"/>
                    </w:rPr>
                  </w:pPr>
                  <w:r>
                    <w:rPr>
                      <w:rFonts w:hint="eastAsia"/>
                      <w:color w:val="auto"/>
                      <w:sz w:val="21"/>
                      <w:szCs w:val="21"/>
                      <w:vertAlign w:val="baseline"/>
                    </w:rPr>
                    <w:t>4.江东片区禁止布置排放大量恶臭污染物的企业。</w:t>
                  </w:r>
                </w:p>
                <w:p w14:paraId="2C6408D7">
                  <w:pPr>
                    <w:autoSpaceDE w:val="0"/>
                    <w:autoSpaceDN w:val="0"/>
                    <w:adjustRightInd w:val="0"/>
                    <w:snapToGrid w:val="0"/>
                    <w:spacing w:line="240" w:lineRule="auto"/>
                    <w:jc w:val="left"/>
                    <w:rPr>
                      <w:color w:val="auto"/>
                      <w:sz w:val="21"/>
                      <w:szCs w:val="21"/>
                      <w:vertAlign w:val="baseline"/>
                    </w:rPr>
                  </w:pPr>
                  <w:r>
                    <w:rPr>
                      <w:rFonts w:hint="eastAsia"/>
                      <w:color w:val="auto"/>
                      <w:sz w:val="21"/>
                      <w:szCs w:val="21"/>
                      <w:vertAlign w:val="baseline"/>
                    </w:rPr>
                    <w:t>5.干坝片区和江东片区规划范围内均涉及村庄用地，现有村庄逐步搬迁，降低片区发展对其产生的影响。江东片区靠近县城及镇一侧布局污染较小的行业，并设置隔离带。干坝片区边界外设置100～200米的控制带。</w:t>
                  </w:r>
                </w:p>
              </w:tc>
              <w:tc>
                <w:tcPr>
                  <w:tcW w:w="2468" w:type="dxa"/>
                  <w:vAlign w:val="center"/>
                </w:tcPr>
                <w:p w14:paraId="081C2F62">
                  <w:pPr>
                    <w:autoSpaceDE w:val="0"/>
                    <w:autoSpaceDN w:val="0"/>
                    <w:adjustRightInd w:val="0"/>
                    <w:snapToGrid w:val="0"/>
                    <w:spacing w:line="240" w:lineRule="auto"/>
                    <w:jc w:val="left"/>
                    <w:rPr>
                      <w:rFonts w:hint="default" w:eastAsia="宋体"/>
                      <w:color w:val="auto"/>
                      <w:sz w:val="21"/>
                      <w:szCs w:val="21"/>
                      <w:vertAlign w:val="baseline"/>
                      <w:lang w:val="en-US" w:eastAsia="zh-CN"/>
                    </w:rPr>
                  </w:pPr>
                  <w:r>
                    <w:rPr>
                      <w:rFonts w:hint="eastAsia"/>
                      <w:color w:val="auto"/>
                      <w:sz w:val="21"/>
                      <w:szCs w:val="21"/>
                      <w:vertAlign w:val="baseline"/>
                    </w:rPr>
                    <w:t>项目</w:t>
                  </w:r>
                  <w:r>
                    <w:rPr>
                      <w:rFonts w:hint="eastAsia"/>
                      <w:color w:val="auto"/>
                      <w:lang w:val="en-US" w:eastAsia="zh-CN"/>
                    </w:rPr>
                    <w:t>为速冻果蔬食品技改项目，</w:t>
                  </w:r>
                  <w:r>
                    <w:rPr>
                      <w:rFonts w:hint="eastAsia"/>
                      <w:color w:val="auto"/>
                      <w:highlight w:val="none"/>
                      <w:lang w:val="en-US" w:eastAsia="zh-CN"/>
                    </w:rPr>
                    <w:t>位于甘庄片区冶金新材料及装备制造组团内，在现有项目基础上进行技术改造，不新增用地。根据云南元江产业园区管理委员会出具的《关于云南果研社农业科技发展有限公司果蔬深加工项目的情况说明》：云南果研社农业科技发展有限公司于2021年12月签订果蔬深加工项目入园投资协议，并于2022年5月1日建成投产，该项目落地在园区最新总体规划获批之前，项目符合旧版本规划要求。考虑到厂区搬迁难度较大，时间较长，为避免严重影响企业正常生产和运转，暂时保留该企业项目在干坝厂区，待后续情况适宜时，园区再协同企业缓慢进行搬迁工作。</w:t>
                  </w:r>
                </w:p>
              </w:tc>
              <w:tc>
                <w:tcPr>
                  <w:tcW w:w="803" w:type="dxa"/>
                  <w:vAlign w:val="center"/>
                </w:tcPr>
                <w:p w14:paraId="714B3128">
                  <w:pPr>
                    <w:autoSpaceDE w:val="0"/>
                    <w:autoSpaceDN w:val="0"/>
                    <w:adjustRightInd w:val="0"/>
                    <w:snapToGrid w:val="0"/>
                    <w:spacing w:line="240" w:lineRule="auto"/>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符合</w:t>
                  </w:r>
                </w:p>
              </w:tc>
            </w:tr>
            <w:tr w14:paraId="4BA5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Align w:val="center"/>
                </w:tcPr>
                <w:p w14:paraId="6400DF58">
                  <w:pPr>
                    <w:autoSpaceDE w:val="0"/>
                    <w:autoSpaceDN w:val="0"/>
                    <w:adjustRightInd w:val="0"/>
                    <w:snapToGrid w:val="0"/>
                    <w:spacing w:line="240" w:lineRule="auto"/>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污染物排放管控</w:t>
                  </w:r>
                </w:p>
              </w:tc>
              <w:tc>
                <w:tcPr>
                  <w:tcW w:w="3282" w:type="dxa"/>
                  <w:vAlign w:val="center"/>
                </w:tcPr>
                <w:p w14:paraId="188E31E5">
                  <w:pPr>
                    <w:autoSpaceDE w:val="0"/>
                    <w:autoSpaceDN w:val="0"/>
                    <w:adjustRightInd w:val="0"/>
                    <w:snapToGrid w:val="0"/>
                    <w:spacing w:line="240" w:lineRule="auto"/>
                    <w:jc w:val="left"/>
                    <w:rPr>
                      <w:rFonts w:hint="eastAsia"/>
                      <w:color w:val="auto"/>
                      <w:sz w:val="21"/>
                      <w:szCs w:val="21"/>
                      <w:vertAlign w:val="baseline"/>
                    </w:rPr>
                  </w:pPr>
                  <w:r>
                    <w:rPr>
                      <w:rFonts w:hint="eastAsia"/>
                      <w:color w:val="auto"/>
                      <w:sz w:val="21"/>
                      <w:szCs w:val="21"/>
                      <w:vertAlign w:val="baseline"/>
                    </w:rPr>
                    <w:t>1.新建“两高”项目依据区域环境质量改善目标，制定配套区域污染物削减方案，采取有效的染物区域削减措施，腾出足够的环境容量。新建、扩建（转型升级）的“两高”项目应采用先进适用的工艺技术和装备，单位产品物耗、能耗、水耗等达到清洁生产先进水平，依法制定并严格落实防治土壤与地下水污染的措施。已出台超低排放要求的“两高”行业建设项目应满足超低排放要求。</w:t>
                  </w:r>
                </w:p>
                <w:p w14:paraId="74747895">
                  <w:pPr>
                    <w:autoSpaceDE w:val="0"/>
                    <w:autoSpaceDN w:val="0"/>
                    <w:adjustRightInd w:val="0"/>
                    <w:snapToGrid w:val="0"/>
                    <w:spacing w:line="240" w:lineRule="auto"/>
                    <w:jc w:val="left"/>
                    <w:rPr>
                      <w:rFonts w:hint="eastAsia"/>
                      <w:color w:val="auto"/>
                      <w:sz w:val="21"/>
                      <w:szCs w:val="21"/>
                      <w:vertAlign w:val="baseline"/>
                    </w:rPr>
                  </w:pPr>
                  <w:r>
                    <w:rPr>
                      <w:rFonts w:hint="eastAsia"/>
                      <w:color w:val="auto"/>
                      <w:sz w:val="21"/>
                      <w:szCs w:val="21"/>
                      <w:vertAlign w:val="baseline"/>
                    </w:rPr>
                    <w:t>2.使用电能、天然气、生物质燃料等清洁能源为主要能源，利用工厂余热、电厂热力等进行替代，逐步降低煤炭等高污染燃料的使用，降低大气污染物以及温室气体的排放。</w:t>
                  </w:r>
                </w:p>
                <w:p w14:paraId="604AAE2C">
                  <w:pPr>
                    <w:autoSpaceDE w:val="0"/>
                    <w:autoSpaceDN w:val="0"/>
                    <w:adjustRightInd w:val="0"/>
                    <w:snapToGrid w:val="0"/>
                    <w:spacing w:line="240" w:lineRule="auto"/>
                    <w:jc w:val="left"/>
                    <w:rPr>
                      <w:rFonts w:hint="eastAsia"/>
                      <w:color w:val="auto"/>
                      <w:sz w:val="21"/>
                      <w:szCs w:val="21"/>
                      <w:vertAlign w:val="baseline"/>
                    </w:rPr>
                  </w:pPr>
                  <w:r>
                    <w:rPr>
                      <w:rFonts w:hint="eastAsia"/>
                      <w:color w:val="auto"/>
                      <w:sz w:val="21"/>
                      <w:szCs w:val="21"/>
                      <w:vertAlign w:val="baseline"/>
                    </w:rPr>
                    <w:t>3.采用低（无）VOCs含量、低反应活性的原辅材料，加快对芳香烃、含卤素有机化合物的绿色替代，加强无组织排放控制，合理选择治理技术，有效降低VOCs 的排放量。</w:t>
                  </w:r>
                </w:p>
                <w:p w14:paraId="539155AF">
                  <w:pPr>
                    <w:autoSpaceDE w:val="0"/>
                    <w:autoSpaceDN w:val="0"/>
                    <w:adjustRightInd w:val="0"/>
                    <w:snapToGrid w:val="0"/>
                    <w:spacing w:line="240" w:lineRule="auto"/>
                    <w:jc w:val="left"/>
                    <w:rPr>
                      <w:rFonts w:hint="eastAsia"/>
                      <w:color w:val="auto"/>
                      <w:sz w:val="21"/>
                      <w:szCs w:val="21"/>
                      <w:vertAlign w:val="baseline"/>
                    </w:rPr>
                  </w:pPr>
                  <w:r>
                    <w:rPr>
                      <w:rFonts w:hint="eastAsia"/>
                      <w:color w:val="auto"/>
                      <w:sz w:val="21"/>
                      <w:szCs w:val="21"/>
                      <w:vertAlign w:val="baseline"/>
                    </w:rPr>
                    <w:t>4.大气污染排放量较大的冶炼企业，工业用地与居住用地的交界处设置20~30米宽的绿化隔离带。</w:t>
                  </w:r>
                </w:p>
                <w:p w14:paraId="6694123B">
                  <w:pPr>
                    <w:autoSpaceDE w:val="0"/>
                    <w:autoSpaceDN w:val="0"/>
                    <w:adjustRightInd w:val="0"/>
                    <w:snapToGrid w:val="0"/>
                    <w:spacing w:line="240" w:lineRule="auto"/>
                    <w:jc w:val="left"/>
                    <w:rPr>
                      <w:rFonts w:hint="eastAsia"/>
                      <w:color w:val="auto"/>
                      <w:sz w:val="21"/>
                      <w:szCs w:val="21"/>
                      <w:vertAlign w:val="baseline"/>
                    </w:rPr>
                  </w:pPr>
                  <w:r>
                    <w:rPr>
                      <w:rFonts w:hint="eastAsia"/>
                      <w:color w:val="auto"/>
                      <w:sz w:val="21"/>
                      <w:szCs w:val="21"/>
                      <w:vertAlign w:val="baseline"/>
                    </w:rPr>
                    <w:t>5.积极开展区域地表水环境综合整治，加大城市生活污水的截污率，为产业布局腾出环境容量。</w:t>
                  </w:r>
                </w:p>
                <w:p w14:paraId="044F0227">
                  <w:pPr>
                    <w:autoSpaceDE w:val="0"/>
                    <w:autoSpaceDN w:val="0"/>
                    <w:adjustRightInd w:val="0"/>
                    <w:snapToGrid w:val="0"/>
                    <w:spacing w:line="240" w:lineRule="auto"/>
                    <w:jc w:val="left"/>
                    <w:rPr>
                      <w:rFonts w:hint="eastAsia"/>
                      <w:color w:val="auto"/>
                      <w:sz w:val="21"/>
                      <w:szCs w:val="21"/>
                      <w:vertAlign w:val="baseline"/>
                    </w:rPr>
                  </w:pPr>
                  <w:r>
                    <w:rPr>
                      <w:rFonts w:hint="eastAsia"/>
                      <w:color w:val="auto"/>
                      <w:sz w:val="21"/>
                      <w:szCs w:val="21"/>
                      <w:vertAlign w:val="baseline"/>
                    </w:rPr>
                    <w:t>6.生产废水经企业自建污水处理设施处理达《城市污水再生利用 工业用水水质》（GB/T19923</w:t>
                  </w:r>
                  <w:r>
                    <w:rPr>
                      <w:rFonts w:hint="eastAsia"/>
                      <w:color w:val="auto"/>
                      <w:sz w:val="21"/>
                      <w:szCs w:val="21"/>
                      <w:vertAlign w:val="baseline"/>
                      <w:lang w:val="en-US" w:eastAsia="zh-CN"/>
                    </w:rPr>
                    <w:t>-</w:t>
                  </w:r>
                  <w:r>
                    <w:rPr>
                      <w:rFonts w:hint="eastAsia"/>
                      <w:color w:val="auto"/>
                      <w:sz w:val="21"/>
                      <w:szCs w:val="21"/>
                      <w:vertAlign w:val="baseline"/>
                    </w:rPr>
                    <w:t>2005）后，进入企业内部循环使用，剩余部分进入市政污水管网，经园区配套污水处理厂处理达标后进入园区中水循环系统在园区内部循环使用，剩余部分达标外排。重污染工业企业生产废水应实现不外排。</w:t>
                  </w:r>
                </w:p>
                <w:p w14:paraId="656E0A24">
                  <w:pPr>
                    <w:autoSpaceDE w:val="0"/>
                    <w:autoSpaceDN w:val="0"/>
                    <w:adjustRightInd w:val="0"/>
                    <w:snapToGrid w:val="0"/>
                    <w:spacing w:line="240" w:lineRule="auto"/>
                    <w:jc w:val="left"/>
                    <w:rPr>
                      <w:color w:val="auto"/>
                      <w:sz w:val="21"/>
                      <w:szCs w:val="21"/>
                      <w:vertAlign w:val="baseline"/>
                    </w:rPr>
                  </w:pPr>
                  <w:r>
                    <w:rPr>
                      <w:rFonts w:hint="eastAsia"/>
                      <w:color w:val="auto"/>
                      <w:sz w:val="21"/>
                      <w:szCs w:val="21"/>
                      <w:vertAlign w:val="baseline"/>
                    </w:rPr>
                    <w:t>7.安定片区不设污水排放口，片区内生产废水和生活污水循环使用，不外排。江东片区不新设污水排放口，维持现状排污量，新建企业排水实行片区源强减量替代。</w:t>
                  </w:r>
                </w:p>
              </w:tc>
              <w:tc>
                <w:tcPr>
                  <w:tcW w:w="2468" w:type="dxa"/>
                  <w:vAlign w:val="center"/>
                </w:tcPr>
                <w:p w14:paraId="32D75113">
                  <w:pPr>
                    <w:autoSpaceDE w:val="0"/>
                    <w:autoSpaceDN w:val="0"/>
                    <w:adjustRightInd w:val="0"/>
                    <w:snapToGrid w:val="0"/>
                    <w:spacing w:line="240" w:lineRule="auto"/>
                    <w:jc w:val="left"/>
                    <w:rPr>
                      <w:rFonts w:hint="eastAsia"/>
                      <w:color w:val="auto"/>
                      <w:sz w:val="21"/>
                      <w:szCs w:val="21"/>
                      <w:vertAlign w:val="baseline"/>
                      <w:lang w:val="en-US" w:eastAsia="zh-CN"/>
                    </w:rPr>
                  </w:pPr>
                  <w:r>
                    <w:rPr>
                      <w:rFonts w:hint="eastAsia"/>
                      <w:color w:val="auto"/>
                      <w:sz w:val="21"/>
                      <w:szCs w:val="21"/>
                      <w:vertAlign w:val="baseline"/>
                      <w:lang w:val="en-US" w:eastAsia="zh-CN"/>
                    </w:rPr>
                    <w:t>1.项目不属于“两高”项目；</w:t>
                  </w:r>
                </w:p>
                <w:p w14:paraId="3F4833D1">
                  <w:pPr>
                    <w:autoSpaceDE w:val="0"/>
                    <w:autoSpaceDN w:val="0"/>
                    <w:adjustRightInd w:val="0"/>
                    <w:snapToGrid w:val="0"/>
                    <w:spacing w:line="240" w:lineRule="auto"/>
                    <w:jc w:val="left"/>
                    <w:rPr>
                      <w:rFonts w:hint="eastAsia"/>
                      <w:color w:val="auto"/>
                      <w:sz w:val="21"/>
                      <w:szCs w:val="21"/>
                      <w:vertAlign w:val="baseline"/>
                      <w:lang w:val="en-US" w:eastAsia="zh-CN"/>
                    </w:rPr>
                  </w:pPr>
                  <w:r>
                    <w:rPr>
                      <w:rFonts w:hint="eastAsia"/>
                      <w:color w:val="auto"/>
                      <w:sz w:val="21"/>
                      <w:szCs w:val="21"/>
                      <w:vertAlign w:val="baseline"/>
                      <w:lang w:val="en-US" w:eastAsia="zh-CN"/>
                    </w:rPr>
                    <w:t>2.项目使用电能、生物质燃料作为主要能源；</w:t>
                  </w:r>
                </w:p>
                <w:p w14:paraId="4B7B5ADB">
                  <w:pPr>
                    <w:autoSpaceDE w:val="0"/>
                    <w:autoSpaceDN w:val="0"/>
                    <w:adjustRightInd w:val="0"/>
                    <w:snapToGrid w:val="0"/>
                    <w:spacing w:line="240" w:lineRule="auto"/>
                    <w:jc w:val="left"/>
                    <w:rPr>
                      <w:rFonts w:hint="eastAsia"/>
                      <w:color w:val="auto"/>
                      <w:sz w:val="21"/>
                      <w:szCs w:val="21"/>
                      <w:vertAlign w:val="baseline"/>
                      <w:lang w:val="en-US" w:eastAsia="zh-CN"/>
                    </w:rPr>
                  </w:pPr>
                  <w:r>
                    <w:rPr>
                      <w:rFonts w:hint="eastAsia"/>
                      <w:color w:val="auto"/>
                      <w:sz w:val="21"/>
                      <w:szCs w:val="21"/>
                      <w:vertAlign w:val="baseline"/>
                      <w:lang w:val="en-US" w:eastAsia="zh-CN"/>
                    </w:rPr>
                    <w:t>3.项目主要污染物为颗粒物、二氧化硫、氮氧化物，不涉及VOCs；</w:t>
                  </w:r>
                </w:p>
                <w:p w14:paraId="70ACD453">
                  <w:pPr>
                    <w:autoSpaceDE w:val="0"/>
                    <w:autoSpaceDN w:val="0"/>
                    <w:adjustRightInd w:val="0"/>
                    <w:snapToGrid w:val="0"/>
                    <w:spacing w:line="240" w:lineRule="auto"/>
                    <w:jc w:val="left"/>
                    <w:rPr>
                      <w:rFonts w:hint="eastAsia"/>
                      <w:color w:val="auto"/>
                      <w:sz w:val="21"/>
                      <w:szCs w:val="21"/>
                      <w:vertAlign w:val="baseline"/>
                      <w:lang w:val="en-US" w:eastAsia="zh-CN"/>
                    </w:rPr>
                  </w:pPr>
                  <w:r>
                    <w:rPr>
                      <w:rFonts w:hint="eastAsia"/>
                      <w:color w:val="auto"/>
                      <w:sz w:val="21"/>
                      <w:szCs w:val="21"/>
                      <w:vertAlign w:val="baseline"/>
                      <w:lang w:val="en-US" w:eastAsia="zh-CN"/>
                    </w:rPr>
                    <w:t>4.本项目不涉及冶炼；</w:t>
                  </w:r>
                </w:p>
                <w:p w14:paraId="75FF5696">
                  <w:pPr>
                    <w:autoSpaceDE w:val="0"/>
                    <w:autoSpaceDN w:val="0"/>
                    <w:adjustRightInd w:val="0"/>
                    <w:snapToGrid w:val="0"/>
                    <w:spacing w:line="240" w:lineRule="auto"/>
                    <w:jc w:val="left"/>
                    <w:rPr>
                      <w:rFonts w:hint="default"/>
                      <w:color w:val="auto"/>
                      <w:sz w:val="21"/>
                      <w:szCs w:val="21"/>
                      <w:vertAlign w:val="baseline"/>
                      <w:lang w:val="en-US" w:eastAsia="zh-CN"/>
                    </w:rPr>
                  </w:pPr>
                  <w:r>
                    <w:rPr>
                      <w:rFonts w:hint="eastAsia"/>
                      <w:color w:val="auto"/>
                      <w:sz w:val="21"/>
                      <w:szCs w:val="21"/>
                      <w:vertAlign w:val="baseline"/>
                      <w:lang w:val="en-US" w:eastAsia="zh-CN"/>
                    </w:rPr>
                    <w:t>5.本项目生产废水及生活污水经自建污水处理设施处理达标后排入元江工业园区MBR膜一体化300m</w:t>
                  </w:r>
                  <w:r>
                    <w:rPr>
                      <w:rFonts w:hint="eastAsia"/>
                      <w:color w:val="auto"/>
                      <w:sz w:val="21"/>
                      <w:szCs w:val="21"/>
                      <w:vertAlign w:val="superscript"/>
                      <w:lang w:val="en-US" w:eastAsia="zh-CN"/>
                    </w:rPr>
                    <w:t>3</w:t>
                  </w:r>
                  <w:r>
                    <w:rPr>
                      <w:rFonts w:hint="eastAsia"/>
                      <w:color w:val="auto"/>
                      <w:sz w:val="21"/>
                      <w:szCs w:val="21"/>
                      <w:vertAlign w:val="baseline"/>
                      <w:lang w:val="en-US" w:eastAsia="zh-CN"/>
                    </w:rPr>
                    <w:t>/d过渡式污水处理站，废水不排入外环境。</w:t>
                  </w:r>
                </w:p>
              </w:tc>
              <w:tc>
                <w:tcPr>
                  <w:tcW w:w="803" w:type="dxa"/>
                  <w:vAlign w:val="center"/>
                </w:tcPr>
                <w:p w14:paraId="0FAC8A55">
                  <w:pPr>
                    <w:autoSpaceDE w:val="0"/>
                    <w:autoSpaceDN w:val="0"/>
                    <w:adjustRightInd w:val="0"/>
                    <w:snapToGrid w:val="0"/>
                    <w:spacing w:line="240" w:lineRule="auto"/>
                    <w:jc w:val="center"/>
                    <w:rPr>
                      <w:color w:val="auto"/>
                      <w:sz w:val="21"/>
                      <w:szCs w:val="21"/>
                      <w:vertAlign w:val="baseline"/>
                    </w:rPr>
                  </w:pPr>
                  <w:r>
                    <w:rPr>
                      <w:rFonts w:hint="eastAsia"/>
                      <w:color w:val="auto"/>
                      <w:sz w:val="21"/>
                      <w:szCs w:val="21"/>
                      <w:vertAlign w:val="baseline"/>
                      <w:lang w:val="en-US" w:eastAsia="zh-CN"/>
                    </w:rPr>
                    <w:t>符合</w:t>
                  </w:r>
                </w:p>
              </w:tc>
            </w:tr>
            <w:tr w14:paraId="2CB2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05" w:type="dxa"/>
                  <w:vAlign w:val="center"/>
                </w:tcPr>
                <w:p w14:paraId="4EEDCDE1">
                  <w:pPr>
                    <w:autoSpaceDE w:val="0"/>
                    <w:autoSpaceDN w:val="0"/>
                    <w:adjustRightInd w:val="0"/>
                    <w:snapToGrid w:val="0"/>
                    <w:spacing w:line="240" w:lineRule="auto"/>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环境风险防控</w:t>
                  </w:r>
                </w:p>
              </w:tc>
              <w:tc>
                <w:tcPr>
                  <w:tcW w:w="3282" w:type="dxa"/>
                  <w:vAlign w:val="center"/>
                </w:tcPr>
                <w:p w14:paraId="03B1482F">
                  <w:pPr>
                    <w:autoSpaceDE w:val="0"/>
                    <w:autoSpaceDN w:val="0"/>
                    <w:adjustRightInd w:val="0"/>
                    <w:snapToGrid w:val="0"/>
                    <w:spacing w:line="240" w:lineRule="auto"/>
                    <w:jc w:val="both"/>
                    <w:rPr>
                      <w:rFonts w:hint="eastAsia"/>
                      <w:color w:val="auto"/>
                      <w:sz w:val="21"/>
                      <w:szCs w:val="21"/>
                      <w:vertAlign w:val="baseline"/>
                    </w:rPr>
                  </w:pPr>
                  <w:r>
                    <w:rPr>
                      <w:rFonts w:hint="eastAsia"/>
                      <w:color w:val="auto"/>
                      <w:sz w:val="21"/>
                      <w:szCs w:val="21"/>
                      <w:vertAlign w:val="baseline"/>
                    </w:rPr>
                    <w:t>1.江东片区不宜布置日常储量构成重大危险源的使用危险化学品的项目。</w:t>
                  </w:r>
                </w:p>
                <w:p w14:paraId="637C0EAE">
                  <w:pPr>
                    <w:autoSpaceDE w:val="0"/>
                    <w:autoSpaceDN w:val="0"/>
                    <w:adjustRightInd w:val="0"/>
                    <w:snapToGrid w:val="0"/>
                    <w:spacing w:line="240" w:lineRule="auto"/>
                    <w:jc w:val="both"/>
                    <w:rPr>
                      <w:rFonts w:hint="eastAsia"/>
                      <w:color w:val="auto"/>
                      <w:sz w:val="21"/>
                      <w:szCs w:val="21"/>
                      <w:vertAlign w:val="baseline"/>
                    </w:rPr>
                  </w:pPr>
                  <w:r>
                    <w:rPr>
                      <w:rFonts w:hint="eastAsia"/>
                      <w:color w:val="auto"/>
                      <w:sz w:val="21"/>
                      <w:szCs w:val="21"/>
                      <w:vertAlign w:val="baseline"/>
                    </w:rPr>
                    <w:t>2.江东片区和甘庄—干坝片区应注重液氨等危险化学品的贮存和风险防范，其最大可信事故半致死浓度范围内不得有居民点存在。</w:t>
                  </w:r>
                </w:p>
                <w:p w14:paraId="537B5A26">
                  <w:pPr>
                    <w:autoSpaceDE w:val="0"/>
                    <w:autoSpaceDN w:val="0"/>
                    <w:adjustRightInd w:val="0"/>
                    <w:snapToGrid w:val="0"/>
                    <w:spacing w:line="240" w:lineRule="auto"/>
                    <w:jc w:val="both"/>
                    <w:rPr>
                      <w:rFonts w:hint="eastAsia"/>
                      <w:color w:val="auto"/>
                      <w:sz w:val="21"/>
                      <w:szCs w:val="21"/>
                      <w:vertAlign w:val="baseline"/>
                    </w:rPr>
                  </w:pPr>
                  <w:r>
                    <w:rPr>
                      <w:rFonts w:hint="eastAsia"/>
                      <w:color w:val="auto"/>
                      <w:sz w:val="21"/>
                      <w:szCs w:val="21"/>
                      <w:vertAlign w:val="baseline"/>
                    </w:rPr>
                    <w:t>3.对于进驻园区项目在选址布局时要充分考虑卫生防护距离和安全防护距离的要求。</w:t>
                  </w:r>
                </w:p>
                <w:p w14:paraId="7D1005EA">
                  <w:pPr>
                    <w:autoSpaceDE w:val="0"/>
                    <w:autoSpaceDN w:val="0"/>
                    <w:adjustRightInd w:val="0"/>
                    <w:snapToGrid w:val="0"/>
                    <w:spacing w:line="240" w:lineRule="auto"/>
                    <w:jc w:val="both"/>
                    <w:rPr>
                      <w:rFonts w:hint="eastAsia"/>
                      <w:color w:val="auto"/>
                      <w:sz w:val="21"/>
                      <w:szCs w:val="21"/>
                      <w:vertAlign w:val="baseline"/>
                    </w:rPr>
                  </w:pPr>
                  <w:r>
                    <w:rPr>
                      <w:rFonts w:hint="eastAsia"/>
                      <w:color w:val="auto"/>
                      <w:sz w:val="21"/>
                      <w:szCs w:val="21"/>
                      <w:vertAlign w:val="baseline"/>
                    </w:rPr>
                    <w:t>4.制定突发环境事件应急预案，完善风险管理机制，加强风险控制防范。建立区域环境监测制度，加强规划实施的跟踪监测与管理。</w:t>
                  </w:r>
                </w:p>
                <w:p w14:paraId="006B4F96">
                  <w:pPr>
                    <w:autoSpaceDE w:val="0"/>
                    <w:autoSpaceDN w:val="0"/>
                    <w:adjustRightInd w:val="0"/>
                    <w:snapToGrid w:val="0"/>
                    <w:spacing w:line="240" w:lineRule="auto"/>
                    <w:jc w:val="both"/>
                    <w:rPr>
                      <w:rFonts w:hint="eastAsia"/>
                      <w:color w:val="auto"/>
                      <w:sz w:val="21"/>
                      <w:szCs w:val="21"/>
                      <w:vertAlign w:val="baseline"/>
                    </w:rPr>
                  </w:pPr>
                  <w:r>
                    <w:rPr>
                      <w:rFonts w:hint="eastAsia"/>
                      <w:color w:val="auto"/>
                      <w:sz w:val="21"/>
                      <w:szCs w:val="21"/>
                      <w:vertAlign w:val="baseline"/>
                    </w:rPr>
                    <w:t>5.对尾矿库进行规范设计和建设，加强拦渣坝的抗震设防，加强施工建设管理和运行管理，防止环境风险发生。</w:t>
                  </w:r>
                </w:p>
              </w:tc>
              <w:tc>
                <w:tcPr>
                  <w:tcW w:w="2468" w:type="dxa"/>
                  <w:vAlign w:val="center"/>
                </w:tcPr>
                <w:p w14:paraId="4D217521">
                  <w:pPr>
                    <w:autoSpaceDE w:val="0"/>
                    <w:autoSpaceDN w:val="0"/>
                    <w:adjustRightInd w:val="0"/>
                    <w:snapToGrid w:val="0"/>
                    <w:spacing w:line="240" w:lineRule="auto"/>
                    <w:jc w:val="left"/>
                    <w:rPr>
                      <w:color w:val="auto"/>
                      <w:sz w:val="21"/>
                      <w:szCs w:val="21"/>
                      <w:vertAlign w:val="baseline"/>
                    </w:rPr>
                  </w:pPr>
                  <w:r>
                    <w:rPr>
                      <w:rFonts w:hint="eastAsia"/>
                      <w:color w:val="auto"/>
                      <w:szCs w:val="21"/>
                    </w:rPr>
                    <w:t>项目不涉及</w:t>
                  </w:r>
                  <w:r>
                    <w:rPr>
                      <w:color w:val="auto"/>
                      <w:kern w:val="0"/>
                      <w:szCs w:val="21"/>
                    </w:rPr>
                    <w:t>液氨等危险化学品</w:t>
                  </w:r>
                  <w:r>
                    <w:rPr>
                      <w:rFonts w:hint="eastAsia"/>
                      <w:color w:val="auto"/>
                      <w:kern w:val="0"/>
                      <w:szCs w:val="21"/>
                    </w:rPr>
                    <w:t>的使用及贮存，</w:t>
                  </w:r>
                  <w:r>
                    <w:rPr>
                      <w:color w:val="auto"/>
                      <w:kern w:val="0"/>
                      <w:szCs w:val="21"/>
                    </w:rPr>
                    <w:t>项目在选址布局时</w:t>
                  </w:r>
                  <w:r>
                    <w:rPr>
                      <w:rFonts w:hint="eastAsia"/>
                      <w:color w:val="auto"/>
                      <w:kern w:val="0"/>
                      <w:szCs w:val="21"/>
                    </w:rPr>
                    <w:t>已</w:t>
                  </w:r>
                  <w:r>
                    <w:rPr>
                      <w:color w:val="auto"/>
                      <w:kern w:val="0"/>
                      <w:szCs w:val="21"/>
                    </w:rPr>
                    <w:t>充分考虑防护距离要求</w:t>
                  </w:r>
                  <w:r>
                    <w:rPr>
                      <w:rFonts w:hint="eastAsia"/>
                      <w:color w:val="auto"/>
                      <w:kern w:val="0"/>
                      <w:szCs w:val="21"/>
                    </w:rPr>
                    <w:t>；</w:t>
                  </w:r>
                  <w:r>
                    <w:rPr>
                      <w:color w:val="auto"/>
                      <w:szCs w:val="21"/>
                    </w:rPr>
                    <w:t>项目按要求上报应急预案。</w:t>
                  </w:r>
                </w:p>
              </w:tc>
              <w:tc>
                <w:tcPr>
                  <w:tcW w:w="803" w:type="dxa"/>
                  <w:vAlign w:val="center"/>
                </w:tcPr>
                <w:p w14:paraId="185A5296">
                  <w:pPr>
                    <w:autoSpaceDE w:val="0"/>
                    <w:autoSpaceDN w:val="0"/>
                    <w:adjustRightInd w:val="0"/>
                    <w:snapToGrid w:val="0"/>
                    <w:spacing w:line="240" w:lineRule="auto"/>
                    <w:jc w:val="center"/>
                    <w:rPr>
                      <w:color w:val="auto"/>
                      <w:sz w:val="21"/>
                      <w:szCs w:val="21"/>
                      <w:vertAlign w:val="baseline"/>
                    </w:rPr>
                  </w:pPr>
                  <w:r>
                    <w:rPr>
                      <w:rFonts w:hint="eastAsia"/>
                      <w:color w:val="auto"/>
                      <w:sz w:val="21"/>
                      <w:szCs w:val="21"/>
                      <w:vertAlign w:val="baseline"/>
                      <w:lang w:val="en-US" w:eastAsia="zh-CN"/>
                    </w:rPr>
                    <w:t>符合</w:t>
                  </w:r>
                </w:p>
              </w:tc>
            </w:tr>
            <w:tr w14:paraId="1B29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trPr>
              <w:tc>
                <w:tcPr>
                  <w:tcW w:w="705" w:type="dxa"/>
                  <w:vAlign w:val="center"/>
                </w:tcPr>
                <w:p w14:paraId="564E6050">
                  <w:pPr>
                    <w:autoSpaceDE w:val="0"/>
                    <w:autoSpaceDN w:val="0"/>
                    <w:adjustRightInd w:val="0"/>
                    <w:snapToGrid w:val="0"/>
                    <w:spacing w:line="240" w:lineRule="auto"/>
                    <w:jc w:val="center"/>
                    <w:rPr>
                      <w:color w:val="auto"/>
                      <w:sz w:val="21"/>
                      <w:szCs w:val="21"/>
                      <w:vertAlign w:val="baseline"/>
                    </w:rPr>
                  </w:pPr>
                  <w:r>
                    <w:rPr>
                      <w:rFonts w:hint="eastAsia"/>
                      <w:color w:val="auto"/>
                      <w:sz w:val="21"/>
                      <w:szCs w:val="21"/>
                      <w:vertAlign w:val="baseline"/>
                    </w:rPr>
                    <w:t>资源开发效率要求</w:t>
                  </w:r>
                </w:p>
              </w:tc>
              <w:tc>
                <w:tcPr>
                  <w:tcW w:w="3282" w:type="dxa"/>
                  <w:vAlign w:val="center"/>
                </w:tcPr>
                <w:p w14:paraId="5251F8FB">
                  <w:pPr>
                    <w:autoSpaceDE w:val="0"/>
                    <w:autoSpaceDN w:val="0"/>
                    <w:adjustRightInd w:val="0"/>
                    <w:snapToGrid w:val="0"/>
                    <w:spacing w:line="240" w:lineRule="auto"/>
                    <w:jc w:val="both"/>
                    <w:rPr>
                      <w:color w:val="auto"/>
                      <w:sz w:val="21"/>
                      <w:szCs w:val="21"/>
                      <w:vertAlign w:val="baseline"/>
                    </w:rPr>
                  </w:pPr>
                  <w:r>
                    <w:rPr>
                      <w:rFonts w:hint="eastAsia"/>
                      <w:color w:val="auto"/>
                      <w:sz w:val="21"/>
                      <w:szCs w:val="21"/>
                      <w:vertAlign w:val="baseline"/>
                    </w:rPr>
                    <w:t>安定片区工业区污水重复利用率不低于50%，甘庄—干坝片区的工业区污水循环利用率不低于80%，江东片区的工业区污水重复利用率不低于30%。</w:t>
                  </w:r>
                </w:p>
              </w:tc>
              <w:tc>
                <w:tcPr>
                  <w:tcW w:w="2468" w:type="dxa"/>
                  <w:vAlign w:val="center"/>
                </w:tcPr>
                <w:p w14:paraId="0FBB42E4">
                  <w:pPr>
                    <w:autoSpaceDE w:val="0"/>
                    <w:autoSpaceDN w:val="0"/>
                    <w:adjustRightInd w:val="0"/>
                    <w:snapToGrid w:val="0"/>
                    <w:spacing w:line="240" w:lineRule="auto"/>
                    <w:jc w:val="center"/>
                    <w:rPr>
                      <w:color w:val="auto"/>
                      <w:sz w:val="21"/>
                      <w:szCs w:val="21"/>
                      <w:highlight w:val="yellow"/>
                      <w:vertAlign w:val="baseline"/>
                    </w:rPr>
                  </w:pPr>
                  <w:r>
                    <w:rPr>
                      <w:color w:val="auto"/>
                      <w:szCs w:val="21"/>
                      <w:highlight w:val="none"/>
                    </w:rPr>
                    <w:t>本项目</w:t>
                  </w:r>
                  <w:r>
                    <w:rPr>
                      <w:rFonts w:hint="eastAsia"/>
                      <w:color w:val="auto"/>
                      <w:szCs w:val="21"/>
                      <w:highlight w:val="none"/>
                      <w:lang w:val="en-US" w:eastAsia="zh-CN"/>
                    </w:rPr>
                    <w:t>为</w:t>
                  </w:r>
                  <w:r>
                    <w:rPr>
                      <w:rFonts w:hint="default" w:ascii="Times New Roman" w:hAnsi="Times New Roman" w:cs="Times New Roman"/>
                      <w:color w:val="auto"/>
                      <w:sz w:val="21"/>
                      <w:szCs w:val="21"/>
                      <w:highlight w:val="none"/>
                    </w:rPr>
                    <w:t>速冻果蔬食品技改项目</w:t>
                  </w:r>
                  <w:r>
                    <w:rPr>
                      <w:rFonts w:hint="eastAsia"/>
                      <w:color w:val="auto"/>
                      <w:kern w:val="2"/>
                      <w:sz w:val="21"/>
                      <w:szCs w:val="21"/>
                      <w:highlight w:val="none"/>
                      <w:lang w:val="en-US" w:eastAsia="zh-CN"/>
                    </w:rPr>
                    <w:t>，为食品加工项目，对水质要求较高，项目仅利用纯水制备系统产生的浓水用于第一道、第二道水果清洗，其他废水经妥善处置后</w:t>
                  </w:r>
                  <w:r>
                    <w:rPr>
                      <w:rFonts w:hint="eastAsia"/>
                      <w:color w:val="auto"/>
                      <w:szCs w:val="21"/>
                      <w:highlight w:val="none"/>
                      <w:lang w:val="en-US" w:eastAsia="zh-CN"/>
                    </w:rPr>
                    <w:t>排至</w:t>
                  </w:r>
                  <w:r>
                    <w:rPr>
                      <w:rFonts w:hint="eastAsia" w:ascii="Times New Roman" w:hAnsi="Times New Roman" w:eastAsia="宋体" w:cs="Times New Roman"/>
                      <w:color w:val="auto"/>
                      <w:szCs w:val="21"/>
                      <w:highlight w:val="none"/>
                      <w:lang w:val="en-US" w:eastAsia="zh-CN"/>
                    </w:rPr>
                    <w:t>元江工业园区MBR膜一体化300m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/d过渡式污水处理站处理。</w:t>
                  </w:r>
                </w:p>
              </w:tc>
              <w:tc>
                <w:tcPr>
                  <w:tcW w:w="803" w:type="dxa"/>
                  <w:vAlign w:val="center"/>
                </w:tcPr>
                <w:p w14:paraId="2BF83630">
                  <w:pPr>
                    <w:autoSpaceDE w:val="0"/>
                    <w:autoSpaceDN w:val="0"/>
                    <w:adjustRightInd w:val="0"/>
                    <w:snapToGrid w:val="0"/>
                    <w:spacing w:line="240" w:lineRule="auto"/>
                    <w:jc w:val="center"/>
                    <w:rPr>
                      <w:color w:val="auto"/>
                      <w:sz w:val="21"/>
                      <w:szCs w:val="21"/>
                      <w:vertAlign w:val="baseline"/>
                    </w:rPr>
                  </w:pPr>
                  <w:r>
                    <w:rPr>
                      <w:rFonts w:hint="eastAsia"/>
                      <w:color w:val="auto"/>
                      <w:sz w:val="21"/>
                      <w:szCs w:val="21"/>
                      <w:vertAlign w:val="baseline"/>
                      <w:lang w:val="en-US" w:eastAsia="zh-CN"/>
                    </w:rPr>
                    <w:t>符合</w:t>
                  </w:r>
                </w:p>
              </w:tc>
            </w:tr>
          </w:tbl>
          <w:p w14:paraId="2C3531A1">
            <w:pPr>
              <w:adjustRightInd w:val="0"/>
              <w:snapToGrid w:val="0"/>
              <w:spacing w:line="360" w:lineRule="auto"/>
              <w:ind w:firstLine="480" w:firstLineChars="200"/>
              <w:jc w:val="left"/>
              <w:rPr>
                <w:rFonts w:hint="eastAsia"/>
                <w:b w:val="0"/>
                <w:bCs w:val="0"/>
                <w:color w:val="auto"/>
                <w:sz w:val="24"/>
                <w:szCs w:val="24"/>
              </w:rPr>
            </w:pPr>
            <w:r>
              <w:rPr>
                <w:rFonts w:hint="eastAsia"/>
                <w:b w:val="0"/>
                <w:bCs w:val="0"/>
                <w:color w:val="auto"/>
                <w:sz w:val="24"/>
                <w:szCs w:val="24"/>
              </w:rPr>
              <w:t>综上，本项目符合《玉溪市生态环境局关于印发玉溪市生态环境分区管控动态更新调整方案（2023年</w:t>
            </w:r>
            <w:r>
              <w:rPr>
                <w:rFonts w:hint="eastAsia"/>
                <w:b w:val="0"/>
                <w:bCs w:val="0"/>
                <w:color w:val="auto"/>
                <w:sz w:val="24"/>
                <w:szCs w:val="24"/>
                <w:lang w:eastAsia="zh-CN"/>
              </w:rPr>
              <w:t>）</w:t>
            </w:r>
            <w:r>
              <w:rPr>
                <w:rFonts w:hint="eastAsia"/>
                <w:b w:val="0"/>
                <w:bCs w:val="0"/>
                <w:color w:val="auto"/>
                <w:sz w:val="24"/>
                <w:szCs w:val="24"/>
              </w:rPr>
              <w:t>的通知》（玉市环〔2024〕40号）中相关要求。</w:t>
            </w:r>
          </w:p>
          <w:p w14:paraId="461764C4">
            <w:pPr>
              <w:autoSpaceDE w:val="0"/>
              <w:autoSpaceDN w:val="0"/>
              <w:adjustRightInd w:val="0"/>
              <w:snapToGrid w:val="0"/>
              <w:spacing w:line="360" w:lineRule="auto"/>
              <w:rPr>
                <w:rFonts w:hint="eastAsia"/>
                <w:b/>
                <w:bCs/>
                <w:color w:val="auto"/>
                <w:sz w:val="21"/>
                <w:szCs w:val="21"/>
                <w:highlight w:val="none"/>
              </w:rPr>
            </w:pPr>
            <w:r>
              <w:rPr>
                <w:rFonts w:hint="eastAsia"/>
                <w:b/>
                <w:color w:val="auto"/>
                <w:kern w:val="0"/>
                <w:sz w:val="24"/>
                <w:szCs w:val="24"/>
                <w:highlight w:val="none"/>
              </w:rPr>
              <w:t>3、与《中华人民共和国大气污染防治法》</w:t>
            </w:r>
            <w:r>
              <w:rPr>
                <w:rFonts w:hint="eastAsia"/>
                <w:b/>
                <w:color w:val="auto"/>
                <w:kern w:val="0"/>
                <w:sz w:val="24"/>
                <w:szCs w:val="24"/>
                <w:highlight w:val="none"/>
                <w:lang w:val="en-US" w:eastAsia="zh-CN"/>
              </w:rPr>
              <w:t>的</w:t>
            </w:r>
            <w:r>
              <w:rPr>
                <w:rFonts w:hint="eastAsia"/>
                <w:b/>
                <w:color w:val="auto"/>
                <w:kern w:val="0"/>
                <w:sz w:val="24"/>
                <w:szCs w:val="24"/>
                <w:highlight w:val="none"/>
              </w:rPr>
              <w:t>符合性分析</w:t>
            </w:r>
          </w:p>
          <w:p w14:paraId="35E7086B">
            <w:pPr>
              <w:adjustRightInd w:val="0"/>
              <w:snapToGrid w:val="0"/>
              <w:spacing w:line="360" w:lineRule="auto"/>
              <w:ind w:firstLine="480" w:firstLineChars="200"/>
              <w:jc w:val="left"/>
              <w:rPr>
                <w:rFonts w:hint="default"/>
                <w:b w:val="0"/>
                <w:bCs w:val="0"/>
                <w:color w:val="auto"/>
                <w:sz w:val="24"/>
                <w:szCs w:val="24"/>
                <w:lang w:val="en-US" w:eastAsia="zh-CN"/>
              </w:rPr>
            </w:pPr>
            <w:r>
              <w:rPr>
                <w:rFonts w:hint="eastAsia"/>
                <w:b w:val="0"/>
                <w:bCs w:val="0"/>
                <w:color w:val="auto"/>
                <w:sz w:val="24"/>
                <w:szCs w:val="24"/>
              </w:rPr>
              <w:t>项目</w:t>
            </w:r>
            <w:r>
              <w:rPr>
                <w:rFonts w:hint="eastAsia"/>
                <w:b w:val="0"/>
                <w:bCs w:val="0"/>
                <w:color w:val="auto"/>
                <w:sz w:val="24"/>
                <w:szCs w:val="24"/>
                <w:lang w:val="en-US" w:eastAsia="zh-CN"/>
              </w:rPr>
              <w:t>与</w:t>
            </w:r>
            <w:r>
              <w:rPr>
                <w:rFonts w:hint="eastAsia"/>
                <w:b w:val="0"/>
                <w:bCs w:val="0"/>
                <w:color w:val="auto"/>
                <w:sz w:val="24"/>
                <w:szCs w:val="24"/>
              </w:rPr>
              <w:t>《中华人民共和国大气污染防治法》符合性分析</w:t>
            </w:r>
            <w:r>
              <w:rPr>
                <w:rFonts w:hint="eastAsia"/>
                <w:b w:val="0"/>
                <w:bCs w:val="0"/>
                <w:color w:val="auto"/>
                <w:sz w:val="24"/>
                <w:szCs w:val="24"/>
                <w:lang w:val="en-US" w:eastAsia="zh-CN"/>
              </w:rPr>
              <w:t>下表所示。</w:t>
            </w:r>
          </w:p>
          <w:p w14:paraId="338A6EFD">
            <w:pPr>
              <w:autoSpaceDE w:val="0"/>
              <w:autoSpaceDN w:val="0"/>
              <w:adjustRightInd w:val="0"/>
              <w:snapToGrid w:val="0"/>
              <w:spacing w:line="240" w:lineRule="auto"/>
              <w:jc w:val="center"/>
              <w:rPr>
                <w:rFonts w:hint="default" w:eastAsia="宋体"/>
                <w:b/>
                <w:bCs/>
                <w:color w:val="auto"/>
                <w:sz w:val="21"/>
                <w:szCs w:val="21"/>
                <w:lang w:val="en-US" w:eastAsia="zh-CN"/>
              </w:rPr>
            </w:pPr>
            <w:r>
              <w:rPr>
                <w:rFonts w:hint="eastAsia"/>
                <w:b/>
                <w:bCs/>
                <w:color w:val="auto"/>
                <w:sz w:val="21"/>
                <w:szCs w:val="21"/>
                <w:lang w:val="en-US" w:eastAsia="zh-CN"/>
              </w:rPr>
              <w:t>表1-4 项目与</w:t>
            </w:r>
            <w:r>
              <w:rPr>
                <w:rFonts w:hint="eastAsia"/>
                <w:b/>
                <w:color w:val="auto"/>
                <w:kern w:val="0"/>
                <w:sz w:val="21"/>
                <w:szCs w:val="21"/>
                <w:highlight w:val="none"/>
              </w:rPr>
              <w:t>《中华人民共和国大气污染防治法》</w:t>
            </w:r>
            <w:r>
              <w:rPr>
                <w:rFonts w:hint="eastAsia"/>
                <w:b/>
                <w:bCs/>
                <w:color w:val="auto"/>
                <w:sz w:val="21"/>
                <w:szCs w:val="21"/>
                <w:lang w:val="en-US" w:eastAsia="zh-CN"/>
              </w:rPr>
              <w:t>符合性分析一览表</w:t>
            </w:r>
          </w:p>
          <w:tbl>
            <w:tblPr>
              <w:tblStyle w:val="23"/>
              <w:tblW w:w="7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7"/>
              <w:gridCol w:w="3062"/>
              <w:gridCol w:w="881"/>
            </w:tblGrid>
            <w:tr w14:paraId="286C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7" w:type="dxa"/>
                  <w:vAlign w:val="center"/>
                </w:tcPr>
                <w:p w14:paraId="3D2A3B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相关要求</w:t>
                  </w:r>
                </w:p>
              </w:tc>
              <w:tc>
                <w:tcPr>
                  <w:tcW w:w="3062" w:type="dxa"/>
                  <w:vAlign w:val="center"/>
                </w:tcPr>
                <w:p w14:paraId="77FBCF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本项目</w:t>
                  </w:r>
                </w:p>
              </w:tc>
              <w:tc>
                <w:tcPr>
                  <w:tcW w:w="881" w:type="dxa"/>
                  <w:vAlign w:val="center"/>
                </w:tcPr>
                <w:p w14:paraId="701480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符合性</w:t>
                  </w:r>
                </w:p>
              </w:tc>
            </w:tr>
            <w:tr w14:paraId="7ABE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0" w:type="dxa"/>
                  <w:gridSpan w:val="3"/>
                  <w:vAlign w:val="center"/>
                </w:tcPr>
                <w:p w14:paraId="7C0988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总则</w:t>
                  </w:r>
                </w:p>
              </w:tc>
            </w:tr>
            <w:tr w14:paraId="3CFE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97" w:type="dxa"/>
                  <w:vAlign w:val="center"/>
                </w:tcPr>
                <w:p w14:paraId="7F3530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rPr>
                  </w:pPr>
                  <w:r>
                    <w:rPr>
                      <w:rFonts w:hint="eastAsia"/>
                      <w:b w:val="0"/>
                      <w:bCs w:val="0"/>
                      <w:color w:val="auto"/>
                      <w:sz w:val="21"/>
                      <w:szCs w:val="21"/>
                      <w:vertAlign w:val="baseline"/>
                    </w:rPr>
                    <w:t>企业事业单位和其他生产经营者应当采取有效措施，防止、减少大气污染，对所造成的损害依法承担责任。</w:t>
                  </w:r>
                </w:p>
              </w:tc>
              <w:tc>
                <w:tcPr>
                  <w:tcW w:w="3062" w:type="dxa"/>
                  <w:vAlign w:val="center"/>
                </w:tcPr>
                <w:p w14:paraId="05BD8D20">
                  <w:pPr>
                    <w:spacing w:beforeLines="0" w:afterLines="0"/>
                    <w:jc w:val="left"/>
                    <w:rPr>
                      <w:rFonts w:hint="eastAsia"/>
                      <w:b w:val="0"/>
                      <w:bCs w:val="0"/>
                      <w:color w:val="auto"/>
                      <w:sz w:val="21"/>
                      <w:szCs w:val="21"/>
                      <w:vertAlign w:val="baseline"/>
                    </w:rPr>
                  </w:pPr>
                  <w:r>
                    <w:rPr>
                      <w:rFonts w:hint="eastAsia" w:ascii="宋体" w:hAnsi="宋体" w:eastAsia="宋体"/>
                      <w:color w:val="auto"/>
                      <w:sz w:val="21"/>
                      <w:szCs w:val="24"/>
                    </w:rPr>
                    <w:t>项目产生的锅炉废气经采取“旋风除尘</w:t>
                  </w:r>
                  <w:r>
                    <w:rPr>
                      <w:rFonts w:hint="eastAsia" w:ascii="TimesNewRomanPSMT" w:hAnsi="TimesNewRomanPSMT" w:eastAsia="TimesNewRomanPSMT"/>
                      <w:color w:val="auto"/>
                      <w:sz w:val="21"/>
                      <w:szCs w:val="24"/>
                    </w:rPr>
                    <w:t>+</w:t>
                  </w:r>
                  <w:r>
                    <w:rPr>
                      <w:rFonts w:hint="eastAsia" w:ascii="宋体" w:hAnsi="宋体" w:eastAsia="宋体"/>
                      <w:color w:val="auto"/>
                      <w:sz w:val="21"/>
                      <w:szCs w:val="24"/>
                    </w:rPr>
                    <w:t>多管旋风除尘</w:t>
                  </w:r>
                  <w:r>
                    <w:rPr>
                      <w:rFonts w:hint="eastAsia" w:ascii="TimesNewRomanPSMT" w:hAnsi="TimesNewRomanPSMT" w:eastAsia="TimesNewRomanPSMT"/>
                      <w:color w:val="auto"/>
                      <w:sz w:val="21"/>
                      <w:szCs w:val="24"/>
                    </w:rPr>
                    <w:t>+</w:t>
                  </w:r>
                  <w:r>
                    <w:rPr>
                      <w:rFonts w:hint="eastAsia" w:ascii="宋体" w:hAnsi="宋体" w:eastAsia="宋体"/>
                      <w:color w:val="auto"/>
                      <w:sz w:val="21"/>
                      <w:szCs w:val="24"/>
                    </w:rPr>
                    <w:t>布袋除尘器”处理后由</w:t>
                  </w:r>
                  <w:r>
                    <w:rPr>
                      <w:rFonts w:hint="eastAsia" w:ascii="TimesNewRomanPSMT" w:hAnsi="TimesNewRomanPSMT" w:eastAsia="TimesNewRomanPSMT"/>
                      <w:color w:val="auto"/>
                      <w:sz w:val="21"/>
                      <w:szCs w:val="24"/>
                    </w:rPr>
                    <w:t>1</w:t>
                  </w:r>
                  <w:r>
                    <w:rPr>
                      <w:rFonts w:hint="eastAsia" w:ascii="宋体" w:hAnsi="宋体" w:eastAsia="宋体"/>
                      <w:color w:val="auto"/>
                      <w:sz w:val="21"/>
                      <w:szCs w:val="24"/>
                    </w:rPr>
                    <w:t>根</w:t>
                  </w:r>
                  <w:r>
                    <w:rPr>
                      <w:rFonts w:hint="eastAsia" w:ascii="TimesNewRomanPSMT" w:hAnsi="TimesNewRomanPSMT" w:eastAsia="宋体"/>
                      <w:color w:val="auto"/>
                      <w:sz w:val="21"/>
                      <w:szCs w:val="24"/>
                      <w:lang w:val="en-US" w:eastAsia="zh-CN"/>
                    </w:rPr>
                    <w:t>30</w:t>
                  </w:r>
                  <w:r>
                    <w:rPr>
                      <w:rFonts w:hint="eastAsia" w:ascii="TimesNewRomanPSMT" w:hAnsi="TimesNewRomanPSMT" w:eastAsia="TimesNewRomanPSMT"/>
                      <w:color w:val="auto"/>
                      <w:sz w:val="21"/>
                      <w:szCs w:val="24"/>
                    </w:rPr>
                    <w:t>m</w:t>
                  </w:r>
                  <w:r>
                    <w:rPr>
                      <w:rFonts w:hint="eastAsia" w:ascii="宋体" w:hAnsi="宋体" w:eastAsia="宋体"/>
                      <w:color w:val="auto"/>
                      <w:sz w:val="21"/>
                      <w:szCs w:val="24"/>
                    </w:rPr>
                    <w:t>高排气筒（</w:t>
                  </w:r>
                  <w:r>
                    <w:rPr>
                      <w:rFonts w:hint="eastAsia" w:ascii="TimesNewRomanPSMT" w:hAnsi="TimesNewRomanPSMT" w:eastAsia="TimesNewRomanPSMT"/>
                      <w:color w:val="auto"/>
                      <w:sz w:val="21"/>
                      <w:szCs w:val="24"/>
                    </w:rPr>
                    <w:t>DA001</w:t>
                  </w:r>
                  <w:r>
                    <w:rPr>
                      <w:rFonts w:hint="eastAsia" w:ascii="宋体" w:hAnsi="宋体" w:eastAsia="宋体"/>
                      <w:color w:val="auto"/>
                      <w:sz w:val="21"/>
                      <w:szCs w:val="24"/>
                    </w:rPr>
                    <w:t>）外排，能够达到《锅炉大气污染物排放标准》（</w:t>
                  </w:r>
                  <w:r>
                    <w:rPr>
                      <w:rFonts w:hint="eastAsia" w:ascii="TimesNewRomanPSMT" w:hAnsi="TimesNewRomanPSMT" w:eastAsia="TimesNewRomanPSMT"/>
                      <w:color w:val="auto"/>
                      <w:sz w:val="21"/>
                      <w:szCs w:val="24"/>
                    </w:rPr>
                    <w:t>GB13271-2014</w:t>
                  </w:r>
                  <w:r>
                    <w:rPr>
                      <w:rFonts w:hint="eastAsia" w:ascii="宋体" w:hAnsi="宋体" w:eastAsia="宋体"/>
                      <w:color w:val="auto"/>
                      <w:sz w:val="21"/>
                      <w:szCs w:val="24"/>
                    </w:rPr>
                    <w:t>）中新建</w:t>
                  </w:r>
                  <w:r>
                    <w:rPr>
                      <w:rFonts w:hint="eastAsia" w:ascii="宋体" w:hAnsi="宋体"/>
                      <w:color w:val="auto"/>
                      <w:sz w:val="21"/>
                      <w:szCs w:val="24"/>
                      <w:lang w:val="en-US" w:eastAsia="zh-CN"/>
                    </w:rPr>
                    <w:t>燃煤</w:t>
                  </w:r>
                  <w:r>
                    <w:rPr>
                      <w:rFonts w:hint="eastAsia" w:ascii="宋体" w:hAnsi="宋体" w:eastAsia="宋体"/>
                      <w:color w:val="auto"/>
                      <w:sz w:val="21"/>
                      <w:szCs w:val="24"/>
                    </w:rPr>
                    <w:t>锅炉大气污染物排放限值。项目运营期废气均能够实现达标排放，不会改变区域环境空气质量功能。</w:t>
                  </w:r>
                </w:p>
              </w:tc>
              <w:tc>
                <w:tcPr>
                  <w:tcW w:w="881" w:type="dxa"/>
                  <w:vAlign w:val="center"/>
                </w:tcPr>
                <w:p w14:paraId="7E32FB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符合</w:t>
                  </w:r>
                </w:p>
              </w:tc>
            </w:tr>
            <w:tr w14:paraId="6E2A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0" w:type="dxa"/>
                  <w:gridSpan w:val="3"/>
                  <w:vAlign w:val="center"/>
                </w:tcPr>
                <w:p w14:paraId="69E2F1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rPr>
                  </w:pPr>
                  <w:r>
                    <w:rPr>
                      <w:rFonts w:hint="eastAsia" w:ascii="宋体" w:hAnsi="宋体" w:eastAsia="宋体"/>
                      <w:color w:val="auto"/>
                      <w:sz w:val="21"/>
                      <w:szCs w:val="24"/>
                    </w:rPr>
                    <w:t>大气污染防治的监督管理</w:t>
                  </w:r>
                </w:p>
              </w:tc>
            </w:tr>
            <w:tr w14:paraId="0AAA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7" w:type="dxa"/>
                  <w:vAlign w:val="center"/>
                </w:tcPr>
                <w:p w14:paraId="1050B5F6">
                  <w:pPr>
                    <w:spacing w:beforeLines="0" w:afterLines="0"/>
                    <w:jc w:val="left"/>
                    <w:rPr>
                      <w:rFonts w:hint="eastAsia"/>
                      <w:b w:val="0"/>
                      <w:bCs w:val="0"/>
                      <w:color w:val="auto"/>
                      <w:sz w:val="21"/>
                      <w:szCs w:val="21"/>
                      <w:vertAlign w:val="baseline"/>
                    </w:rPr>
                  </w:pPr>
                  <w:r>
                    <w:rPr>
                      <w:rFonts w:hint="eastAsia" w:ascii="宋体" w:hAnsi="宋体" w:eastAsia="宋体"/>
                      <w:color w:val="auto"/>
                      <w:sz w:val="21"/>
                      <w:szCs w:val="24"/>
                    </w:rPr>
                    <w:t>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3062" w:type="dxa"/>
                  <w:vAlign w:val="center"/>
                </w:tcPr>
                <w:p w14:paraId="5734829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b w:val="0"/>
                      <w:bCs w:val="0"/>
                      <w:color w:val="auto"/>
                      <w:sz w:val="21"/>
                      <w:szCs w:val="21"/>
                      <w:vertAlign w:val="baseline"/>
                    </w:rPr>
                  </w:pPr>
                  <w:r>
                    <w:rPr>
                      <w:rFonts w:hint="eastAsia"/>
                      <w:b w:val="0"/>
                      <w:bCs w:val="0"/>
                      <w:color w:val="auto"/>
                      <w:sz w:val="21"/>
                      <w:szCs w:val="21"/>
                      <w:vertAlign w:val="baseline"/>
                    </w:rPr>
                    <w:t>本项目依法进行环境影响评价、公开环境影响评价文件。</w:t>
                  </w:r>
                  <w:r>
                    <w:rPr>
                      <w:rFonts w:hint="eastAsia" w:ascii="宋体" w:hAnsi="宋体" w:eastAsia="宋体"/>
                      <w:color w:val="auto"/>
                      <w:sz w:val="21"/>
                      <w:szCs w:val="24"/>
                    </w:rPr>
                    <w:t>项目产生的锅炉废气经采取“多管旋风除尘</w:t>
                  </w:r>
                  <w:r>
                    <w:rPr>
                      <w:rFonts w:hint="eastAsia" w:ascii="TimesNewRomanPSMT" w:hAnsi="TimesNewRomanPSMT" w:eastAsia="TimesNewRomanPSMT"/>
                      <w:color w:val="auto"/>
                      <w:sz w:val="21"/>
                      <w:szCs w:val="24"/>
                    </w:rPr>
                    <w:t>+</w:t>
                  </w:r>
                  <w:r>
                    <w:rPr>
                      <w:rFonts w:hint="eastAsia" w:ascii="宋体" w:hAnsi="宋体" w:eastAsia="宋体"/>
                      <w:color w:val="auto"/>
                      <w:sz w:val="21"/>
                      <w:szCs w:val="24"/>
                    </w:rPr>
                    <w:t>布袋除尘器”处理后由</w:t>
                  </w:r>
                  <w:r>
                    <w:rPr>
                      <w:rFonts w:hint="eastAsia" w:ascii="TimesNewRomanPSMT" w:hAnsi="TimesNewRomanPSMT" w:eastAsia="TimesNewRomanPSMT"/>
                      <w:color w:val="auto"/>
                      <w:sz w:val="21"/>
                      <w:szCs w:val="24"/>
                    </w:rPr>
                    <w:t>1</w:t>
                  </w:r>
                  <w:r>
                    <w:rPr>
                      <w:rFonts w:hint="eastAsia" w:ascii="宋体" w:hAnsi="宋体" w:eastAsia="宋体"/>
                      <w:color w:val="auto"/>
                      <w:sz w:val="21"/>
                      <w:szCs w:val="24"/>
                    </w:rPr>
                    <w:t>根</w:t>
                  </w:r>
                  <w:r>
                    <w:rPr>
                      <w:rFonts w:hint="eastAsia" w:ascii="TimesNewRomanPSMT" w:hAnsi="TimesNewRomanPSMT" w:eastAsia="宋体"/>
                      <w:color w:val="auto"/>
                      <w:sz w:val="21"/>
                      <w:szCs w:val="24"/>
                      <w:lang w:val="en-US" w:eastAsia="zh-CN"/>
                    </w:rPr>
                    <w:t>30</w:t>
                  </w:r>
                  <w:r>
                    <w:rPr>
                      <w:rFonts w:hint="eastAsia" w:ascii="TimesNewRomanPSMT" w:hAnsi="TimesNewRomanPSMT" w:eastAsia="TimesNewRomanPSMT"/>
                      <w:color w:val="auto"/>
                      <w:sz w:val="21"/>
                      <w:szCs w:val="24"/>
                    </w:rPr>
                    <w:t>m</w:t>
                  </w:r>
                  <w:r>
                    <w:rPr>
                      <w:rFonts w:hint="eastAsia" w:ascii="宋体" w:hAnsi="宋体" w:eastAsia="宋体"/>
                      <w:color w:val="auto"/>
                      <w:sz w:val="21"/>
                      <w:szCs w:val="24"/>
                    </w:rPr>
                    <w:t>高排气筒（</w:t>
                  </w:r>
                  <w:r>
                    <w:rPr>
                      <w:rFonts w:hint="eastAsia" w:ascii="TimesNewRomanPSMT" w:hAnsi="TimesNewRomanPSMT" w:eastAsia="TimesNewRomanPSMT"/>
                      <w:color w:val="auto"/>
                      <w:sz w:val="21"/>
                      <w:szCs w:val="24"/>
                    </w:rPr>
                    <w:t>DA001</w:t>
                  </w:r>
                  <w:r>
                    <w:rPr>
                      <w:rFonts w:hint="eastAsia" w:ascii="宋体" w:hAnsi="宋体" w:eastAsia="宋体"/>
                      <w:color w:val="auto"/>
                      <w:sz w:val="21"/>
                      <w:szCs w:val="24"/>
                    </w:rPr>
                    <w:t>）外排，能够达到《锅炉大气污染物排放标准》（</w:t>
                  </w:r>
                  <w:r>
                    <w:rPr>
                      <w:rFonts w:hint="eastAsia" w:ascii="TimesNewRomanPSMT" w:hAnsi="TimesNewRomanPSMT" w:eastAsia="TimesNewRomanPSMT"/>
                      <w:color w:val="auto"/>
                      <w:sz w:val="21"/>
                      <w:szCs w:val="24"/>
                    </w:rPr>
                    <w:t>GB13271-2014</w:t>
                  </w:r>
                  <w:r>
                    <w:rPr>
                      <w:rFonts w:hint="eastAsia" w:ascii="宋体" w:hAnsi="宋体" w:eastAsia="宋体"/>
                      <w:color w:val="auto"/>
                      <w:sz w:val="21"/>
                      <w:szCs w:val="24"/>
                    </w:rPr>
                    <w:t>）中新建</w:t>
                  </w:r>
                  <w:r>
                    <w:rPr>
                      <w:rFonts w:hint="eastAsia" w:ascii="宋体" w:hAnsi="宋体"/>
                      <w:color w:val="auto"/>
                      <w:sz w:val="21"/>
                      <w:szCs w:val="24"/>
                      <w:lang w:val="en-US" w:eastAsia="zh-CN"/>
                    </w:rPr>
                    <w:t>燃煤</w:t>
                  </w:r>
                  <w:r>
                    <w:rPr>
                      <w:rFonts w:hint="eastAsia" w:ascii="宋体" w:hAnsi="宋体" w:eastAsia="宋体"/>
                      <w:color w:val="auto"/>
                      <w:sz w:val="21"/>
                      <w:szCs w:val="24"/>
                    </w:rPr>
                    <w:t>锅炉大气污染物排放限值。</w:t>
                  </w:r>
                </w:p>
              </w:tc>
              <w:tc>
                <w:tcPr>
                  <w:tcW w:w="881" w:type="dxa"/>
                  <w:vAlign w:val="center"/>
                </w:tcPr>
                <w:p w14:paraId="42C84F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rPr>
                  </w:pPr>
                  <w:r>
                    <w:rPr>
                      <w:rFonts w:hint="eastAsia"/>
                      <w:b w:val="0"/>
                      <w:bCs w:val="0"/>
                      <w:color w:val="auto"/>
                      <w:sz w:val="21"/>
                      <w:szCs w:val="21"/>
                      <w:vertAlign w:val="baseline"/>
                      <w:lang w:val="en-US" w:eastAsia="zh-CN"/>
                    </w:rPr>
                    <w:t>符合</w:t>
                  </w:r>
                </w:p>
              </w:tc>
            </w:tr>
            <w:tr w14:paraId="39BFD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97" w:type="dxa"/>
                  <w:vAlign w:val="center"/>
                </w:tcPr>
                <w:p w14:paraId="0909A87C">
                  <w:pPr>
                    <w:spacing w:beforeLines="0" w:afterLines="0"/>
                    <w:jc w:val="left"/>
                    <w:rPr>
                      <w:rFonts w:hint="eastAsia"/>
                      <w:b w:val="0"/>
                      <w:bCs w:val="0"/>
                      <w:color w:val="auto"/>
                      <w:sz w:val="21"/>
                      <w:szCs w:val="21"/>
                      <w:vertAlign w:val="baseline"/>
                    </w:rPr>
                  </w:pPr>
                  <w:r>
                    <w:rPr>
                      <w:rFonts w:hint="eastAsia" w:ascii="宋体" w:hAnsi="宋体" w:eastAsia="宋体"/>
                      <w:color w:val="auto"/>
                      <w:sz w:val="21"/>
                      <w:szCs w:val="24"/>
                    </w:rPr>
                    <w:t>排放工业废气或者本法第七十八条规定名录中所列有毒有害大气污染物的企业事业单位、集中供热设施的燃煤热源生产运营单位以及其他依法实行排污许可管理的单位，应当取得排污许可证。</w:t>
                  </w:r>
                </w:p>
              </w:tc>
              <w:tc>
                <w:tcPr>
                  <w:tcW w:w="3062" w:type="dxa"/>
                  <w:vAlign w:val="center"/>
                </w:tcPr>
                <w:p w14:paraId="0D1D49AA">
                  <w:pPr>
                    <w:spacing w:beforeLines="0" w:afterLines="0"/>
                    <w:jc w:val="left"/>
                    <w:rPr>
                      <w:rFonts w:hint="eastAsia"/>
                      <w:b w:val="0"/>
                      <w:bCs w:val="0"/>
                      <w:color w:val="auto"/>
                      <w:sz w:val="21"/>
                      <w:szCs w:val="21"/>
                      <w:vertAlign w:val="baseline"/>
                    </w:rPr>
                  </w:pPr>
                  <w:r>
                    <w:rPr>
                      <w:rFonts w:hint="eastAsia" w:ascii="宋体" w:hAnsi="宋体" w:eastAsia="宋体"/>
                      <w:color w:val="auto"/>
                      <w:sz w:val="21"/>
                      <w:szCs w:val="24"/>
                    </w:rPr>
                    <w:t>本项目在启动生产设施或者发生实际排污之前，向玉溪市生态环境局申请</w:t>
                  </w:r>
                  <w:r>
                    <w:rPr>
                      <w:rFonts w:hint="eastAsia" w:ascii="宋体" w:hAnsi="宋体"/>
                      <w:color w:val="auto"/>
                      <w:sz w:val="21"/>
                      <w:szCs w:val="24"/>
                      <w:lang w:val="en-US" w:eastAsia="zh-CN"/>
                    </w:rPr>
                    <w:t>变更</w:t>
                  </w:r>
                  <w:r>
                    <w:rPr>
                      <w:rFonts w:hint="eastAsia" w:ascii="宋体" w:hAnsi="宋体" w:eastAsia="宋体"/>
                      <w:color w:val="auto"/>
                      <w:sz w:val="21"/>
                      <w:szCs w:val="24"/>
                    </w:rPr>
                    <w:t>排污许可证。</w:t>
                  </w:r>
                </w:p>
              </w:tc>
              <w:tc>
                <w:tcPr>
                  <w:tcW w:w="881" w:type="dxa"/>
                  <w:vAlign w:val="center"/>
                </w:tcPr>
                <w:p w14:paraId="608D27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rPr>
                  </w:pPr>
                  <w:r>
                    <w:rPr>
                      <w:rFonts w:hint="eastAsia"/>
                      <w:b w:val="0"/>
                      <w:bCs w:val="0"/>
                      <w:color w:val="auto"/>
                      <w:sz w:val="21"/>
                      <w:szCs w:val="21"/>
                      <w:vertAlign w:val="baseline"/>
                      <w:lang w:val="en-US" w:eastAsia="zh-CN"/>
                    </w:rPr>
                    <w:t>符合</w:t>
                  </w:r>
                </w:p>
              </w:tc>
            </w:tr>
            <w:tr w14:paraId="19D1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7" w:type="dxa"/>
                  <w:vAlign w:val="center"/>
                </w:tcPr>
                <w:p w14:paraId="6203EAFC">
                  <w:pPr>
                    <w:spacing w:beforeLines="0" w:afterLines="0"/>
                    <w:jc w:val="left"/>
                    <w:rPr>
                      <w:rFonts w:hint="eastAsia"/>
                      <w:b w:val="0"/>
                      <w:bCs w:val="0"/>
                      <w:color w:val="auto"/>
                      <w:sz w:val="21"/>
                      <w:szCs w:val="21"/>
                      <w:vertAlign w:val="baseline"/>
                    </w:rPr>
                  </w:pPr>
                  <w:r>
                    <w:rPr>
                      <w:rFonts w:hint="eastAsia" w:ascii="宋体" w:hAnsi="宋体" w:eastAsia="宋体"/>
                      <w:color w:val="auto"/>
                      <w:sz w:val="21"/>
                      <w:szCs w:val="24"/>
                    </w:rPr>
                    <w:t>企业事业单位和其他生产经营者向大气排放污染物的，应当依照法律法规和国务院环境保护主管部门的规定设置大气污染物排放口。</w:t>
                  </w:r>
                </w:p>
              </w:tc>
              <w:tc>
                <w:tcPr>
                  <w:tcW w:w="3062" w:type="dxa"/>
                  <w:vAlign w:val="center"/>
                </w:tcPr>
                <w:p w14:paraId="3A174C5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b w:val="0"/>
                      <w:bCs w:val="0"/>
                      <w:color w:val="auto"/>
                      <w:sz w:val="21"/>
                      <w:szCs w:val="21"/>
                      <w:vertAlign w:val="baseline"/>
                    </w:rPr>
                  </w:pPr>
                  <w:r>
                    <w:rPr>
                      <w:rFonts w:hint="eastAsia"/>
                      <w:b w:val="0"/>
                      <w:bCs w:val="0"/>
                      <w:color w:val="auto"/>
                      <w:sz w:val="21"/>
                      <w:szCs w:val="21"/>
                      <w:vertAlign w:val="baseline"/>
                    </w:rPr>
                    <w:t>本项目设置1个废气排放口，并设置便于采样、监测的采样口。采样口的设置符合《污染源监测技术规范》要求。</w:t>
                  </w:r>
                </w:p>
              </w:tc>
              <w:tc>
                <w:tcPr>
                  <w:tcW w:w="881" w:type="dxa"/>
                  <w:vAlign w:val="center"/>
                </w:tcPr>
                <w:p w14:paraId="39AD38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rPr>
                  </w:pPr>
                  <w:r>
                    <w:rPr>
                      <w:rFonts w:hint="eastAsia"/>
                      <w:b w:val="0"/>
                      <w:bCs w:val="0"/>
                      <w:color w:val="auto"/>
                      <w:sz w:val="21"/>
                      <w:szCs w:val="21"/>
                      <w:vertAlign w:val="baseline"/>
                      <w:lang w:val="en-US" w:eastAsia="zh-CN"/>
                    </w:rPr>
                    <w:t>符合</w:t>
                  </w:r>
                </w:p>
              </w:tc>
            </w:tr>
            <w:tr w14:paraId="725D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7" w:type="dxa"/>
                  <w:vAlign w:val="center"/>
                </w:tcPr>
                <w:p w14:paraId="7DD289B1">
                  <w:pPr>
                    <w:spacing w:beforeLines="0" w:afterLines="0"/>
                    <w:jc w:val="left"/>
                    <w:rPr>
                      <w:rFonts w:hint="eastAsia"/>
                      <w:b w:val="0"/>
                      <w:bCs w:val="0"/>
                      <w:color w:val="auto"/>
                      <w:sz w:val="21"/>
                      <w:szCs w:val="21"/>
                      <w:vertAlign w:val="baseline"/>
                    </w:rPr>
                  </w:pPr>
                  <w:r>
                    <w:rPr>
                      <w:rFonts w:hint="eastAsia" w:ascii="宋体" w:hAnsi="宋体" w:eastAsia="宋体"/>
                      <w:color w:val="auto"/>
                      <w:sz w:val="21"/>
                      <w:szCs w:val="24"/>
                    </w:rPr>
                    <w:t>企业事业单位和其他生产经营者应当按照国家有关规定和监测规范，对其排放的工业废气和本法第七十八条规定名录中所列有毒有害大气污染物进行监测，并保存原始监测记录。其中，重点排污单位应当安装、使用大气污染物排放自动监测设备，与环境保护主管部门的监控设备联网，保证监测设备正常运行并依法公开排放信息。</w:t>
                  </w:r>
                </w:p>
              </w:tc>
              <w:tc>
                <w:tcPr>
                  <w:tcW w:w="3062" w:type="dxa"/>
                  <w:vAlign w:val="center"/>
                </w:tcPr>
                <w:p w14:paraId="534A224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b w:val="0"/>
                      <w:bCs w:val="0"/>
                      <w:color w:val="auto"/>
                      <w:sz w:val="21"/>
                      <w:szCs w:val="21"/>
                      <w:vertAlign w:val="baseline"/>
                    </w:rPr>
                  </w:pPr>
                  <w:r>
                    <w:rPr>
                      <w:rFonts w:hint="eastAsia"/>
                      <w:b w:val="0"/>
                      <w:bCs w:val="0"/>
                      <w:color w:val="auto"/>
                      <w:sz w:val="21"/>
                      <w:szCs w:val="21"/>
                      <w:vertAlign w:val="baseline"/>
                    </w:rPr>
                    <w:t>本项目按照</w:t>
                  </w:r>
                  <w:r>
                    <w:rPr>
                      <w:rFonts w:hint="eastAsia"/>
                      <w:b w:val="0"/>
                      <w:bCs w:val="0"/>
                      <w:color w:val="auto"/>
                      <w:sz w:val="21"/>
                      <w:szCs w:val="21"/>
                      <w:vertAlign w:val="baseline"/>
                      <w:lang w:val="en-US" w:eastAsia="zh-CN"/>
                    </w:rPr>
                    <w:t>排污许可自行监测要求对项目区</w:t>
                  </w:r>
                  <w:r>
                    <w:rPr>
                      <w:rFonts w:hint="eastAsia"/>
                      <w:b w:val="0"/>
                      <w:bCs w:val="0"/>
                      <w:color w:val="auto"/>
                      <w:sz w:val="21"/>
                      <w:szCs w:val="21"/>
                      <w:vertAlign w:val="baseline"/>
                    </w:rPr>
                    <w:t>废气开展自行监测，并保存原始监测记录。本项目不属于重点排污单位。</w:t>
                  </w:r>
                </w:p>
              </w:tc>
              <w:tc>
                <w:tcPr>
                  <w:tcW w:w="881" w:type="dxa"/>
                  <w:vAlign w:val="center"/>
                </w:tcPr>
                <w:p w14:paraId="1A7D09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rPr>
                  </w:pPr>
                  <w:r>
                    <w:rPr>
                      <w:rFonts w:hint="eastAsia"/>
                      <w:b w:val="0"/>
                      <w:bCs w:val="0"/>
                      <w:color w:val="auto"/>
                      <w:sz w:val="21"/>
                      <w:szCs w:val="21"/>
                      <w:vertAlign w:val="baseline"/>
                      <w:lang w:val="en-US" w:eastAsia="zh-CN"/>
                    </w:rPr>
                    <w:t>符合</w:t>
                  </w:r>
                </w:p>
              </w:tc>
            </w:tr>
            <w:tr w14:paraId="1C93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0" w:type="dxa"/>
                  <w:gridSpan w:val="3"/>
                  <w:vAlign w:val="center"/>
                </w:tcPr>
                <w:p w14:paraId="29B3BD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rPr>
                  </w:pPr>
                  <w:r>
                    <w:rPr>
                      <w:rFonts w:hint="eastAsia" w:ascii="宋体" w:hAnsi="宋体" w:eastAsia="宋体"/>
                      <w:color w:val="auto"/>
                      <w:sz w:val="21"/>
                      <w:szCs w:val="24"/>
                    </w:rPr>
                    <w:t>大气污染防治措施</w:t>
                  </w:r>
                </w:p>
              </w:tc>
            </w:tr>
            <w:tr w14:paraId="691B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7" w:type="dxa"/>
                  <w:vAlign w:val="center"/>
                </w:tcPr>
                <w:p w14:paraId="125907C2">
                  <w:pPr>
                    <w:spacing w:beforeLines="0" w:afterLines="0"/>
                    <w:jc w:val="left"/>
                    <w:rPr>
                      <w:rFonts w:hint="eastAsia"/>
                      <w:b w:val="0"/>
                      <w:bCs w:val="0"/>
                      <w:color w:val="auto"/>
                      <w:sz w:val="21"/>
                      <w:szCs w:val="21"/>
                      <w:vertAlign w:val="baseline"/>
                    </w:rPr>
                  </w:pPr>
                  <w:r>
                    <w:rPr>
                      <w:rFonts w:hint="eastAsia" w:ascii="宋体" w:hAnsi="宋体" w:eastAsia="宋体"/>
                      <w:color w:val="auto"/>
                      <w:sz w:val="21"/>
                      <w:szCs w:val="24"/>
                    </w:rPr>
                    <w:t>城市人民政府可以划定并公布高污染燃料禁燃区，并根据大气环境质量改善要求，逐步扩大高污染燃料禁燃区范围。高污染燃料的目录由国务院环保护主管部门确定。在禁燃区内，禁止销售、燃用高污染燃料；禁止新建、扩建燃用高污染燃料的设施，已建成的，应当在城市人民政府规定的期限内改用天然气、页岩气、液化石油气、电或者其他清洁能源。</w:t>
                  </w:r>
                </w:p>
              </w:tc>
              <w:tc>
                <w:tcPr>
                  <w:tcW w:w="3062" w:type="dxa"/>
                  <w:vAlign w:val="center"/>
                </w:tcPr>
                <w:p w14:paraId="6E0A100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本项目位于</w:t>
                  </w:r>
                  <w:r>
                    <w:rPr>
                      <w:rFonts w:hint="eastAsia" w:cs="Times New Roman"/>
                      <w:color w:val="auto"/>
                      <w:sz w:val="21"/>
                      <w:szCs w:val="21"/>
                      <w:highlight w:val="none"/>
                      <w:u w:val="none"/>
                      <w:lang w:val="en-US" w:eastAsia="zh-CN"/>
                    </w:rPr>
                    <w:t>云南元江产业园区甘庄片区，不属于元江县禁燃区，锅炉废气配置了“多管旋风除尘器+布袋除尘器”，为高效除尘设施，锅炉废气能够达到《锅炉大气污染物排放标准》（GB13271-2014）中新建燃煤锅炉大气污染物排放限值要求。</w:t>
                  </w:r>
                </w:p>
              </w:tc>
              <w:tc>
                <w:tcPr>
                  <w:tcW w:w="881" w:type="dxa"/>
                  <w:vAlign w:val="center"/>
                </w:tcPr>
                <w:p w14:paraId="1EAA89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rPr>
                  </w:pPr>
                  <w:r>
                    <w:rPr>
                      <w:rFonts w:hint="eastAsia"/>
                      <w:b w:val="0"/>
                      <w:bCs w:val="0"/>
                      <w:color w:val="auto"/>
                      <w:sz w:val="21"/>
                      <w:szCs w:val="21"/>
                      <w:vertAlign w:val="baseline"/>
                      <w:lang w:val="en-US" w:eastAsia="zh-CN"/>
                    </w:rPr>
                    <w:t>符合</w:t>
                  </w:r>
                </w:p>
              </w:tc>
            </w:tr>
            <w:tr w14:paraId="7BB0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7" w:type="dxa"/>
                  <w:vAlign w:val="center"/>
                </w:tcPr>
                <w:p w14:paraId="4C5B6AC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b w:val="0"/>
                      <w:bCs w:val="0"/>
                      <w:color w:val="auto"/>
                      <w:sz w:val="21"/>
                      <w:szCs w:val="21"/>
                      <w:vertAlign w:val="baseline"/>
                    </w:rPr>
                  </w:pPr>
                  <w:r>
                    <w:rPr>
                      <w:rFonts w:hint="eastAsia"/>
                      <w:b w:val="0"/>
                      <w:bCs w:val="0"/>
                      <w:color w:val="auto"/>
                      <w:sz w:val="21"/>
                      <w:szCs w:val="21"/>
                      <w:vertAlign w:val="baseline"/>
                    </w:rPr>
                    <w:t>工业生产企业应当采取密闭、围挡、遮盖、清扫、洒水等措施，减少内部物料的堆存、传输、装卸等环节产生的粉尘和气态污染物的排放。</w:t>
                  </w:r>
                </w:p>
              </w:tc>
              <w:tc>
                <w:tcPr>
                  <w:tcW w:w="3062" w:type="dxa"/>
                  <w:vAlign w:val="center"/>
                </w:tcPr>
                <w:p w14:paraId="04B8E2E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b w:val="0"/>
                      <w:bCs w:val="0"/>
                      <w:color w:val="auto"/>
                      <w:sz w:val="21"/>
                      <w:szCs w:val="21"/>
                      <w:vertAlign w:val="baseline"/>
                    </w:rPr>
                  </w:pPr>
                  <w:r>
                    <w:rPr>
                      <w:rFonts w:hint="eastAsia"/>
                      <w:b w:val="0"/>
                      <w:bCs w:val="0"/>
                      <w:color w:val="auto"/>
                      <w:sz w:val="21"/>
                      <w:szCs w:val="21"/>
                      <w:vertAlign w:val="baseline"/>
                    </w:rPr>
                    <w:t>本项目采取密闭、清扫等措施减少内部物料的堆存、传输、装卸等环节产生的粉尘。</w:t>
                  </w:r>
                </w:p>
              </w:tc>
              <w:tc>
                <w:tcPr>
                  <w:tcW w:w="881" w:type="dxa"/>
                  <w:vAlign w:val="center"/>
                </w:tcPr>
                <w:p w14:paraId="06306B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rPr>
                  </w:pPr>
                  <w:r>
                    <w:rPr>
                      <w:rFonts w:hint="eastAsia"/>
                      <w:b w:val="0"/>
                      <w:bCs w:val="0"/>
                      <w:color w:val="auto"/>
                      <w:sz w:val="21"/>
                      <w:szCs w:val="21"/>
                      <w:vertAlign w:val="baseline"/>
                      <w:lang w:val="en-US" w:eastAsia="zh-CN"/>
                    </w:rPr>
                    <w:t>符合</w:t>
                  </w:r>
                </w:p>
              </w:tc>
            </w:tr>
          </w:tbl>
          <w:p w14:paraId="492DB8B5">
            <w:pPr>
              <w:adjustRightInd w:val="0"/>
              <w:snapToGrid w:val="0"/>
              <w:spacing w:line="360" w:lineRule="auto"/>
              <w:ind w:firstLine="480" w:firstLineChars="200"/>
              <w:jc w:val="left"/>
              <w:rPr>
                <w:rFonts w:hint="default"/>
                <w:b w:val="0"/>
                <w:bCs w:val="0"/>
                <w:color w:val="auto"/>
                <w:sz w:val="24"/>
                <w:szCs w:val="24"/>
                <w:lang w:val="en-US" w:eastAsia="zh-CN"/>
              </w:rPr>
            </w:pPr>
            <w:r>
              <w:rPr>
                <w:rFonts w:hint="eastAsia"/>
                <w:b w:val="0"/>
                <w:bCs w:val="0"/>
                <w:color w:val="auto"/>
                <w:sz w:val="24"/>
                <w:szCs w:val="24"/>
                <w:lang w:val="en-US" w:eastAsia="zh-CN"/>
              </w:rPr>
              <w:t>根据上表，</w:t>
            </w:r>
            <w:r>
              <w:rPr>
                <w:rFonts w:hint="eastAsia"/>
                <w:b w:val="0"/>
                <w:bCs w:val="0"/>
                <w:color w:val="auto"/>
                <w:sz w:val="24"/>
                <w:szCs w:val="24"/>
              </w:rPr>
              <w:t>项目的建设符合《中华人民共和国大气污染防治法》的相关要求。</w:t>
            </w:r>
          </w:p>
          <w:p w14:paraId="6B937F29">
            <w:pPr>
              <w:pStyle w:val="21"/>
              <w:spacing w:line="360" w:lineRule="auto"/>
              <w:ind w:left="0" w:leftChars="0" w:firstLine="0" w:firstLineChars="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与《长江经济带发展负面清单指南（试行，2022年版）》</w:t>
            </w:r>
            <w:r>
              <w:rPr>
                <w:rFonts w:hint="eastAsia" w:ascii="Times New Roman" w:hAnsi="Times New Roman" w:cs="Times New Roman"/>
                <w:b/>
                <w:bCs/>
                <w:color w:val="auto"/>
                <w:sz w:val="24"/>
                <w:szCs w:val="24"/>
                <w:lang w:val="en-US" w:eastAsia="zh-CN"/>
              </w:rPr>
              <w:t>的</w:t>
            </w:r>
            <w:r>
              <w:rPr>
                <w:rFonts w:hint="default" w:ascii="Times New Roman" w:hAnsi="Times New Roman" w:eastAsia="宋体" w:cs="Times New Roman"/>
                <w:b/>
                <w:bCs/>
                <w:color w:val="auto"/>
                <w:sz w:val="24"/>
                <w:szCs w:val="24"/>
              </w:rPr>
              <w:t>符合性分析</w:t>
            </w:r>
          </w:p>
          <w:p w14:paraId="09FF7B7A">
            <w:pPr>
              <w:pStyle w:val="21"/>
              <w:keepNext w:val="0"/>
              <w:keepLines w:val="0"/>
              <w:pageBreakBefore w:val="0"/>
              <w:widowControl/>
              <w:kinsoku/>
              <w:wordWrap/>
              <w:overflowPunct/>
              <w:topLinePunct w:val="0"/>
              <w:autoSpaceDE/>
              <w:autoSpaceDN/>
              <w:bidi w:val="0"/>
              <w:adjustRightInd/>
              <w:snapToGrid w:val="0"/>
              <w:spacing w:after="0" w:line="360" w:lineRule="auto"/>
              <w:ind w:left="0" w:leftChars="0" w:right="113"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项目</w:t>
            </w:r>
            <w:r>
              <w:rPr>
                <w:rFonts w:hint="default" w:ascii="Times New Roman" w:hAnsi="Times New Roman" w:eastAsia="宋体" w:cs="Times New Roman"/>
                <w:color w:val="auto"/>
                <w:lang w:eastAsia="zh-CN"/>
              </w:rPr>
              <w:t>与《长江经济带发展负面清单指南（试行，2022年版）》符合性分析</w:t>
            </w:r>
            <w:r>
              <w:rPr>
                <w:rFonts w:hint="default" w:ascii="Times New Roman" w:hAnsi="Times New Roman" w:cs="Times New Roman"/>
                <w:color w:val="auto"/>
                <w:lang w:val="en-US" w:eastAsia="zh-CN"/>
              </w:rPr>
              <w:t>详见下表。</w:t>
            </w:r>
          </w:p>
          <w:p w14:paraId="437CB01D">
            <w:pPr>
              <w:pStyle w:val="80"/>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highlight w:val="none"/>
              </w:rPr>
              <w:t>表</w:t>
            </w:r>
            <w:r>
              <w:rPr>
                <w:rFonts w:hint="default" w:ascii="Times New Roman" w:hAnsi="Times New Roman" w:eastAsia="宋体" w:cs="Times New Roman"/>
                <w:caps w:val="0"/>
                <w:smallCaps w:val="0"/>
                <w:color w:val="auto"/>
                <w:sz w:val="21"/>
                <w:szCs w:val="21"/>
                <w:highlight w:val="none"/>
                <w:lang w:val="en-US" w:eastAsia="zh-CN"/>
              </w:rPr>
              <w:t>1-</w:t>
            </w:r>
            <w:r>
              <w:rPr>
                <w:rFonts w:hint="eastAsia" w:cs="Times New Roman"/>
                <w:caps w:val="0"/>
                <w:smallCaps w:val="0"/>
                <w:color w:val="auto"/>
                <w:sz w:val="21"/>
                <w:szCs w:val="21"/>
                <w:highlight w:val="none"/>
                <w:lang w:val="en-US" w:eastAsia="zh-CN"/>
              </w:rPr>
              <w:t>5</w:t>
            </w:r>
            <w:r>
              <w:rPr>
                <w:rFonts w:hint="default" w:ascii="Times New Roman" w:hAnsi="Times New Roman" w:eastAsia="宋体" w:cs="Times New Roman"/>
                <w:caps w:val="0"/>
                <w:smallCaps w:val="0"/>
                <w:color w:val="auto"/>
                <w:sz w:val="21"/>
                <w:szCs w:val="21"/>
              </w:rPr>
              <w:t xml:space="preserve"> </w:t>
            </w:r>
            <w:r>
              <w:rPr>
                <w:rFonts w:hint="default" w:ascii="Times New Roman" w:hAnsi="Times New Roman" w:eastAsia="宋体" w:cs="Times New Roman"/>
                <w:caps w:val="0"/>
                <w:smallCaps w:val="0"/>
                <w:color w:val="auto"/>
                <w:sz w:val="21"/>
                <w:szCs w:val="21"/>
                <w:lang w:val="en-US" w:eastAsia="zh-CN"/>
              </w:rPr>
              <w:t>项目</w:t>
            </w:r>
            <w:r>
              <w:rPr>
                <w:rFonts w:hint="default" w:ascii="Times New Roman" w:hAnsi="Times New Roman" w:eastAsia="宋体" w:cs="Times New Roman"/>
                <w:caps w:val="0"/>
                <w:smallCaps w:val="0"/>
                <w:color w:val="auto"/>
                <w:sz w:val="21"/>
                <w:szCs w:val="21"/>
              </w:rPr>
              <w:t>与《长江经济带发展负面清单指南（试行，2022年版）》符合性</w:t>
            </w:r>
            <w:r>
              <w:rPr>
                <w:rFonts w:hint="eastAsia" w:ascii="Times New Roman" w:hAnsi="Times New Roman" w:eastAsia="宋体" w:cs="Times New Roman"/>
                <w:caps w:val="0"/>
                <w:smallCaps w:val="0"/>
                <w:color w:val="auto"/>
                <w:sz w:val="21"/>
                <w:szCs w:val="21"/>
                <w:lang w:val="en-US" w:eastAsia="zh-CN"/>
              </w:rPr>
              <w:t>分析一览</w:t>
            </w:r>
            <w:r>
              <w:rPr>
                <w:rFonts w:hint="default" w:ascii="Times New Roman" w:hAnsi="Times New Roman" w:eastAsia="宋体" w:cs="Times New Roman"/>
                <w:caps w:val="0"/>
                <w:smallCaps w:val="0"/>
                <w:color w:val="auto"/>
                <w:sz w:val="21"/>
                <w:szCs w:val="21"/>
                <w:lang w:val="en-US" w:eastAsia="zh-CN"/>
              </w:rPr>
              <w:t>表</w:t>
            </w:r>
          </w:p>
          <w:tbl>
            <w:tblPr>
              <w:tblStyle w:val="85"/>
              <w:tblW w:w="7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3916"/>
              <w:gridCol w:w="1932"/>
              <w:gridCol w:w="907"/>
            </w:tblGrid>
            <w:tr w14:paraId="0316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9" w:type="dxa"/>
                  <w:gridSpan w:val="2"/>
                  <w:tcBorders>
                    <w:tl2br w:val="nil"/>
                    <w:tr2bl w:val="nil"/>
                  </w:tcBorders>
                  <w:shd w:val="clear" w:color="auto" w:fill="auto"/>
                  <w:noWrap w:val="0"/>
                  <w:vAlign w:val="center"/>
                </w:tcPr>
                <w:p w14:paraId="04F0E507">
                  <w:pPr>
                    <w:pStyle w:val="42"/>
                    <w:jc w:val="center"/>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相关要求</w:t>
                  </w:r>
                </w:p>
              </w:tc>
              <w:tc>
                <w:tcPr>
                  <w:tcW w:w="1932" w:type="dxa"/>
                  <w:tcBorders>
                    <w:tl2br w:val="nil"/>
                    <w:tr2bl w:val="nil"/>
                  </w:tcBorders>
                  <w:shd w:val="clear" w:color="auto" w:fill="auto"/>
                  <w:noWrap w:val="0"/>
                  <w:vAlign w:val="center"/>
                </w:tcPr>
                <w:p w14:paraId="2636C7E9">
                  <w:pPr>
                    <w:pStyle w:val="42"/>
                    <w:jc w:val="center"/>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项目情况</w:t>
                  </w:r>
                </w:p>
              </w:tc>
              <w:tc>
                <w:tcPr>
                  <w:tcW w:w="907" w:type="dxa"/>
                  <w:tcBorders>
                    <w:tl2br w:val="nil"/>
                    <w:tr2bl w:val="nil"/>
                  </w:tcBorders>
                  <w:shd w:val="clear" w:color="auto" w:fill="auto"/>
                  <w:noWrap w:val="0"/>
                  <w:vAlign w:val="center"/>
                </w:tcPr>
                <w:p w14:paraId="6BD4BA42">
                  <w:pPr>
                    <w:pStyle w:val="42"/>
                    <w:jc w:val="center"/>
                    <w:rPr>
                      <w:rFonts w:hint="eastAsia" w:ascii="Times New Roman" w:hAnsi="Times New Roman" w:eastAsia="宋体" w:cs="Times New Roman"/>
                      <w:b/>
                      <w:bCs/>
                      <w:caps w:val="0"/>
                      <w:smallCaps w:val="0"/>
                      <w:color w:val="auto"/>
                      <w:sz w:val="21"/>
                      <w:szCs w:val="21"/>
                      <w:lang w:val="en-US" w:eastAsia="zh-CN"/>
                    </w:rPr>
                  </w:pPr>
                  <w:r>
                    <w:rPr>
                      <w:rFonts w:hint="default" w:ascii="Times New Roman" w:hAnsi="Times New Roman" w:eastAsia="宋体" w:cs="Times New Roman"/>
                      <w:b/>
                      <w:bCs/>
                      <w:caps w:val="0"/>
                      <w:smallCaps w:val="0"/>
                      <w:color w:val="auto"/>
                      <w:sz w:val="21"/>
                      <w:szCs w:val="21"/>
                    </w:rPr>
                    <w:t>符合</w:t>
                  </w:r>
                  <w:r>
                    <w:rPr>
                      <w:rFonts w:hint="eastAsia" w:ascii="Times New Roman" w:hAnsi="Times New Roman" w:eastAsia="宋体" w:cs="Times New Roman"/>
                      <w:b/>
                      <w:bCs/>
                      <w:caps w:val="0"/>
                      <w:smallCaps w:val="0"/>
                      <w:color w:val="auto"/>
                      <w:sz w:val="21"/>
                      <w:szCs w:val="21"/>
                      <w:lang w:val="en-US" w:eastAsia="zh-CN"/>
                    </w:rPr>
                    <w:t>性</w:t>
                  </w:r>
                </w:p>
              </w:tc>
            </w:tr>
            <w:tr w14:paraId="228F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3" w:type="dxa"/>
                  <w:tcBorders>
                    <w:tl2br w:val="nil"/>
                    <w:tr2bl w:val="nil"/>
                  </w:tcBorders>
                  <w:shd w:val="clear" w:color="auto" w:fill="auto"/>
                  <w:noWrap w:val="0"/>
                  <w:vAlign w:val="center"/>
                </w:tcPr>
                <w:p w14:paraId="09225B34">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1</w:t>
                  </w:r>
                </w:p>
              </w:tc>
              <w:tc>
                <w:tcPr>
                  <w:tcW w:w="3916" w:type="dxa"/>
                  <w:tcBorders>
                    <w:tl2br w:val="nil"/>
                    <w:tr2bl w:val="nil"/>
                  </w:tcBorders>
                  <w:shd w:val="clear" w:color="auto" w:fill="auto"/>
                  <w:noWrap w:val="0"/>
                  <w:vAlign w:val="center"/>
                </w:tcPr>
                <w:p w14:paraId="46894A2A">
                  <w:pPr>
                    <w:pStyle w:val="42"/>
                    <w:jc w:val="both"/>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禁止建设不符合全国和省级港口布局规划以及港口总体规划的码头项目，禁止建设不符合《长江干线过江通道布局规划》的过长江通道项目。</w:t>
                  </w:r>
                </w:p>
              </w:tc>
              <w:tc>
                <w:tcPr>
                  <w:tcW w:w="1932" w:type="dxa"/>
                  <w:tcBorders>
                    <w:tl2br w:val="nil"/>
                    <w:tr2bl w:val="nil"/>
                  </w:tcBorders>
                  <w:shd w:val="clear" w:color="auto" w:fill="auto"/>
                  <w:noWrap w:val="0"/>
                  <w:vAlign w:val="center"/>
                </w:tcPr>
                <w:p w14:paraId="3B547AE9">
                  <w:pPr>
                    <w:pStyle w:val="42"/>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本</w:t>
                  </w:r>
                  <w:r>
                    <w:rPr>
                      <w:rFonts w:hint="default" w:ascii="Times New Roman" w:hAnsi="Times New Roman" w:eastAsia="宋体" w:cs="Times New Roman"/>
                      <w:caps w:val="0"/>
                      <w:smallCaps w:val="0"/>
                      <w:color w:val="auto"/>
                      <w:sz w:val="21"/>
                      <w:szCs w:val="21"/>
                    </w:rPr>
                    <w:t>项目不涉及该类</w:t>
                  </w:r>
                  <w:r>
                    <w:rPr>
                      <w:rFonts w:hint="default" w:ascii="Times New Roman" w:hAnsi="Times New Roman" w:eastAsia="宋体" w:cs="Times New Roman"/>
                      <w:caps w:val="0"/>
                      <w:smallCaps w:val="0"/>
                      <w:color w:val="auto"/>
                      <w:sz w:val="21"/>
                      <w:szCs w:val="21"/>
                      <w:lang w:val="en-US" w:eastAsia="zh-CN"/>
                    </w:rPr>
                    <w:t>码头和港口。</w:t>
                  </w:r>
                </w:p>
              </w:tc>
              <w:tc>
                <w:tcPr>
                  <w:tcW w:w="907" w:type="dxa"/>
                  <w:tcBorders>
                    <w:tl2br w:val="nil"/>
                    <w:tr2bl w:val="nil"/>
                  </w:tcBorders>
                  <w:shd w:val="clear" w:color="auto" w:fill="auto"/>
                  <w:noWrap w:val="0"/>
                  <w:vAlign w:val="center"/>
                </w:tcPr>
                <w:p w14:paraId="37173431">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符合</w:t>
                  </w:r>
                </w:p>
              </w:tc>
            </w:tr>
            <w:tr w14:paraId="699D6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3" w:type="dxa"/>
                  <w:tcBorders>
                    <w:tl2br w:val="nil"/>
                    <w:tr2bl w:val="nil"/>
                  </w:tcBorders>
                  <w:shd w:val="clear" w:color="auto" w:fill="auto"/>
                  <w:noWrap w:val="0"/>
                  <w:vAlign w:val="center"/>
                </w:tcPr>
                <w:p w14:paraId="720D468E">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2</w:t>
                  </w:r>
                </w:p>
              </w:tc>
              <w:tc>
                <w:tcPr>
                  <w:tcW w:w="3916" w:type="dxa"/>
                  <w:tcBorders>
                    <w:tl2br w:val="nil"/>
                    <w:tr2bl w:val="nil"/>
                  </w:tcBorders>
                  <w:shd w:val="clear" w:color="auto" w:fill="auto"/>
                  <w:noWrap w:val="0"/>
                  <w:vAlign w:val="center"/>
                </w:tcPr>
                <w:p w14:paraId="0C5016AD">
                  <w:pPr>
                    <w:pStyle w:val="42"/>
                    <w:jc w:val="both"/>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禁止在自然保护区核心区、缓冲区的岸线和河段范围内投资建设旅游和生产经营项目。禁止在风景名胜区核心景区的岸线和河段范围内投资建设与风景名</w:t>
                  </w:r>
                  <w:r>
                    <w:rPr>
                      <w:rFonts w:hint="eastAsia" w:ascii="Times New Roman" w:hAnsi="Times New Roman" w:eastAsia="宋体" w:cs="Times New Roman"/>
                      <w:caps w:val="0"/>
                      <w:smallCaps w:val="0"/>
                      <w:color w:val="auto"/>
                      <w:sz w:val="21"/>
                      <w:szCs w:val="21"/>
                      <w:lang w:eastAsia="zh-CN"/>
                    </w:rPr>
                    <w:t>胜区</w:t>
                  </w:r>
                  <w:r>
                    <w:rPr>
                      <w:rFonts w:hint="default" w:ascii="Times New Roman" w:hAnsi="Times New Roman" w:eastAsia="宋体" w:cs="Times New Roman"/>
                      <w:caps w:val="0"/>
                      <w:smallCaps w:val="0"/>
                      <w:color w:val="auto"/>
                      <w:sz w:val="21"/>
                      <w:szCs w:val="21"/>
                    </w:rPr>
                    <w:t>资源保护无关的项目。</w:t>
                  </w:r>
                </w:p>
              </w:tc>
              <w:tc>
                <w:tcPr>
                  <w:tcW w:w="1932" w:type="dxa"/>
                  <w:tcBorders>
                    <w:tl2br w:val="nil"/>
                    <w:tr2bl w:val="nil"/>
                  </w:tcBorders>
                  <w:shd w:val="clear" w:color="auto" w:fill="auto"/>
                  <w:noWrap w:val="0"/>
                  <w:vAlign w:val="center"/>
                </w:tcPr>
                <w:p w14:paraId="4251AA93">
                  <w:pPr>
                    <w:pStyle w:val="42"/>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本</w:t>
                  </w:r>
                  <w:r>
                    <w:rPr>
                      <w:rFonts w:hint="default" w:ascii="Times New Roman" w:hAnsi="Times New Roman" w:eastAsia="宋体" w:cs="Times New Roman"/>
                      <w:caps w:val="0"/>
                      <w:smallCaps w:val="0"/>
                      <w:color w:val="auto"/>
                      <w:sz w:val="21"/>
                      <w:szCs w:val="21"/>
                    </w:rPr>
                    <w:t>项目位于</w:t>
                  </w:r>
                  <w:r>
                    <w:rPr>
                      <w:rFonts w:hint="eastAsia" w:ascii="Times New Roman" w:hAnsi="Times New Roman" w:eastAsia="宋体" w:cs="Times New Roman"/>
                      <w:caps w:val="0"/>
                      <w:smallCaps w:val="0"/>
                      <w:color w:val="auto"/>
                      <w:sz w:val="21"/>
                      <w:szCs w:val="21"/>
                      <w:lang w:val="en-US" w:eastAsia="zh-CN"/>
                    </w:rPr>
                    <w:t>云南元江产业园区甘庄片区</w:t>
                  </w:r>
                  <w:r>
                    <w:rPr>
                      <w:rFonts w:hint="default" w:ascii="Times New Roman" w:hAnsi="Times New Roman" w:eastAsia="宋体" w:cs="Times New Roman"/>
                      <w:caps w:val="0"/>
                      <w:smallCaps w:val="0"/>
                      <w:color w:val="auto"/>
                      <w:sz w:val="21"/>
                      <w:szCs w:val="21"/>
                      <w:lang w:val="en-US" w:eastAsia="zh-CN"/>
                    </w:rPr>
                    <w:t>，不涉及自然保护区</w:t>
                  </w:r>
                  <w:r>
                    <w:rPr>
                      <w:rFonts w:hint="default" w:ascii="Times New Roman" w:hAnsi="Times New Roman" w:eastAsia="宋体" w:cs="Times New Roman"/>
                      <w:caps w:val="0"/>
                      <w:smallCaps w:val="0"/>
                      <w:color w:val="auto"/>
                      <w:sz w:val="21"/>
                      <w:szCs w:val="21"/>
                      <w:lang w:eastAsia="zh-CN"/>
                    </w:rPr>
                    <w:t>、</w:t>
                  </w:r>
                  <w:r>
                    <w:rPr>
                      <w:rFonts w:hint="default" w:ascii="Times New Roman" w:hAnsi="Times New Roman" w:eastAsia="宋体" w:cs="Times New Roman"/>
                      <w:caps w:val="0"/>
                      <w:smallCaps w:val="0"/>
                      <w:color w:val="auto"/>
                      <w:sz w:val="21"/>
                      <w:szCs w:val="21"/>
                      <w:lang w:val="en-US" w:eastAsia="zh-CN"/>
                    </w:rPr>
                    <w:t>风景名胜区。</w:t>
                  </w:r>
                </w:p>
              </w:tc>
              <w:tc>
                <w:tcPr>
                  <w:tcW w:w="907" w:type="dxa"/>
                  <w:tcBorders>
                    <w:tl2br w:val="nil"/>
                    <w:tr2bl w:val="nil"/>
                  </w:tcBorders>
                  <w:shd w:val="clear" w:color="auto" w:fill="auto"/>
                  <w:noWrap w:val="0"/>
                  <w:vAlign w:val="center"/>
                </w:tcPr>
                <w:p w14:paraId="545C71E8">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符合</w:t>
                  </w:r>
                </w:p>
              </w:tc>
            </w:tr>
            <w:tr w14:paraId="5DB9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3" w:type="dxa"/>
                  <w:tcBorders>
                    <w:tl2br w:val="nil"/>
                    <w:tr2bl w:val="nil"/>
                  </w:tcBorders>
                  <w:shd w:val="clear" w:color="auto" w:fill="auto"/>
                  <w:noWrap w:val="0"/>
                  <w:vAlign w:val="center"/>
                </w:tcPr>
                <w:p w14:paraId="136F6601">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3</w:t>
                  </w:r>
                </w:p>
              </w:tc>
              <w:tc>
                <w:tcPr>
                  <w:tcW w:w="3916" w:type="dxa"/>
                  <w:tcBorders>
                    <w:tl2br w:val="nil"/>
                    <w:tr2bl w:val="nil"/>
                  </w:tcBorders>
                  <w:shd w:val="clear" w:color="auto" w:fill="auto"/>
                  <w:noWrap w:val="0"/>
                  <w:vAlign w:val="center"/>
                </w:tcPr>
                <w:p w14:paraId="11A91E00">
                  <w:pPr>
                    <w:pStyle w:val="42"/>
                    <w:jc w:val="both"/>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932" w:type="dxa"/>
                  <w:tcBorders>
                    <w:tl2br w:val="nil"/>
                    <w:tr2bl w:val="nil"/>
                  </w:tcBorders>
                  <w:shd w:val="clear" w:color="auto" w:fill="auto"/>
                  <w:noWrap w:val="0"/>
                  <w:vAlign w:val="center"/>
                </w:tcPr>
                <w:p w14:paraId="4DFEED12">
                  <w:pPr>
                    <w:pStyle w:val="42"/>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本</w:t>
                  </w:r>
                  <w:r>
                    <w:rPr>
                      <w:rFonts w:hint="default" w:ascii="Times New Roman" w:hAnsi="Times New Roman" w:eastAsia="宋体" w:cs="Times New Roman"/>
                      <w:caps w:val="0"/>
                      <w:smallCaps w:val="0"/>
                      <w:color w:val="auto"/>
                      <w:sz w:val="21"/>
                      <w:szCs w:val="21"/>
                    </w:rPr>
                    <w:t>项目不涉及该类饮用水水源</w:t>
                  </w:r>
                  <w:r>
                    <w:rPr>
                      <w:rFonts w:hint="default" w:ascii="Times New Roman" w:hAnsi="Times New Roman" w:eastAsia="宋体" w:cs="Times New Roman"/>
                      <w:caps w:val="0"/>
                      <w:smallCaps w:val="0"/>
                      <w:color w:val="auto"/>
                      <w:sz w:val="21"/>
                      <w:szCs w:val="21"/>
                      <w:lang w:val="en-US" w:eastAsia="zh-CN"/>
                    </w:rPr>
                    <w:t>保护区</w:t>
                  </w:r>
                  <w:r>
                    <w:rPr>
                      <w:rFonts w:hint="eastAsia" w:ascii="Times New Roman" w:hAnsi="Times New Roman" w:eastAsia="宋体" w:cs="Times New Roman"/>
                      <w:caps w:val="0"/>
                      <w:smallCaps w:val="0"/>
                      <w:color w:val="auto"/>
                      <w:sz w:val="21"/>
                      <w:szCs w:val="21"/>
                      <w:lang w:val="en-US" w:eastAsia="zh-CN"/>
                    </w:rPr>
                    <w:t>。</w:t>
                  </w:r>
                </w:p>
              </w:tc>
              <w:tc>
                <w:tcPr>
                  <w:tcW w:w="907" w:type="dxa"/>
                  <w:tcBorders>
                    <w:tl2br w:val="nil"/>
                    <w:tr2bl w:val="nil"/>
                  </w:tcBorders>
                  <w:shd w:val="clear" w:color="auto" w:fill="auto"/>
                  <w:noWrap w:val="0"/>
                  <w:vAlign w:val="center"/>
                </w:tcPr>
                <w:p w14:paraId="3F16B614">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符合</w:t>
                  </w:r>
                </w:p>
              </w:tc>
            </w:tr>
            <w:tr w14:paraId="66D8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3" w:type="dxa"/>
                  <w:tcBorders>
                    <w:tl2br w:val="nil"/>
                    <w:tr2bl w:val="nil"/>
                  </w:tcBorders>
                  <w:shd w:val="clear" w:color="auto" w:fill="auto"/>
                  <w:noWrap w:val="0"/>
                  <w:vAlign w:val="center"/>
                </w:tcPr>
                <w:p w14:paraId="593F5E24">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4</w:t>
                  </w:r>
                </w:p>
              </w:tc>
              <w:tc>
                <w:tcPr>
                  <w:tcW w:w="3916" w:type="dxa"/>
                  <w:tcBorders>
                    <w:tl2br w:val="nil"/>
                    <w:tr2bl w:val="nil"/>
                  </w:tcBorders>
                  <w:shd w:val="clear" w:color="auto" w:fill="auto"/>
                  <w:noWrap w:val="0"/>
                  <w:vAlign w:val="center"/>
                </w:tcPr>
                <w:p w14:paraId="3A690BD1">
                  <w:pPr>
                    <w:pStyle w:val="42"/>
                    <w:jc w:val="both"/>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932" w:type="dxa"/>
                  <w:tcBorders>
                    <w:tl2br w:val="nil"/>
                    <w:tr2bl w:val="nil"/>
                  </w:tcBorders>
                  <w:shd w:val="clear" w:color="auto" w:fill="auto"/>
                  <w:noWrap w:val="0"/>
                  <w:vAlign w:val="center"/>
                </w:tcPr>
                <w:p w14:paraId="58509F31">
                  <w:pPr>
                    <w:pStyle w:val="42"/>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本项目不涉及。</w:t>
                  </w:r>
                </w:p>
              </w:tc>
              <w:tc>
                <w:tcPr>
                  <w:tcW w:w="907" w:type="dxa"/>
                  <w:tcBorders>
                    <w:tl2br w:val="nil"/>
                    <w:tr2bl w:val="nil"/>
                  </w:tcBorders>
                  <w:shd w:val="clear" w:color="auto" w:fill="auto"/>
                  <w:noWrap w:val="0"/>
                  <w:vAlign w:val="center"/>
                </w:tcPr>
                <w:p w14:paraId="077B7DA2">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符合</w:t>
                  </w:r>
                </w:p>
              </w:tc>
            </w:tr>
            <w:tr w14:paraId="5089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3" w:type="dxa"/>
                  <w:tcBorders>
                    <w:tl2br w:val="nil"/>
                    <w:tr2bl w:val="nil"/>
                  </w:tcBorders>
                  <w:shd w:val="clear" w:color="auto" w:fill="auto"/>
                  <w:noWrap w:val="0"/>
                  <w:vAlign w:val="center"/>
                </w:tcPr>
                <w:p w14:paraId="1940FE9C">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5</w:t>
                  </w:r>
                </w:p>
              </w:tc>
              <w:tc>
                <w:tcPr>
                  <w:tcW w:w="3916" w:type="dxa"/>
                  <w:tcBorders>
                    <w:tl2br w:val="nil"/>
                    <w:tr2bl w:val="nil"/>
                  </w:tcBorders>
                  <w:shd w:val="clear" w:color="auto" w:fill="auto"/>
                  <w:noWrap w:val="0"/>
                  <w:vAlign w:val="center"/>
                </w:tcPr>
                <w:p w14:paraId="4EEEABF9">
                  <w:pPr>
                    <w:pStyle w:val="42"/>
                    <w:jc w:val="both"/>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932" w:type="dxa"/>
                  <w:tcBorders>
                    <w:tl2br w:val="nil"/>
                    <w:tr2bl w:val="nil"/>
                  </w:tcBorders>
                  <w:shd w:val="clear" w:color="auto" w:fill="auto"/>
                  <w:noWrap w:val="0"/>
                  <w:vAlign w:val="center"/>
                </w:tcPr>
                <w:p w14:paraId="7641F322">
                  <w:pPr>
                    <w:pStyle w:val="42"/>
                    <w:rPr>
                      <w:rFonts w:hint="default" w:ascii="Times New Roman" w:hAnsi="Times New Roman" w:eastAsia="宋体" w:cs="Times New Roman"/>
                      <w:caps w:val="0"/>
                      <w:smallCaps w:val="0"/>
                      <w:color w:val="auto"/>
                      <w:sz w:val="21"/>
                      <w:szCs w:val="21"/>
                      <w:lang w:eastAsia="zh-CN"/>
                    </w:rPr>
                  </w:pPr>
                  <w:r>
                    <w:rPr>
                      <w:rFonts w:hint="eastAsia" w:ascii="Times New Roman" w:hAnsi="Times New Roman" w:eastAsia="宋体" w:cs="Times New Roman"/>
                      <w:caps w:val="0"/>
                      <w:smallCaps w:val="0"/>
                      <w:color w:val="auto"/>
                      <w:sz w:val="21"/>
                      <w:szCs w:val="21"/>
                      <w:lang w:val="en-US" w:eastAsia="zh-CN"/>
                    </w:rPr>
                    <w:t>本项目不涉及。</w:t>
                  </w:r>
                </w:p>
              </w:tc>
              <w:tc>
                <w:tcPr>
                  <w:tcW w:w="907" w:type="dxa"/>
                  <w:tcBorders>
                    <w:tl2br w:val="nil"/>
                    <w:tr2bl w:val="nil"/>
                  </w:tcBorders>
                  <w:shd w:val="clear" w:color="auto" w:fill="auto"/>
                  <w:noWrap w:val="0"/>
                  <w:vAlign w:val="center"/>
                </w:tcPr>
                <w:p w14:paraId="072C5B36">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符合</w:t>
                  </w:r>
                </w:p>
              </w:tc>
            </w:tr>
            <w:tr w14:paraId="2BA5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3" w:type="dxa"/>
                  <w:tcBorders>
                    <w:tl2br w:val="nil"/>
                    <w:tr2bl w:val="nil"/>
                  </w:tcBorders>
                  <w:shd w:val="clear" w:color="auto" w:fill="auto"/>
                  <w:noWrap w:val="0"/>
                  <w:vAlign w:val="center"/>
                </w:tcPr>
                <w:p w14:paraId="64B24B74">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6</w:t>
                  </w:r>
                </w:p>
              </w:tc>
              <w:tc>
                <w:tcPr>
                  <w:tcW w:w="3916" w:type="dxa"/>
                  <w:tcBorders>
                    <w:tl2br w:val="nil"/>
                    <w:tr2bl w:val="nil"/>
                  </w:tcBorders>
                  <w:shd w:val="clear" w:color="auto" w:fill="auto"/>
                  <w:noWrap w:val="0"/>
                  <w:vAlign w:val="center"/>
                </w:tcPr>
                <w:p w14:paraId="49C8F654">
                  <w:pPr>
                    <w:pStyle w:val="42"/>
                    <w:jc w:val="both"/>
                    <w:rPr>
                      <w:rFonts w:hint="eastAsia" w:ascii="Times New Roman" w:hAnsi="Times New Roman" w:eastAsia="宋体" w:cs="Times New Roman"/>
                      <w:caps w:val="0"/>
                      <w:smallCaps w:val="0"/>
                      <w:color w:val="auto"/>
                      <w:sz w:val="21"/>
                      <w:szCs w:val="21"/>
                      <w:lang w:eastAsia="zh-CN"/>
                    </w:rPr>
                  </w:pPr>
                  <w:r>
                    <w:rPr>
                      <w:rFonts w:hint="default" w:ascii="Times New Roman" w:hAnsi="Times New Roman" w:eastAsia="宋体" w:cs="Times New Roman"/>
                      <w:caps w:val="0"/>
                      <w:smallCaps w:val="0"/>
                      <w:color w:val="auto"/>
                      <w:sz w:val="21"/>
                      <w:szCs w:val="21"/>
                    </w:rPr>
                    <w:t>禁止未经许可在长江干支流及湖泊新设、改设或扩大排污口</w:t>
                  </w:r>
                  <w:r>
                    <w:rPr>
                      <w:rFonts w:hint="eastAsia" w:ascii="Times New Roman" w:hAnsi="Times New Roman" w:eastAsia="宋体" w:cs="Times New Roman"/>
                      <w:caps w:val="0"/>
                      <w:smallCaps w:val="0"/>
                      <w:color w:val="auto"/>
                      <w:sz w:val="21"/>
                      <w:szCs w:val="21"/>
                      <w:lang w:eastAsia="zh-CN"/>
                    </w:rPr>
                    <w:t>。</w:t>
                  </w:r>
                </w:p>
              </w:tc>
              <w:tc>
                <w:tcPr>
                  <w:tcW w:w="1932" w:type="dxa"/>
                  <w:tcBorders>
                    <w:tl2br w:val="nil"/>
                    <w:tr2bl w:val="nil"/>
                  </w:tcBorders>
                  <w:shd w:val="clear" w:color="auto" w:fill="auto"/>
                  <w:noWrap w:val="0"/>
                  <w:vAlign w:val="center"/>
                </w:tcPr>
                <w:p w14:paraId="233AAB10">
                  <w:pPr>
                    <w:pStyle w:val="42"/>
                    <w:rPr>
                      <w:rFonts w:hint="default" w:ascii="Times New Roman" w:hAnsi="Times New Roman" w:eastAsia="宋体" w:cs="Times New Roman"/>
                      <w:caps w:val="0"/>
                      <w:smallCaps w:val="0"/>
                      <w:color w:val="auto"/>
                      <w:sz w:val="21"/>
                      <w:szCs w:val="21"/>
                      <w:lang w:eastAsia="zh-CN"/>
                    </w:rPr>
                  </w:pPr>
                  <w:r>
                    <w:rPr>
                      <w:rFonts w:hint="eastAsia" w:ascii="Times New Roman" w:hAnsi="Times New Roman" w:eastAsia="宋体" w:cs="Times New Roman"/>
                      <w:caps w:val="0"/>
                      <w:smallCaps w:val="0"/>
                      <w:color w:val="auto"/>
                      <w:sz w:val="21"/>
                      <w:szCs w:val="21"/>
                      <w:lang w:val="en-US" w:eastAsia="zh-CN"/>
                    </w:rPr>
                    <w:t>本项目不涉及。</w:t>
                  </w:r>
                </w:p>
              </w:tc>
              <w:tc>
                <w:tcPr>
                  <w:tcW w:w="907" w:type="dxa"/>
                  <w:tcBorders>
                    <w:tl2br w:val="nil"/>
                    <w:tr2bl w:val="nil"/>
                  </w:tcBorders>
                  <w:shd w:val="clear" w:color="auto" w:fill="auto"/>
                  <w:noWrap w:val="0"/>
                  <w:vAlign w:val="center"/>
                </w:tcPr>
                <w:p w14:paraId="2787FD67">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符合</w:t>
                  </w:r>
                </w:p>
              </w:tc>
            </w:tr>
            <w:tr w14:paraId="2855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3" w:type="dxa"/>
                  <w:tcBorders>
                    <w:tl2br w:val="nil"/>
                    <w:tr2bl w:val="nil"/>
                  </w:tcBorders>
                  <w:shd w:val="clear" w:color="auto" w:fill="auto"/>
                  <w:noWrap w:val="0"/>
                  <w:vAlign w:val="center"/>
                </w:tcPr>
                <w:p w14:paraId="7DBB209A">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7</w:t>
                  </w:r>
                </w:p>
              </w:tc>
              <w:tc>
                <w:tcPr>
                  <w:tcW w:w="3916" w:type="dxa"/>
                  <w:tcBorders>
                    <w:tl2br w:val="nil"/>
                    <w:tr2bl w:val="nil"/>
                  </w:tcBorders>
                  <w:shd w:val="clear" w:color="auto" w:fill="auto"/>
                  <w:noWrap w:val="0"/>
                  <w:vAlign w:val="center"/>
                </w:tcPr>
                <w:p w14:paraId="478539E2">
                  <w:pPr>
                    <w:pStyle w:val="42"/>
                    <w:jc w:val="both"/>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禁止在“一江一口两湖七河”和332个水生生物保护区开展生产性捕捞。</w:t>
                  </w:r>
                </w:p>
              </w:tc>
              <w:tc>
                <w:tcPr>
                  <w:tcW w:w="1932" w:type="dxa"/>
                  <w:tcBorders>
                    <w:tl2br w:val="nil"/>
                    <w:tr2bl w:val="nil"/>
                  </w:tcBorders>
                  <w:shd w:val="clear" w:color="auto" w:fill="auto"/>
                  <w:noWrap w:val="0"/>
                  <w:vAlign w:val="center"/>
                </w:tcPr>
                <w:p w14:paraId="59C7EF2B">
                  <w:pPr>
                    <w:pStyle w:val="42"/>
                    <w:rPr>
                      <w:rFonts w:hint="default" w:ascii="Times New Roman" w:hAnsi="Times New Roman" w:eastAsia="宋体" w:cs="Times New Roman"/>
                      <w:caps w:val="0"/>
                      <w:smallCaps w:val="0"/>
                      <w:color w:val="auto"/>
                      <w:sz w:val="21"/>
                      <w:szCs w:val="21"/>
                      <w:lang w:eastAsia="zh-CN"/>
                    </w:rPr>
                  </w:pPr>
                  <w:r>
                    <w:rPr>
                      <w:rFonts w:hint="eastAsia" w:ascii="Times New Roman" w:hAnsi="Times New Roman" w:eastAsia="宋体" w:cs="Times New Roman"/>
                      <w:caps w:val="0"/>
                      <w:smallCaps w:val="0"/>
                      <w:color w:val="auto"/>
                      <w:sz w:val="21"/>
                      <w:szCs w:val="21"/>
                      <w:lang w:val="en-US" w:eastAsia="zh-CN"/>
                    </w:rPr>
                    <w:t>本项目不涉及。</w:t>
                  </w:r>
                </w:p>
              </w:tc>
              <w:tc>
                <w:tcPr>
                  <w:tcW w:w="907" w:type="dxa"/>
                  <w:tcBorders>
                    <w:tl2br w:val="nil"/>
                    <w:tr2bl w:val="nil"/>
                  </w:tcBorders>
                  <w:shd w:val="clear" w:color="auto" w:fill="auto"/>
                  <w:noWrap w:val="0"/>
                  <w:vAlign w:val="center"/>
                </w:tcPr>
                <w:p w14:paraId="08EFF65C">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符合</w:t>
                  </w:r>
                </w:p>
              </w:tc>
            </w:tr>
            <w:tr w14:paraId="741C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3" w:type="dxa"/>
                  <w:tcBorders>
                    <w:tl2br w:val="nil"/>
                    <w:tr2bl w:val="nil"/>
                  </w:tcBorders>
                  <w:shd w:val="clear" w:color="auto" w:fill="auto"/>
                  <w:noWrap w:val="0"/>
                  <w:vAlign w:val="center"/>
                </w:tcPr>
                <w:p w14:paraId="419CB917">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8</w:t>
                  </w:r>
                </w:p>
              </w:tc>
              <w:tc>
                <w:tcPr>
                  <w:tcW w:w="3916" w:type="dxa"/>
                  <w:tcBorders>
                    <w:tl2br w:val="nil"/>
                    <w:tr2bl w:val="nil"/>
                  </w:tcBorders>
                  <w:shd w:val="clear" w:color="auto" w:fill="auto"/>
                  <w:noWrap w:val="0"/>
                  <w:vAlign w:val="center"/>
                </w:tcPr>
                <w:p w14:paraId="3E74566C">
                  <w:pPr>
                    <w:pStyle w:val="42"/>
                    <w:jc w:val="both"/>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禁止在长江</w:t>
                  </w:r>
                  <w:r>
                    <w:rPr>
                      <w:rFonts w:hint="default" w:ascii="Times New Roman" w:hAnsi="Times New Roman" w:eastAsia="宋体" w:cs="Times New Roman"/>
                      <w:caps w:val="0"/>
                      <w:smallCaps w:val="0"/>
                      <w:color w:val="auto"/>
                      <w:sz w:val="21"/>
                      <w:szCs w:val="21"/>
                      <w:lang w:val="en-US" w:eastAsia="zh-CN"/>
                    </w:rPr>
                    <w:t>干</w:t>
                  </w:r>
                  <w:r>
                    <w:rPr>
                      <w:rFonts w:hint="default" w:ascii="Times New Roman" w:hAnsi="Times New Roman" w:eastAsia="宋体" w:cs="Times New Roman"/>
                      <w:caps w:val="0"/>
                      <w:smallCaps w:val="0"/>
                      <w:color w:val="auto"/>
                      <w:sz w:val="21"/>
                      <w:szCs w:val="21"/>
                    </w:rPr>
                    <w:t>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932" w:type="dxa"/>
                  <w:tcBorders>
                    <w:tl2br w:val="nil"/>
                    <w:tr2bl w:val="nil"/>
                  </w:tcBorders>
                  <w:shd w:val="clear" w:color="auto" w:fill="auto"/>
                  <w:noWrap w:val="0"/>
                  <w:vAlign w:val="center"/>
                </w:tcPr>
                <w:p w14:paraId="61E83725">
                  <w:pPr>
                    <w:pStyle w:val="42"/>
                    <w:rPr>
                      <w:rFonts w:hint="default" w:ascii="Times New Roman" w:hAnsi="Times New Roman" w:eastAsia="宋体" w:cs="Times New Roman"/>
                      <w:caps w:val="0"/>
                      <w:smallCaps w:val="0"/>
                      <w:color w:val="auto"/>
                      <w:sz w:val="21"/>
                      <w:szCs w:val="21"/>
                    </w:rPr>
                  </w:pPr>
                  <w:r>
                    <w:rPr>
                      <w:rFonts w:hint="eastAsia" w:ascii="Times New Roman" w:hAnsi="Times New Roman" w:eastAsia="宋体" w:cs="Times New Roman"/>
                      <w:caps w:val="0"/>
                      <w:smallCaps w:val="0"/>
                      <w:color w:val="auto"/>
                      <w:sz w:val="21"/>
                      <w:szCs w:val="21"/>
                      <w:lang w:val="en-US" w:eastAsia="zh-CN"/>
                    </w:rPr>
                    <w:t>本项目不涉及。</w:t>
                  </w:r>
                </w:p>
              </w:tc>
              <w:tc>
                <w:tcPr>
                  <w:tcW w:w="907" w:type="dxa"/>
                  <w:tcBorders>
                    <w:tl2br w:val="nil"/>
                    <w:tr2bl w:val="nil"/>
                  </w:tcBorders>
                  <w:shd w:val="clear" w:color="auto" w:fill="auto"/>
                  <w:noWrap w:val="0"/>
                  <w:vAlign w:val="center"/>
                </w:tcPr>
                <w:p w14:paraId="610CD946">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符合</w:t>
                  </w:r>
                </w:p>
              </w:tc>
            </w:tr>
            <w:tr w14:paraId="1141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3" w:type="dxa"/>
                  <w:tcBorders>
                    <w:tl2br w:val="nil"/>
                    <w:tr2bl w:val="nil"/>
                  </w:tcBorders>
                  <w:shd w:val="clear" w:color="auto" w:fill="auto"/>
                  <w:noWrap w:val="0"/>
                  <w:vAlign w:val="center"/>
                </w:tcPr>
                <w:p w14:paraId="1A44B61C">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9</w:t>
                  </w:r>
                </w:p>
              </w:tc>
              <w:tc>
                <w:tcPr>
                  <w:tcW w:w="3916" w:type="dxa"/>
                  <w:tcBorders>
                    <w:tl2br w:val="nil"/>
                    <w:tr2bl w:val="nil"/>
                  </w:tcBorders>
                  <w:shd w:val="clear" w:color="auto" w:fill="auto"/>
                  <w:noWrap w:val="0"/>
                  <w:vAlign w:val="center"/>
                </w:tcPr>
                <w:p w14:paraId="41DF1BDE">
                  <w:pPr>
                    <w:pStyle w:val="42"/>
                    <w:jc w:val="both"/>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禁止在合规园区外新建、扩建钢铁、石化、化工、焦化、建材、有色、制浆造纸等高污染项目。</w:t>
                  </w:r>
                </w:p>
              </w:tc>
              <w:tc>
                <w:tcPr>
                  <w:tcW w:w="1932" w:type="dxa"/>
                  <w:tcBorders>
                    <w:tl2br w:val="nil"/>
                    <w:tr2bl w:val="nil"/>
                  </w:tcBorders>
                  <w:shd w:val="clear" w:color="auto" w:fill="auto"/>
                  <w:noWrap w:val="0"/>
                  <w:vAlign w:val="center"/>
                </w:tcPr>
                <w:p w14:paraId="0B6F9DBA">
                  <w:pPr>
                    <w:pStyle w:val="42"/>
                    <w:rPr>
                      <w:rFonts w:hint="default" w:ascii="Times New Roman" w:hAnsi="Times New Roman" w:eastAsia="宋体" w:cs="Times New Roman"/>
                      <w:caps w:val="0"/>
                      <w:smallCaps w:val="0"/>
                      <w:color w:val="auto"/>
                      <w:sz w:val="21"/>
                      <w:szCs w:val="21"/>
                    </w:rPr>
                  </w:pPr>
                  <w:r>
                    <w:rPr>
                      <w:rFonts w:hint="eastAsia" w:ascii="Times New Roman" w:hAnsi="Times New Roman" w:eastAsia="宋体" w:cs="Times New Roman"/>
                      <w:caps w:val="0"/>
                      <w:smallCaps w:val="0"/>
                      <w:color w:val="auto"/>
                      <w:sz w:val="21"/>
                      <w:szCs w:val="21"/>
                      <w:lang w:val="en-US" w:eastAsia="zh-CN"/>
                    </w:rPr>
                    <w:t>本</w:t>
                  </w:r>
                  <w:r>
                    <w:rPr>
                      <w:rFonts w:hint="default" w:ascii="Times New Roman" w:hAnsi="Times New Roman" w:eastAsia="宋体" w:cs="Times New Roman"/>
                      <w:caps w:val="0"/>
                      <w:smallCaps w:val="0"/>
                      <w:color w:val="auto"/>
                      <w:sz w:val="21"/>
                      <w:szCs w:val="21"/>
                    </w:rPr>
                    <w:t>项目</w:t>
                  </w:r>
                  <w:r>
                    <w:rPr>
                      <w:rFonts w:hint="default" w:ascii="Times New Roman" w:hAnsi="Times New Roman" w:eastAsia="宋体" w:cs="Times New Roman"/>
                      <w:caps w:val="0"/>
                      <w:smallCaps w:val="0"/>
                      <w:color w:val="auto"/>
                      <w:sz w:val="21"/>
                      <w:szCs w:val="21"/>
                      <w:lang w:val="en-US" w:eastAsia="zh-CN"/>
                    </w:rPr>
                    <w:t>不属于高污染项目</w:t>
                  </w:r>
                  <w:r>
                    <w:rPr>
                      <w:rFonts w:hint="default" w:ascii="Times New Roman" w:hAnsi="Times New Roman" w:eastAsia="宋体" w:cs="Times New Roman"/>
                      <w:caps w:val="0"/>
                      <w:smallCaps w:val="0"/>
                      <w:color w:val="auto"/>
                      <w:sz w:val="21"/>
                      <w:szCs w:val="21"/>
                    </w:rPr>
                    <w:t>。</w:t>
                  </w:r>
                </w:p>
              </w:tc>
              <w:tc>
                <w:tcPr>
                  <w:tcW w:w="907" w:type="dxa"/>
                  <w:tcBorders>
                    <w:tl2br w:val="nil"/>
                    <w:tr2bl w:val="nil"/>
                  </w:tcBorders>
                  <w:shd w:val="clear" w:color="auto" w:fill="auto"/>
                  <w:noWrap w:val="0"/>
                  <w:vAlign w:val="center"/>
                </w:tcPr>
                <w:p w14:paraId="49B9D7FE">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符合</w:t>
                  </w:r>
                </w:p>
              </w:tc>
            </w:tr>
            <w:tr w14:paraId="3B51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3" w:type="dxa"/>
                  <w:tcBorders>
                    <w:tl2br w:val="nil"/>
                    <w:tr2bl w:val="nil"/>
                  </w:tcBorders>
                  <w:shd w:val="clear" w:color="auto" w:fill="auto"/>
                  <w:noWrap w:val="0"/>
                  <w:vAlign w:val="center"/>
                </w:tcPr>
                <w:p w14:paraId="68DC9656">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10</w:t>
                  </w:r>
                </w:p>
              </w:tc>
              <w:tc>
                <w:tcPr>
                  <w:tcW w:w="3916" w:type="dxa"/>
                  <w:tcBorders>
                    <w:tl2br w:val="nil"/>
                    <w:tr2bl w:val="nil"/>
                  </w:tcBorders>
                  <w:shd w:val="clear" w:color="auto" w:fill="auto"/>
                  <w:noWrap w:val="0"/>
                  <w:vAlign w:val="center"/>
                </w:tcPr>
                <w:p w14:paraId="7CBE05DF">
                  <w:pPr>
                    <w:pStyle w:val="42"/>
                    <w:jc w:val="both"/>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禁止新建、扩建不符合国家石化、现代煤化工等产业布局规划的项目。</w:t>
                  </w:r>
                </w:p>
              </w:tc>
              <w:tc>
                <w:tcPr>
                  <w:tcW w:w="1932" w:type="dxa"/>
                  <w:tcBorders>
                    <w:tl2br w:val="nil"/>
                    <w:tr2bl w:val="nil"/>
                  </w:tcBorders>
                  <w:shd w:val="clear" w:color="auto" w:fill="auto"/>
                  <w:noWrap w:val="0"/>
                  <w:vAlign w:val="center"/>
                </w:tcPr>
                <w:p w14:paraId="6D19A7F5">
                  <w:pPr>
                    <w:pStyle w:val="42"/>
                    <w:rPr>
                      <w:rFonts w:hint="default" w:ascii="Times New Roman" w:hAnsi="Times New Roman" w:eastAsia="宋体" w:cs="Times New Roman"/>
                      <w:caps w:val="0"/>
                      <w:smallCaps w:val="0"/>
                      <w:color w:val="auto"/>
                      <w:sz w:val="21"/>
                      <w:szCs w:val="21"/>
                    </w:rPr>
                  </w:pPr>
                  <w:r>
                    <w:rPr>
                      <w:rFonts w:hint="eastAsia" w:ascii="Times New Roman" w:hAnsi="Times New Roman" w:eastAsia="宋体" w:cs="Times New Roman"/>
                      <w:caps w:val="0"/>
                      <w:smallCaps w:val="0"/>
                      <w:color w:val="auto"/>
                      <w:sz w:val="21"/>
                      <w:szCs w:val="21"/>
                      <w:lang w:val="en-US" w:eastAsia="zh-CN"/>
                    </w:rPr>
                    <w:t>项目不涉及。</w:t>
                  </w:r>
                </w:p>
              </w:tc>
              <w:tc>
                <w:tcPr>
                  <w:tcW w:w="907" w:type="dxa"/>
                  <w:tcBorders>
                    <w:tl2br w:val="nil"/>
                    <w:tr2bl w:val="nil"/>
                  </w:tcBorders>
                  <w:shd w:val="clear" w:color="auto" w:fill="auto"/>
                  <w:noWrap w:val="0"/>
                  <w:vAlign w:val="center"/>
                </w:tcPr>
                <w:p w14:paraId="24C69AA6">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符合</w:t>
                  </w:r>
                </w:p>
              </w:tc>
            </w:tr>
            <w:tr w14:paraId="333E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3" w:type="dxa"/>
                  <w:tcBorders>
                    <w:tl2br w:val="nil"/>
                    <w:tr2bl w:val="nil"/>
                  </w:tcBorders>
                  <w:shd w:val="clear" w:color="auto" w:fill="auto"/>
                  <w:noWrap w:val="0"/>
                  <w:vAlign w:val="center"/>
                </w:tcPr>
                <w:p w14:paraId="15167BFE">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11</w:t>
                  </w:r>
                </w:p>
              </w:tc>
              <w:tc>
                <w:tcPr>
                  <w:tcW w:w="3916" w:type="dxa"/>
                  <w:tcBorders>
                    <w:tl2br w:val="nil"/>
                    <w:tr2bl w:val="nil"/>
                  </w:tcBorders>
                  <w:shd w:val="clear" w:color="auto" w:fill="auto"/>
                  <w:noWrap w:val="0"/>
                  <w:vAlign w:val="center"/>
                </w:tcPr>
                <w:p w14:paraId="0BE60DF7">
                  <w:pPr>
                    <w:pStyle w:val="42"/>
                    <w:jc w:val="both"/>
                    <w:rPr>
                      <w:rFonts w:hint="eastAsia" w:ascii="Times New Roman" w:hAnsi="Times New Roman" w:eastAsia="宋体" w:cs="Times New Roman"/>
                      <w:caps w:val="0"/>
                      <w:smallCaps w:val="0"/>
                      <w:color w:val="auto"/>
                      <w:sz w:val="21"/>
                      <w:szCs w:val="21"/>
                      <w:lang w:eastAsia="zh-CN"/>
                    </w:rPr>
                  </w:pPr>
                  <w:r>
                    <w:rPr>
                      <w:rFonts w:hint="default" w:ascii="Times New Roman" w:hAnsi="Times New Roman" w:eastAsia="宋体" w:cs="Times New Roman"/>
                      <w:caps w:val="0"/>
                      <w:smallCaps w:val="0"/>
                      <w:color w:val="auto"/>
                      <w:sz w:val="21"/>
                      <w:szCs w:val="21"/>
                    </w:rPr>
                    <w:t>禁止新建、扩建法律法规和相关政策明令禁止的落后产能项目。禁止新建、扩建不符合国家产能置换要求的严重过剩产能行业的项目。禁止新建、扩建不符合要求的高耗能高排放项目</w:t>
                  </w:r>
                  <w:r>
                    <w:rPr>
                      <w:rFonts w:hint="eastAsia" w:ascii="Times New Roman" w:hAnsi="Times New Roman" w:eastAsia="宋体" w:cs="Times New Roman"/>
                      <w:caps w:val="0"/>
                      <w:smallCaps w:val="0"/>
                      <w:color w:val="auto"/>
                      <w:sz w:val="21"/>
                      <w:szCs w:val="21"/>
                      <w:lang w:eastAsia="zh-CN"/>
                    </w:rPr>
                    <w:t>。</w:t>
                  </w:r>
                </w:p>
              </w:tc>
              <w:tc>
                <w:tcPr>
                  <w:tcW w:w="1932" w:type="dxa"/>
                  <w:tcBorders>
                    <w:tl2br w:val="nil"/>
                    <w:tr2bl w:val="nil"/>
                  </w:tcBorders>
                  <w:shd w:val="clear" w:color="auto" w:fill="auto"/>
                  <w:noWrap w:val="0"/>
                  <w:vAlign w:val="center"/>
                </w:tcPr>
                <w:p w14:paraId="6AE84882">
                  <w:pPr>
                    <w:pStyle w:val="42"/>
                    <w:rPr>
                      <w:rFonts w:hint="default" w:ascii="Times New Roman" w:hAnsi="Times New Roman" w:eastAsia="宋体" w:cs="Times New Roman"/>
                      <w:caps w:val="0"/>
                      <w:smallCaps w:val="0"/>
                      <w:color w:val="auto"/>
                      <w:sz w:val="21"/>
                      <w:szCs w:val="21"/>
                      <w:lang w:eastAsia="zh-CN"/>
                    </w:rPr>
                  </w:pPr>
                  <w:r>
                    <w:rPr>
                      <w:rFonts w:hint="default" w:ascii="Times New Roman" w:hAnsi="Times New Roman" w:eastAsia="宋体" w:cs="Times New Roman"/>
                      <w:caps w:val="0"/>
                      <w:smallCaps w:val="0"/>
                      <w:color w:val="auto"/>
                      <w:sz w:val="21"/>
                      <w:szCs w:val="21"/>
                    </w:rPr>
                    <w:t>本项目</w:t>
                  </w:r>
                  <w:r>
                    <w:rPr>
                      <w:rFonts w:hint="default" w:ascii="Times New Roman" w:hAnsi="Times New Roman" w:eastAsia="宋体" w:cs="Times New Roman"/>
                      <w:caps w:val="0"/>
                      <w:smallCaps w:val="0"/>
                      <w:color w:val="auto"/>
                      <w:sz w:val="21"/>
                      <w:szCs w:val="21"/>
                      <w:lang w:val="en-US" w:eastAsia="zh-CN"/>
                    </w:rPr>
                    <w:t>为</w:t>
                  </w:r>
                  <w:r>
                    <w:rPr>
                      <w:rFonts w:hint="default" w:ascii="Times New Roman" w:hAnsi="Times New Roman" w:cs="Times New Roman"/>
                      <w:color w:val="auto"/>
                      <w:sz w:val="21"/>
                      <w:szCs w:val="21"/>
                      <w:highlight w:val="none"/>
                    </w:rPr>
                    <w:t>速冻果蔬食品</w:t>
                  </w:r>
                  <w:r>
                    <w:rPr>
                      <w:rFonts w:hint="eastAsia" w:cs="Times New Roman"/>
                      <w:color w:val="auto"/>
                      <w:sz w:val="21"/>
                      <w:szCs w:val="21"/>
                      <w:highlight w:val="none"/>
                      <w:lang w:val="en-US" w:eastAsia="zh-CN"/>
                    </w:rPr>
                    <w:t>技改</w:t>
                  </w:r>
                  <w:r>
                    <w:rPr>
                      <w:rFonts w:hint="default" w:ascii="Times New Roman" w:hAnsi="Times New Roman" w:cs="Times New Roman"/>
                      <w:color w:val="auto"/>
                      <w:sz w:val="21"/>
                      <w:szCs w:val="21"/>
                      <w:highlight w:val="none"/>
                    </w:rPr>
                    <w:t>项目</w:t>
                  </w:r>
                  <w:r>
                    <w:rPr>
                      <w:rFonts w:hint="default" w:ascii="Times New Roman" w:hAnsi="Times New Roman" w:eastAsia="宋体" w:cs="Times New Roman"/>
                      <w:caps w:val="0"/>
                      <w:smallCaps w:val="0"/>
                      <w:color w:val="auto"/>
                      <w:sz w:val="21"/>
                      <w:szCs w:val="21"/>
                    </w:rPr>
                    <w:t>，对照</w:t>
                  </w:r>
                  <w:r>
                    <w:rPr>
                      <w:rFonts w:hint="default" w:ascii="Times New Roman" w:hAnsi="Times New Roman" w:eastAsia="宋体" w:cs="Times New Roman"/>
                      <w:color w:val="auto"/>
                      <w:sz w:val="21"/>
                      <w:szCs w:val="21"/>
                      <w:highlight w:val="none"/>
                      <w:lang w:val="en-US" w:eastAsia="zh-CN"/>
                    </w:rPr>
                    <w:t>《产业结构调整指导目录（2024年本）》</w:t>
                  </w:r>
                  <w:r>
                    <w:rPr>
                      <w:rFonts w:hint="default" w:ascii="Times New Roman" w:hAnsi="Times New Roman" w:eastAsia="宋体" w:cs="Times New Roman"/>
                      <w:caps w:val="0"/>
                      <w:smallCaps w:val="0"/>
                      <w:color w:val="auto"/>
                      <w:sz w:val="21"/>
                      <w:szCs w:val="21"/>
                    </w:rPr>
                    <w:t>，项目建设符合国家和地方产业政策；项目不属于落后产能项目、过剩产能行业的项目和高耗能高排放项目</w:t>
                  </w:r>
                  <w:r>
                    <w:rPr>
                      <w:rFonts w:hint="default" w:ascii="Times New Roman" w:hAnsi="Times New Roman" w:eastAsia="宋体" w:cs="Times New Roman"/>
                      <w:caps w:val="0"/>
                      <w:smallCaps w:val="0"/>
                      <w:color w:val="auto"/>
                      <w:sz w:val="21"/>
                      <w:szCs w:val="21"/>
                      <w:lang w:eastAsia="zh-CN"/>
                    </w:rPr>
                    <w:t>。</w:t>
                  </w:r>
                </w:p>
              </w:tc>
              <w:tc>
                <w:tcPr>
                  <w:tcW w:w="907" w:type="dxa"/>
                  <w:tcBorders>
                    <w:tl2br w:val="nil"/>
                    <w:tr2bl w:val="nil"/>
                  </w:tcBorders>
                  <w:shd w:val="clear" w:color="auto" w:fill="auto"/>
                  <w:noWrap w:val="0"/>
                  <w:vAlign w:val="center"/>
                </w:tcPr>
                <w:p w14:paraId="5ABDEDF4">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符合</w:t>
                  </w:r>
                </w:p>
              </w:tc>
            </w:tr>
            <w:tr w14:paraId="38C2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3" w:type="dxa"/>
                  <w:tcBorders>
                    <w:tl2br w:val="nil"/>
                    <w:tr2bl w:val="nil"/>
                  </w:tcBorders>
                  <w:shd w:val="clear" w:color="auto" w:fill="auto"/>
                  <w:noWrap w:val="0"/>
                  <w:vAlign w:val="center"/>
                </w:tcPr>
                <w:p w14:paraId="75DE54DC">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12</w:t>
                  </w:r>
                </w:p>
              </w:tc>
              <w:tc>
                <w:tcPr>
                  <w:tcW w:w="3916" w:type="dxa"/>
                  <w:tcBorders>
                    <w:tl2br w:val="nil"/>
                    <w:tr2bl w:val="nil"/>
                  </w:tcBorders>
                  <w:shd w:val="clear" w:color="auto" w:fill="auto"/>
                  <w:noWrap w:val="0"/>
                  <w:vAlign w:val="center"/>
                </w:tcPr>
                <w:p w14:paraId="2172B236">
                  <w:pPr>
                    <w:pStyle w:val="42"/>
                    <w:jc w:val="both"/>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法律法规及相关</w:t>
                  </w:r>
                  <w:r>
                    <w:rPr>
                      <w:rFonts w:hint="default" w:ascii="Times New Roman" w:hAnsi="Times New Roman" w:eastAsia="宋体" w:cs="Times New Roman"/>
                      <w:caps w:val="0"/>
                      <w:smallCaps w:val="0"/>
                      <w:color w:val="auto"/>
                      <w:sz w:val="21"/>
                      <w:szCs w:val="21"/>
                      <w:lang w:eastAsia="zh-CN"/>
                    </w:rPr>
                    <w:t>政策</w:t>
                  </w:r>
                  <w:r>
                    <w:rPr>
                      <w:rFonts w:hint="default" w:ascii="Times New Roman" w:hAnsi="Times New Roman" w:eastAsia="宋体" w:cs="Times New Roman"/>
                      <w:caps w:val="0"/>
                      <w:smallCaps w:val="0"/>
                      <w:color w:val="auto"/>
                      <w:sz w:val="21"/>
                      <w:szCs w:val="21"/>
                    </w:rPr>
                    <w:t>文件有更加严格规定的从其规定。</w:t>
                  </w:r>
                </w:p>
              </w:tc>
              <w:tc>
                <w:tcPr>
                  <w:tcW w:w="1932" w:type="dxa"/>
                  <w:tcBorders>
                    <w:tl2br w:val="nil"/>
                    <w:tr2bl w:val="nil"/>
                  </w:tcBorders>
                  <w:shd w:val="clear" w:color="auto" w:fill="auto"/>
                  <w:noWrap w:val="0"/>
                  <w:vAlign w:val="center"/>
                </w:tcPr>
                <w:p w14:paraId="5DD66191">
                  <w:pPr>
                    <w:pStyle w:val="42"/>
                    <w:rPr>
                      <w:rFonts w:hint="default" w:ascii="Times New Roman" w:hAnsi="Times New Roman" w:eastAsia="宋体" w:cs="Times New Roman"/>
                      <w:caps w:val="0"/>
                      <w:smallCaps w:val="0"/>
                      <w:color w:val="auto"/>
                      <w:sz w:val="21"/>
                      <w:szCs w:val="21"/>
                      <w:lang w:eastAsia="zh-CN"/>
                    </w:rPr>
                  </w:pPr>
                  <w:r>
                    <w:rPr>
                      <w:rFonts w:hint="default" w:ascii="Times New Roman" w:hAnsi="Times New Roman" w:eastAsia="宋体" w:cs="Times New Roman"/>
                      <w:caps w:val="0"/>
                      <w:smallCaps w:val="0"/>
                      <w:color w:val="auto"/>
                      <w:sz w:val="21"/>
                      <w:szCs w:val="21"/>
                    </w:rPr>
                    <w:t>项目符合法律法规及相关</w:t>
                  </w:r>
                  <w:r>
                    <w:rPr>
                      <w:rFonts w:hint="default" w:ascii="Times New Roman" w:hAnsi="Times New Roman" w:eastAsia="宋体" w:cs="Times New Roman"/>
                      <w:caps w:val="0"/>
                      <w:smallCaps w:val="0"/>
                      <w:color w:val="auto"/>
                      <w:sz w:val="21"/>
                      <w:szCs w:val="21"/>
                      <w:lang w:eastAsia="zh-CN"/>
                    </w:rPr>
                    <w:t>政策</w:t>
                  </w:r>
                  <w:r>
                    <w:rPr>
                      <w:rFonts w:hint="default" w:ascii="Times New Roman" w:hAnsi="Times New Roman" w:eastAsia="宋体" w:cs="Times New Roman"/>
                      <w:caps w:val="0"/>
                      <w:smallCaps w:val="0"/>
                      <w:color w:val="auto"/>
                      <w:sz w:val="21"/>
                      <w:szCs w:val="21"/>
                    </w:rPr>
                    <w:t>文件规定</w:t>
                  </w:r>
                  <w:r>
                    <w:rPr>
                      <w:rFonts w:hint="default" w:ascii="Times New Roman" w:hAnsi="Times New Roman" w:eastAsia="宋体" w:cs="Times New Roman"/>
                      <w:caps w:val="0"/>
                      <w:smallCaps w:val="0"/>
                      <w:color w:val="auto"/>
                      <w:sz w:val="21"/>
                      <w:szCs w:val="21"/>
                      <w:lang w:eastAsia="zh-CN"/>
                    </w:rPr>
                    <w:t>。</w:t>
                  </w:r>
                </w:p>
              </w:tc>
              <w:tc>
                <w:tcPr>
                  <w:tcW w:w="907" w:type="dxa"/>
                  <w:tcBorders>
                    <w:tl2br w:val="nil"/>
                    <w:tr2bl w:val="nil"/>
                  </w:tcBorders>
                  <w:shd w:val="clear" w:color="auto" w:fill="auto"/>
                  <w:noWrap w:val="0"/>
                  <w:vAlign w:val="center"/>
                </w:tcPr>
                <w:p w14:paraId="40B51375">
                  <w:pPr>
                    <w:pStyle w:val="42"/>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符合</w:t>
                  </w:r>
                </w:p>
              </w:tc>
            </w:tr>
          </w:tbl>
          <w:p w14:paraId="74F68C7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color w:val="auto"/>
                <w:lang w:val="en-US" w:eastAsia="zh-CN"/>
              </w:rPr>
            </w:pPr>
            <w:r>
              <w:rPr>
                <w:rFonts w:hint="default" w:ascii="Times New Roman" w:hAnsi="Times New Roman" w:eastAsia="宋体" w:cs="Times New Roman"/>
                <w:b w:val="0"/>
                <w:caps w:val="0"/>
                <w:smallCaps w:val="0"/>
                <w:color w:val="auto"/>
                <w:kern w:val="2"/>
                <w:sz w:val="24"/>
                <w:szCs w:val="24"/>
                <w:highlight w:val="none"/>
                <w:lang w:val="en-US" w:eastAsia="zh-CN" w:bidi="ar-SA"/>
              </w:rPr>
              <w:t>根据上表，本项目建设符合《长江经济带发展负面清单指南（试行，2022年版）》（长江办〔2022〕7号）的要求。</w:t>
            </w:r>
          </w:p>
          <w:p w14:paraId="0323C3E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t>5</w:t>
            </w:r>
            <w:r>
              <w:rPr>
                <w:rFonts w:hint="default" w:ascii="Times New Roman" w:hAnsi="Times New Roman"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与《云南省长江经济带发展负面清单指南实施细则（试行</w:t>
            </w:r>
            <w:r>
              <w:rPr>
                <w:rFonts w:hint="default" w:ascii="Times New Roman" w:hAnsi="Times New Roman" w:cs="Times New Roman"/>
                <w:b/>
                <w:bCs/>
                <w:color w:val="auto"/>
                <w:kern w:val="2"/>
                <w:sz w:val="24"/>
                <w:szCs w:val="24"/>
                <w:highlight w:val="none"/>
                <w:lang w:val="en-US" w:eastAsia="zh-CN" w:bidi="ar-SA"/>
              </w:rPr>
              <w:t>，2022年版）</w:t>
            </w:r>
            <w:r>
              <w:rPr>
                <w:rFonts w:hint="default" w:ascii="Times New Roman" w:hAnsi="Times New Roman" w:eastAsia="宋体" w:cs="Times New Roman"/>
                <w:b/>
                <w:bCs/>
                <w:color w:val="auto"/>
                <w:kern w:val="2"/>
                <w:sz w:val="24"/>
                <w:szCs w:val="24"/>
                <w:highlight w:val="none"/>
                <w:lang w:val="en-US" w:eastAsia="zh-CN" w:bidi="ar-SA"/>
              </w:rPr>
              <w:t>》的符合性分析</w:t>
            </w:r>
          </w:p>
          <w:p w14:paraId="39CF6C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eastAsia="宋体" w:cs="Times New Roman"/>
                <w:color w:val="auto"/>
                <w:kern w:val="2"/>
                <w:sz w:val="24"/>
                <w:szCs w:val="24"/>
                <w:highlight w:val="none"/>
                <w:lang w:val="en-US" w:eastAsia="zh-CN" w:bidi="ar-SA"/>
              </w:rPr>
              <w:t>经对照《云南省长江经济带发展负面清单指南实施细则</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试行</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2022年版</w:t>
            </w:r>
            <w:r>
              <w:rPr>
                <w:rFonts w:hint="default" w:ascii="Times New Roman" w:hAnsi="Times New Roman" w:eastAsia="宋体" w:cs="Times New Roman"/>
                <w:color w:val="auto"/>
                <w:kern w:val="2"/>
                <w:sz w:val="24"/>
                <w:szCs w:val="24"/>
                <w:highlight w:val="none"/>
                <w:lang w:val="en-US" w:eastAsia="zh-CN" w:bidi="ar-SA"/>
              </w:rPr>
              <w:t>），本项目没有位于禁止开发的各功能区及保护区内。</w:t>
            </w:r>
            <w:r>
              <w:rPr>
                <w:rFonts w:hint="default" w:ascii="Times New Roman" w:hAnsi="Times New Roman" w:cs="Times New Roman"/>
                <w:color w:val="auto"/>
                <w:kern w:val="2"/>
                <w:sz w:val="24"/>
                <w:szCs w:val="24"/>
                <w:highlight w:val="none"/>
                <w:lang w:val="en-US" w:eastAsia="zh-CN" w:bidi="ar-SA"/>
              </w:rPr>
              <w:t>与“</w:t>
            </w:r>
            <w:r>
              <w:rPr>
                <w:rFonts w:hint="default" w:ascii="Times New Roman" w:hAnsi="Times New Roman" w:eastAsia="宋体" w:cs="Times New Roman"/>
                <w:color w:val="auto"/>
                <w:kern w:val="2"/>
                <w:sz w:val="24"/>
                <w:szCs w:val="24"/>
                <w:highlight w:val="none"/>
                <w:lang w:val="en-US" w:eastAsia="zh-CN" w:bidi="ar-SA"/>
              </w:rPr>
              <w:t>实施细则</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工业布局的要求</w:t>
            </w:r>
            <w:r>
              <w:rPr>
                <w:rFonts w:hint="default" w:ascii="Times New Roman" w:hAnsi="Times New Roman" w:cs="Times New Roman"/>
                <w:color w:val="auto"/>
                <w:kern w:val="2"/>
                <w:sz w:val="24"/>
                <w:szCs w:val="24"/>
                <w:highlight w:val="none"/>
                <w:lang w:val="en-US" w:eastAsia="zh-CN" w:bidi="ar-SA"/>
              </w:rPr>
              <w:t>对照分析见下表</w:t>
            </w:r>
            <w:r>
              <w:rPr>
                <w:rFonts w:hint="default" w:ascii="Times New Roman" w:hAnsi="Times New Roman" w:eastAsia="宋体" w:cs="Times New Roman"/>
                <w:color w:val="auto"/>
                <w:kern w:val="2"/>
                <w:sz w:val="24"/>
                <w:szCs w:val="24"/>
                <w:highlight w:val="none"/>
                <w:lang w:val="en-US" w:eastAsia="zh-CN" w:bidi="ar-SA"/>
              </w:rPr>
              <w:t>：</w:t>
            </w:r>
          </w:p>
          <w:p w14:paraId="411F6258">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0"/>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b/>
                <w:bCs/>
                <w:color w:val="auto"/>
                <w:kern w:val="0"/>
                <w:sz w:val="21"/>
                <w:szCs w:val="21"/>
                <w:lang w:val="en-US" w:eastAsia="zh-CN"/>
              </w:rPr>
              <w:t>表1-</w:t>
            </w:r>
            <w:r>
              <w:rPr>
                <w:rFonts w:hint="eastAsia" w:cs="Times New Roman"/>
                <w:b/>
                <w:bCs/>
                <w:color w:val="auto"/>
                <w:kern w:val="0"/>
                <w:sz w:val="21"/>
                <w:szCs w:val="21"/>
                <w:lang w:val="en-US" w:eastAsia="zh-CN"/>
              </w:rPr>
              <w:t>6</w:t>
            </w:r>
            <w:r>
              <w:rPr>
                <w:rFonts w:hint="default" w:ascii="Times New Roman" w:hAnsi="Times New Roman" w:cs="Times New Roman"/>
                <w:b/>
                <w:bCs/>
                <w:color w:val="auto"/>
                <w:kern w:val="0"/>
                <w:sz w:val="21"/>
                <w:szCs w:val="21"/>
                <w:lang w:val="en-US" w:eastAsia="zh-CN"/>
              </w:rPr>
              <w:t xml:space="preserve">  项目与“实施细则”工业布局的要求</w:t>
            </w:r>
            <w:r>
              <w:rPr>
                <w:rFonts w:hint="eastAsia" w:ascii="Times New Roman" w:hAnsi="Times New Roman" w:cs="Times New Roman"/>
                <w:b/>
                <w:bCs/>
                <w:color w:val="auto"/>
                <w:kern w:val="0"/>
                <w:sz w:val="21"/>
                <w:szCs w:val="21"/>
                <w:lang w:val="en-US" w:eastAsia="zh-CN"/>
              </w:rPr>
              <w:t>分析一览表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399"/>
              <w:gridCol w:w="2346"/>
              <w:gridCol w:w="772"/>
            </w:tblGrid>
            <w:tr w14:paraId="0608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tcBorders>
                    <w:tl2br w:val="nil"/>
                    <w:tr2bl w:val="nil"/>
                  </w:tcBorders>
                  <w:noWrap w:val="0"/>
                  <w:vAlign w:val="center"/>
                </w:tcPr>
                <w:p w14:paraId="56C93E8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cs="Times New Roman"/>
                      <w:b/>
                      <w:bCs/>
                      <w:color w:val="auto"/>
                      <w:kern w:val="2"/>
                      <w:sz w:val="21"/>
                      <w:szCs w:val="21"/>
                      <w:highlight w:val="none"/>
                      <w:vertAlign w:val="baseline"/>
                      <w:lang w:val="en-US" w:eastAsia="zh-CN" w:bidi="ar-SA"/>
                    </w:rPr>
                    <w:t>实施细则</w:t>
                  </w:r>
                </w:p>
              </w:tc>
              <w:tc>
                <w:tcPr>
                  <w:tcW w:w="2351" w:type="pct"/>
                  <w:tcBorders>
                    <w:tl2br w:val="nil"/>
                    <w:tr2bl w:val="nil"/>
                  </w:tcBorders>
                  <w:noWrap w:val="0"/>
                  <w:vAlign w:val="center"/>
                </w:tcPr>
                <w:p w14:paraId="7BB908B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cs="Times New Roman"/>
                      <w:b/>
                      <w:bCs/>
                      <w:color w:val="auto"/>
                      <w:kern w:val="0"/>
                      <w:sz w:val="21"/>
                      <w:szCs w:val="21"/>
                      <w:lang w:val="en-US" w:eastAsia="zh-CN"/>
                    </w:rPr>
                    <w:t>管控要求</w:t>
                  </w:r>
                </w:p>
              </w:tc>
              <w:tc>
                <w:tcPr>
                  <w:tcW w:w="1623" w:type="pct"/>
                  <w:tcBorders>
                    <w:tl2br w:val="nil"/>
                    <w:tr2bl w:val="nil"/>
                  </w:tcBorders>
                  <w:noWrap w:val="0"/>
                  <w:vAlign w:val="center"/>
                </w:tcPr>
                <w:p w14:paraId="237B527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cs="Times New Roman"/>
                      <w:b/>
                      <w:bCs/>
                      <w:color w:val="auto"/>
                      <w:kern w:val="2"/>
                      <w:sz w:val="21"/>
                      <w:szCs w:val="21"/>
                      <w:highlight w:val="none"/>
                      <w:vertAlign w:val="baseline"/>
                      <w:lang w:val="en-US" w:eastAsia="zh-CN" w:bidi="ar-SA"/>
                    </w:rPr>
                    <w:t>本项目情况</w:t>
                  </w:r>
                </w:p>
              </w:tc>
              <w:tc>
                <w:tcPr>
                  <w:tcW w:w="534" w:type="pct"/>
                  <w:tcBorders>
                    <w:tl2br w:val="nil"/>
                    <w:tr2bl w:val="nil"/>
                  </w:tcBorders>
                  <w:noWrap w:val="0"/>
                  <w:vAlign w:val="center"/>
                </w:tcPr>
                <w:p w14:paraId="515382F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cs="Times New Roman"/>
                      <w:b/>
                      <w:bCs/>
                      <w:color w:val="auto"/>
                      <w:kern w:val="2"/>
                      <w:sz w:val="21"/>
                      <w:szCs w:val="21"/>
                      <w:highlight w:val="none"/>
                      <w:vertAlign w:val="baseline"/>
                      <w:lang w:val="en-US" w:eastAsia="zh-CN" w:bidi="ar-SA"/>
                    </w:rPr>
                    <w:t>符合</w:t>
                  </w:r>
                  <w:r>
                    <w:rPr>
                      <w:rFonts w:hint="eastAsia" w:ascii="Times New Roman" w:hAnsi="Times New Roman" w:cs="Times New Roman"/>
                      <w:b/>
                      <w:bCs/>
                      <w:color w:val="auto"/>
                      <w:kern w:val="2"/>
                      <w:sz w:val="21"/>
                      <w:szCs w:val="21"/>
                      <w:highlight w:val="none"/>
                      <w:vertAlign w:val="baseline"/>
                      <w:lang w:val="en-US" w:eastAsia="zh-CN" w:bidi="ar-SA"/>
                    </w:rPr>
                    <w:t>性</w:t>
                  </w:r>
                </w:p>
              </w:tc>
            </w:tr>
            <w:tr w14:paraId="75A1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tcBorders>
                    <w:tl2br w:val="nil"/>
                    <w:tr2bl w:val="nil"/>
                  </w:tcBorders>
                  <w:noWrap w:val="0"/>
                  <w:vAlign w:val="center"/>
                </w:tcPr>
                <w:p w14:paraId="169B2B4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1</w:t>
                  </w:r>
                </w:p>
              </w:tc>
              <w:tc>
                <w:tcPr>
                  <w:tcW w:w="2351" w:type="pct"/>
                  <w:tcBorders>
                    <w:tl2br w:val="nil"/>
                    <w:tr2bl w:val="nil"/>
                  </w:tcBorders>
                  <w:noWrap w:val="0"/>
                  <w:vAlign w:val="center"/>
                </w:tcPr>
                <w:p w14:paraId="226916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禁止新建、改建和扩建不符合《全国内河航道与港口布局规划》等全国港口规划和《昭通市港口码头岸线规划（金沙江段2019年</w:t>
                  </w:r>
                  <w:r>
                    <w:rPr>
                      <w:rFonts w:hint="eastAsia" w:ascii="Times New Roman" w:hAnsi="Times New Roman" w:eastAsia="宋体" w:cs="Times New Roman"/>
                      <w:color w:val="auto"/>
                      <w:kern w:val="2"/>
                      <w:sz w:val="21"/>
                      <w:szCs w:val="21"/>
                      <w:highlight w:val="none"/>
                      <w:vertAlign w:val="baseline"/>
                      <w:lang w:val="en-US" w:eastAsia="zh-CN" w:bidi="ar-SA"/>
                    </w:rPr>
                    <w:t>-</w:t>
                  </w:r>
                  <w:r>
                    <w:rPr>
                      <w:rFonts w:hint="default" w:ascii="Times New Roman" w:hAnsi="Times New Roman" w:eastAsia="宋体" w:cs="Times New Roman"/>
                      <w:color w:val="auto"/>
                      <w:kern w:val="2"/>
                      <w:sz w:val="21"/>
                      <w:szCs w:val="21"/>
                      <w:highlight w:val="none"/>
                      <w:vertAlign w:val="baseline"/>
                      <w:lang w:val="en-US" w:eastAsia="zh-CN" w:bidi="ar-SA"/>
                    </w:rPr>
                    <w:t>2035年）》、《景洪港总体规划（2019</w:t>
                  </w:r>
                  <w:r>
                    <w:rPr>
                      <w:rFonts w:hint="eastAsia" w:ascii="Times New Roman" w:hAnsi="Times New Roman" w:eastAsia="宋体" w:cs="Times New Roman"/>
                      <w:color w:val="auto"/>
                      <w:kern w:val="2"/>
                      <w:sz w:val="21"/>
                      <w:szCs w:val="21"/>
                      <w:highlight w:val="none"/>
                      <w:vertAlign w:val="baseline"/>
                      <w:lang w:val="en-US" w:eastAsia="zh-CN" w:bidi="ar-SA"/>
                    </w:rPr>
                    <w:t>-</w:t>
                  </w:r>
                  <w:r>
                    <w:rPr>
                      <w:rFonts w:hint="default" w:ascii="Times New Roman" w:hAnsi="Times New Roman" w:eastAsia="宋体" w:cs="Times New Roman"/>
                      <w:color w:val="auto"/>
                      <w:kern w:val="2"/>
                      <w:sz w:val="21"/>
                      <w:szCs w:val="21"/>
                      <w:highlight w:val="none"/>
                      <w:vertAlign w:val="baseline"/>
                      <w:lang w:val="en-US" w:eastAsia="zh-CN" w:bidi="ar-SA"/>
                    </w:rPr>
                    <w:t>2035年）》等州（市）级以上港口布局规划以及港口总体规划的码头项目。</w:t>
                  </w:r>
                </w:p>
              </w:tc>
              <w:tc>
                <w:tcPr>
                  <w:tcW w:w="1623" w:type="pct"/>
                  <w:tcBorders>
                    <w:tl2br w:val="nil"/>
                    <w:tr2bl w:val="nil"/>
                  </w:tcBorders>
                  <w:noWrap w:val="0"/>
                  <w:vAlign w:val="center"/>
                </w:tcPr>
                <w:p w14:paraId="678A74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本项目不属于港口项目。</w:t>
                  </w:r>
                </w:p>
              </w:tc>
              <w:tc>
                <w:tcPr>
                  <w:tcW w:w="534" w:type="pct"/>
                  <w:tcBorders>
                    <w:tl2br w:val="nil"/>
                    <w:tr2bl w:val="nil"/>
                  </w:tcBorders>
                  <w:noWrap w:val="0"/>
                  <w:vAlign w:val="center"/>
                </w:tcPr>
                <w:p w14:paraId="1F165DF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符合</w:t>
                  </w:r>
                </w:p>
              </w:tc>
            </w:tr>
            <w:tr w14:paraId="18EC2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tcBorders>
                    <w:tl2br w:val="nil"/>
                    <w:tr2bl w:val="nil"/>
                  </w:tcBorders>
                  <w:noWrap w:val="0"/>
                  <w:vAlign w:val="center"/>
                </w:tcPr>
                <w:p w14:paraId="4B968B4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2</w:t>
                  </w:r>
                </w:p>
              </w:tc>
              <w:tc>
                <w:tcPr>
                  <w:tcW w:w="2351" w:type="pct"/>
                  <w:tcBorders>
                    <w:tl2br w:val="nil"/>
                    <w:tr2bl w:val="nil"/>
                  </w:tcBorders>
                  <w:noWrap w:val="0"/>
                  <w:vAlign w:val="center"/>
                </w:tcPr>
                <w:p w14:paraId="0A21A68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623" w:type="pct"/>
                  <w:tcBorders>
                    <w:tl2br w:val="nil"/>
                    <w:tr2bl w:val="nil"/>
                  </w:tcBorders>
                  <w:noWrap w:val="0"/>
                  <w:vAlign w:val="center"/>
                </w:tcPr>
                <w:p w14:paraId="6EE9C8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本项目不涉及《长江岸线保护和开发利用总体规划》划定的岸线保护区、《全国重要江河湖泊水功能区划》划定的河段保护区、保留区。本项目不属于旅游项目，不进行开矿、采石、挖沙等活动；本项目不</w:t>
                  </w:r>
                  <w:r>
                    <w:rPr>
                      <w:rFonts w:hint="default" w:ascii="Times New Roman" w:hAnsi="Times New Roman" w:cs="Times New Roman"/>
                      <w:color w:val="auto"/>
                      <w:kern w:val="2"/>
                      <w:sz w:val="21"/>
                      <w:szCs w:val="21"/>
                      <w:highlight w:val="none"/>
                      <w:vertAlign w:val="baseline"/>
                      <w:lang w:val="en-US" w:eastAsia="zh-CN" w:bidi="ar-SA"/>
                    </w:rPr>
                    <w:t>涉及</w:t>
                  </w:r>
                  <w:r>
                    <w:rPr>
                      <w:rFonts w:hint="default" w:ascii="Times New Roman" w:hAnsi="Times New Roman" w:eastAsia="宋体" w:cs="Times New Roman"/>
                      <w:color w:val="auto"/>
                      <w:kern w:val="2"/>
                      <w:sz w:val="21"/>
                      <w:szCs w:val="21"/>
                      <w:highlight w:val="none"/>
                      <w:vertAlign w:val="baseline"/>
                      <w:lang w:val="en-US" w:eastAsia="zh-CN" w:bidi="ar-SA"/>
                    </w:rPr>
                    <w:t>自然保护区的核心区、缓冲区和试验区内。</w:t>
                  </w:r>
                </w:p>
              </w:tc>
              <w:tc>
                <w:tcPr>
                  <w:tcW w:w="534" w:type="pct"/>
                  <w:tcBorders>
                    <w:tl2br w:val="nil"/>
                    <w:tr2bl w:val="nil"/>
                  </w:tcBorders>
                  <w:noWrap w:val="0"/>
                  <w:vAlign w:val="center"/>
                </w:tcPr>
                <w:p w14:paraId="0750712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符合</w:t>
                  </w:r>
                </w:p>
              </w:tc>
            </w:tr>
            <w:tr w14:paraId="1C52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tcBorders>
                    <w:tl2br w:val="nil"/>
                    <w:tr2bl w:val="nil"/>
                  </w:tcBorders>
                  <w:noWrap w:val="0"/>
                  <w:vAlign w:val="center"/>
                </w:tcPr>
                <w:p w14:paraId="51A112C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3</w:t>
                  </w:r>
                </w:p>
              </w:tc>
              <w:tc>
                <w:tcPr>
                  <w:tcW w:w="2351" w:type="pct"/>
                  <w:tcBorders>
                    <w:tl2br w:val="nil"/>
                    <w:tr2bl w:val="nil"/>
                  </w:tcBorders>
                  <w:noWrap w:val="0"/>
                  <w:vAlign w:val="center"/>
                </w:tcPr>
                <w:p w14:paraId="3583142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禁止在风景名胜区核心景区的岸线和河段范围内投资建设与风景名</w:t>
                  </w:r>
                  <w:r>
                    <w:rPr>
                      <w:rFonts w:hint="eastAsia" w:cs="Times New Roman"/>
                      <w:color w:val="auto"/>
                      <w:kern w:val="2"/>
                      <w:sz w:val="21"/>
                      <w:szCs w:val="21"/>
                      <w:highlight w:val="none"/>
                      <w:vertAlign w:val="baseline"/>
                      <w:lang w:val="en-US" w:eastAsia="zh-CN" w:bidi="ar-SA"/>
                    </w:rPr>
                    <w:t>胜区</w:t>
                  </w:r>
                  <w:r>
                    <w:rPr>
                      <w:rFonts w:hint="default" w:ascii="Times New Roman" w:hAnsi="Times New Roman" w:eastAsia="宋体" w:cs="Times New Roman"/>
                      <w:color w:val="auto"/>
                      <w:kern w:val="2"/>
                      <w:sz w:val="21"/>
                      <w:szCs w:val="21"/>
                      <w:highlight w:val="none"/>
                      <w:vertAlign w:val="baseline"/>
                      <w:lang w:val="en-US" w:eastAsia="zh-CN" w:bidi="ar-SA"/>
                    </w:rPr>
                    <w:t>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w:t>
                  </w:r>
                  <w:r>
                    <w:rPr>
                      <w:rFonts w:hint="eastAsia" w:cs="Times New Roman"/>
                      <w:color w:val="auto"/>
                      <w:kern w:val="2"/>
                      <w:sz w:val="21"/>
                      <w:szCs w:val="21"/>
                      <w:highlight w:val="none"/>
                      <w:vertAlign w:val="baseline"/>
                      <w:lang w:val="en-US" w:eastAsia="zh-CN" w:bidi="ar-SA"/>
                    </w:rPr>
                    <w:t>胜区</w:t>
                  </w:r>
                  <w:r>
                    <w:rPr>
                      <w:rFonts w:hint="default" w:ascii="Times New Roman" w:hAnsi="Times New Roman" w:eastAsia="宋体" w:cs="Times New Roman"/>
                      <w:color w:val="auto"/>
                      <w:kern w:val="2"/>
                      <w:sz w:val="21"/>
                      <w:szCs w:val="21"/>
                      <w:highlight w:val="none"/>
                      <w:vertAlign w:val="baseline"/>
                      <w:lang w:val="en-US" w:eastAsia="zh-CN" w:bidi="ar-SA"/>
                    </w:rPr>
                    <w:t>资源保护无关的投资建设项目。</w:t>
                  </w:r>
                  <w:r>
                    <w:rPr>
                      <w:rFonts w:hint="default" w:ascii="Times New Roman" w:hAnsi="Times New Roman" w:cs="Times New Roman"/>
                      <w:color w:val="auto"/>
                      <w:kern w:val="2"/>
                      <w:sz w:val="21"/>
                      <w:szCs w:val="21"/>
                      <w:highlight w:val="none"/>
                      <w:vertAlign w:val="baseline"/>
                      <w:lang w:val="en-US" w:eastAsia="zh-CN" w:bidi="ar-SA"/>
                    </w:rPr>
                    <w:t xml:space="preserve"> </w:t>
                  </w:r>
                </w:p>
              </w:tc>
              <w:tc>
                <w:tcPr>
                  <w:tcW w:w="1623" w:type="pct"/>
                  <w:tcBorders>
                    <w:tl2br w:val="nil"/>
                    <w:tr2bl w:val="nil"/>
                  </w:tcBorders>
                  <w:noWrap w:val="0"/>
                  <w:vAlign w:val="center"/>
                </w:tcPr>
                <w:p w14:paraId="0349B2C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本</w:t>
                  </w:r>
                  <w:r>
                    <w:rPr>
                      <w:rFonts w:hint="default" w:ascii="Times New Roman" w:hAnsi="Times New Roman" w:eastAsia="宋体" w:cs="Times New Roman"/>
                      <w:color w:val="auto"/>
                      <w:kern w:val="2"/>
                      <w:sz w:val="21"/>
                      <w:szCs w:val="21"/>
                      <w:highlight w:val="none"/>
                      <w:vertAlign w:val="baseline"/>
                      <w:lang w:val="en-US" w:eastAsia="zh-CN" w:bidi="ar-SA"/>
                    </w:rPr>
                    <w:t>项目用地不涉及风景名胜区</w:t>
                  </w:r>
                  <w:r>
                    <w:rPr>
                      <w:rFonts w:hint="default" w:ascii="Times New Roman" w:hAnsi="Times New Roman" w:cs="Times New Roman"/>
                      <w:color w:val="auto"/>
                      <w:kern w:val="2"/>
                      <w:sz w:val="21"/>
                      <w:szCs w:val="21"/>
                      <w:highlight w:val="none"/>
                      <w:vertAlign w:val="baseline"/>
                      <w:lang w:val="en-US" w:eastAsia="zh-CN" w:bidi="ar-SA"/>
                    </w:rPr>
                    <w:t>。</w:t>
                  </w:r>
                </w:p>
              </w:tc>
              <w:tc>
                <w:tcPr>
                  <w:tcW w:w="534" w:type="pct"/>
                  <w:tcBorders>
                    <w:tl2br w:val="nil"/>
                    <w:tr2bl w:val="nil"/>
                  </w:tcBorders>
                  <w:noWrap w:val="0"/>
                  <w:vAlign w:val="center"/>
                </w:tcPr>
                <w:p w14:paraId="7A12E74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符合</w:t>
                  </w:r>
                </w:p>
              </w:tc>
            </w:tr>
            <w:tr w14:paraId="6F27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tcBorders>
                    <w:tl2br w:val="nil"/>
                    <w:tr2bl w:val="nil"/>
                  </w:tcBorders>
                  <w:noWrap w:val="0"/>
                  <w:vAlign w:val="center"/>
                </w:tcPr>
                <w:p w14:paraId="06CC23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4</w:t>
                  </w:r>
                </w:p>
              </w:tc>
              <w:tc>
                <w:tcPr>
                  <w:tcW w:w="2351" w:type="pct"/>
                  <w:tcBorders>
                    <w:tl2br w:val="nil"/>
                    <w:tr2bl w:val="nil"/>
                  </w:tcBorders>
                  <w:noWrap w:val="0"/>
                  <w:vAlign w:val="center"/>
                </w:tcPr>
                <w:p w14:paraId="0C526F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r>
                    <w:rPr>
                      <w:rFonts w:hint="default" w:ascii="Times New Roman" w:hAnsi="Times New Roman" w:cs="Times New Roman"/>
                      <w:color w:val="auto"/>
                      <w:kern w:val="2"/>
                      <w:sz w:val="21"/>
                      <w:szCs w:val="21"/>
                      <w:highlight w:val="none"/>
                      <w:vertAlign w:val="baseline"/>
                      <w:lang w:val="en-US" w:eastAsia="zh-CN" w:bidi="ar-SA"/>
                    </w:rPr>
                    <w:t>。</w:t>
                  </w:r>
                </w:p>
              </w:tc>
              <w:tc>
                <w:tcPr>
                  <w:tcW w:w="1623" w:type="pct"/>
                  <w:tcBorders>
                    <w:tl2br w:val="nil"/>
                    <w:tr2bl w:val="nil"/>
                  </w:tcBorders>
                  <w:noWrap w:val="0"/>
                  <w:vAlign w:val="center"/>
                </w:tcPr>
                <w:p w14:paraId="010DE84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本项目不涉及饮用水水源一级保护区、饮用水水源二级保护区。</w:t>
                  </w:r>
                </w:p>
              </w:tc>
              <w:tc>
                <w:tcPr>
                  <w:tcW w:w="534" w:type="pct"/>
                  <w:tcBorders>
                    <w:tl2br w:val="nil"/>
                    <w:tr2bl w:val="nil"/>
                  </w:tcBorders>
                  <w:noWrap w:val="0"/>
                  <w:vAlign w:val="center"/>
                </w:tcPr>
                <w:p w14:paraId="4458F94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符合</w:t>
                  </w:r>
                </w:p>
              </w:tc>
            </w:tr>
            <w:tr w14:paraId="3E98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tcBorders>
                    <w:tl2br w:val="nil"/>
                    <w:tr2bl w:val="nil"/>
                  </w:tcBorders>
                  <w:noWrap w:val="0"/>
                  <w:vAlign w:val="center"/>
                </w:tcPr>
                <w:p w14:paraId="62D18E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5</w:t>
                  </w:r>
                </w:p>
              </w:tc>
              <w:tc>
                <w:tcPr>
                  <w:tcW w:w="2351" w:type="pct"/>
                  <w:tcBorders>
                    <w:tl2br w:val="nil"/>
                    <w:tr2bl w:val="nil"/>
                  </w:tcBorders>
                  <w:noWrap w:val="0"/>
                  <w:vAlign w:val="center"/>
                </w:tcPr>
                <w:p w14:paraId="20580C0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623" w:type="pct"/>
                  <w:tcBorders>
                    <w:tl2br w:val="nil"/>
                    <w:tr2bl w:val="nil"/>
                  </w:tcBorders>
                  <w:noWrap w:val="0"/>
                  <w:vAlign w:val="center"/>
                </w:tcPr>
                <w:p w14:paraId="28C37C8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本项目不涉及水产种质资源保护区的岸线或河段范围；本项目不涉及国家湿地公园的土地。</w:t>
                  </w:r>
                </w:p>
              </w:tc>
              <w:tc>
                <w:tcPr>
                  <w:tcW w:w="534" w:type="pct"/>
                  <w:tcBorders>
                    <w:tl2br w:val="nil"/>
                    <w:tr2bl w:val="nil"/>
                  </w:tcBorders>
                  <w:noWrap w:val="0"/>
                  <w:vAlign w:val="center"/>
                </w:tcPr>
                <w:p w14:paraId="160D99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符合</w:t>
                  </w:r>
                </w:p>
              </w:tc>
            </w:tr>
            <w:tr w14:paraId="372E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tcBorders>
                    <w:tl2br w:val="nil"/>
                    <w:tr2bl w:val="nil"/>
                  </w:tcBorders>
                  <w:noWrap w:val="0"/>
                  <w:vAlign w:val="center"/>
                </w:tcPr>
                <w:p w14:paraId="2348A8D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6</w:t>
                  </w:r>
                </w:p>
              </w:tc>
              <w:tc>
                <w:tcPr>
                  <w:tcW w:w="2351" w:type="pct"/>
                  <w:tcBorders>
                    <w:tl2br w:val="nil"/>
                    <w:tr2bl w:val="nil"/>
                  </w:tcBorders>
                  <w:noWrap w:val="0"/>
                  <w:vAlign w:val="center"/>
                </w:tcPr>
                <w:p w14:paraId="2566EF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623" w:type="pct"/>
                  <w:tcBorders>
                    <w:tl2br w:val="nil"/>
                    <w:tr2bl w:val="nil"/>
                  </w:tcBorders>
                  <w:noWrap w:val="0"/>
                  <w:vAlign w:val="center"/>
                </w:tcPr>
                <w:p w14:paraId="024377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本项目不涉及占用长江流域河湖岸线项目</w:t>
                  </w:r>
                  <w:r>
                    <w:rPr>
                      <w:rFonts w:hint="default" w:ascii="Times New Roman" w:hAnsi="Times New Roman" w:cs="Times New Roman"/>
                      <w:color w:val="auto"/>
                      <w:kern w:val="2"/>
                      <w:sz w:val="21"/>
                      <w:szCs w:val="21"/>
                      <w:highlight w:val="none"/>
                      <w:vertAlign w:val="baseline"/>
                      <w:lang w:val="en-US" w:eastAsia="zh-CN" w:bidi="ar-SA"/>
                    </w:rPr>
                    <w:t>。</w:t>
                  </w:r>
                </w:p>
              </w:tc>
              <w:tc>
                <w:tcPr>
                  <w:tcW w:w="534" w:type="pct"/>
                  <w:tcBorders>
                    <w:tl2br w:val="nil"/>
                    <w:tr2bl w:val="nil"/>
                  </w:tcBorders>
                  <w:noWrap w:val="0"/>
                  <w:vAlign w:val="center"/>
                </w:tcPr>
                <w:p w14:paraId="13C3CD7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符合</w:t>
                  </w:r>
                </w:p>
              </w:tc>
            </w:tr>
            <w:tr w14:paraId="62EB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tcBorders>
                    <w:tl2br w:val="nil"/>
                    <w:tr2bl w:val="nil"/>
                  </w:tcBorders>
                  <w:noWrap w:val="0"/>
                  <w:vAlign w:val="center"/>
                </w:tcPr>
                <w:p w14:paraId="4B07539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7</w:t>
                  </w:r>
                </w:p>
              </w:tc>
              <w:tc>
                <w:tcPr>
                  <w:tcW w:w="2351" w:type="pct"/>
                  <w:tcBorders>
                    <w:tl2br w:val="nil"/>
                    <w:tr2bl w:val="nil"/>
                  </w:tcBorders>
                  <w:noWrap w:val="0"/>
                  <w:vAlign w:val="center"/>
                </w:tcPr>
                <w:p w14:paraId="2289E6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禁止在金沙江干流、长江一级支流建设除党中央、国务院、国家投资主管部门、省级有关部门批复同意以外的过江基础设施项目；禁止未经许可在金沙江干流、长江一级支流、九大高原湖泊流域新设、改设或扩大排污口</w:t>
                  </w:r>
                  <w:r>
                    <w:rPr>
                      <w:rFonts w:hint="default" w:ascii="Times New Roman" w:hAnsi="Times New Roman" w:cs="Times New Roman"/>
                      <w:color w:val="auto"/>
                      <w:kern w:val="2"/>
                      <w:sz w:val="21"/>
                      <w:szCs w:val="21"/>
                      <w:highlight w:val="none"/>
                      <w:vertAlign w:val="baseline"/>
                      <w:lang w:val="en-US" w:eastAsia="zh-CN" w:bidi="ar-SA"/>
                    </w:rPr>
                    <w:t>。</w:t>
                  </w:r>
                </w:p>
              </w:tc>
              <w:tc>
                <w:tcPr>
                  <w:tcW w:w="1623" w:type="pct"/>
                  <w:tcBorders>
                    <w:tl2br w:val="nil"/>
                    <w:tr2bl w:val="nil"/>
                  </w:tcBorders>
                  <w:noWrap w:val="0"/>
                  <w:vAlign w:val="center"/>
                </w:tcPr>
                <w:p w14:paraId="295D7E7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项目不属于过江基础设施项目，项目不涉及新设、改设或扩大排污口。</w:t>
                  </w:r>
                </w:p>
              </w:tc>
              <w:tc>
                <w:tcPr>
                  <w:tcW w:w="534" w:type="pct"/>
                  <w:tcBorders>
                    <w:tl2br w:val="nil"/>
                    <w:tr2bl w:val="nil"/>
                  </w:tcBorders>
                  <w:noWrap w:val="0"/>
                  <w:vAlign w:val="center"/>
                </w:tcPr>
                <w:p w14:paraId="53BF062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符合</w:t>
                  </w:r>
                </w:p>
              </w:tc>
            </w:tr>
            <w:tr w14:paraId="4D10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tcBorders>
                    <w:tl2br w:val="nil"/>
                    <w:tr2bl w:val="nil"/>
                  </w:tcBorders>
                  <w:noWrap w:val="0"/>
                  <w:vAlign w:val="center"/>
                </w:tcPr>
                <w:p w14:paraId="4A4CC01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8</w:t>
                  </w:r>
                </w:p>
              </w:tc>
              <w:tc>
                <w:tcPr>
                  <w:tcW w:w="2351" w:type="pct"/>
                  <w:tcBorders>
                    <w:tl2br w:val="nil"/>
                    <w:tr2bl w:val="nil"/>
                  </w:tcBorders>
                  <w:noWrap w:val="0"/>
                  <w:vAlign w:val="center"/>
                </w:tcPr>
                <w:p w14:paraId="094D7B1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禁止在金沙江干流、长江一级支流、水生生物保护区和长江流域禁捕水域开展天然渔业资源生产性捕捞。</w:t>
                  </w:r>
                </w:p>
              </w:tc>
              <w:tc>
                <w:tcPr>
                  <w:tcW w:w="1623" w:type="pct"/>
                  <w:tcBorders>
                    <w:tl2br w:val="nil"/>
                    <w:tr2bl w:val="nil"/>
                  </w:tcBorders>
                  <w:noWrap w:val="0"/>
                  <w:vAlign w:val="center"/>
                </w:tcPr>
                <w:p w14:paraId="3EC6F2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本项目不涉及天然渔业资源生产性捕捞。</w:t>
                  </w:r>
                </w:p>
              </w:tc>
              <w:tc>
                <w:tcPr>
                  <w:tcW w:w="534" w:type="pct"/>
                  <w:tcBorders>
                    <w:tl2br w:val="nil"/>
                    <w:tr2bl w:val="nil"/>
                  </w:tcBorders>
                  <w:noWrap w:val="0"/>
                  <w:vAlign w:val="center"/>
                </w:tcPr>
                <w:p w14:paraId="6524FBC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符合</w:t>
                  </w:r>
                </w:p>
              </w:tc>
            </w:tr>
            <w:tr w14:paraId="56727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tcBorders>
                    <w:tl2br w:val="nil"/>
                    <w:tr2bl w:val="nil"/>
                  </w:tcBorders>
                  <w:noWrap w:val="0"/>
                  <w:vAlign w:val="center"/>
                </w:tcPr>
                <w:p w14:paraId="5227419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9</w:t>
                  </w:r>
                </w:p>
              </w:tc>
              <w:tc>
                <w:tcPr>
                  <w:tcW w:w="2351" w:type="pct"/>
                  <w:tcBorders>
                    <w:tl2br w:val="nil"/>
                    <w:tr2bl w:val="nil"/>
                  </w:tcBorders>
                  <w:noWrap w:val="0"/>
                  <w:vAlign w:val="center"/>
                </w:tcPr>
                <w:p w14:paraId="78FA9B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623" w:type="pct"/>
                  <w:tcBorders>
                    <w:tl2br w:val="nil"/>
                    <w:tr2bl w:val="nil"/>
                  </w:tcBorders>
                  <w:noWrap w:val="0"/>
                  <w:vAlign w:val="center"/>
                </w:tcPr>
                <w:p w14:paraId="663397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本项目不属于化工项目，</w:t>
                  </w:r>
                  <w:r>
                    <w:rPr>
                      <w:rFonts w:hint="default" w:ascii="Times New Roman" w:hAnsi="Times New Roman" w:cs="Times New Roman"/>
                      <w:color w:val="auto"/>
                      <w:kern w:val="2"/>
                      <w:sz w:val="21"/>
                      <w:szCs w:val="21"/>
                      <w:highlight w:val="none"/>
                      <w:vertAlign w:val="baseline"/>
                      <w:lang w:val="en-US" w:eastAsia="zh-CN" w:bidi="ar-SA"/>
                    </w:rPr>
                    <w:t>不在禁止建设范围内。</w:t>
                  </w:r>
                </w:p>
              </w:tc>
              <w:tc>
                <w:tcPr>
                  <w:tcW w:w="534" w:type="pct"/>
                  <w:tcBorders>
                    <w:tl2br w:val="nil"/>
                    <w:tr2bl w:val="nil"/>
                  </w:tcBorders>
                  <w:noWrap w:val="0"/>
                  <w:vAlign w:val="center"/>
                </w:tcPr>
                <w:p w14:paraId="100DE70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符合</w:t>
                  </w:r>
                </w:p>
              </w:tc>
            </w:tr>
            <w:tr w14:paraId="4690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tcBorders>
                    <w:tl2br w:val="nil"/>
                    <w:tr2bl w:val="nil"/>
                  </w:tcBorders>
                  <w:noWrap w:val="0"/>
                  <w:vAlign w:val="center"/>
                </w:tcPr>
                <w:p w14:paraId="2ECC80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10</w:t>
                  </w:r>
                </w:p>
              </w:tc>
              <w:tc>
                <w:tcPr>
                  <w:tcW w:w="2351" w:type="pct"/>
                  <w:tcBorders>
                    <w:tl2br w:val="nil"/>
                    <w:tr2bl w:val="nil"/>
                  </w:tcBorders>
                  <w:noWrap w:val="0"/>
                  <w:vAlign w:val="center"/>
                </w:tcPr>
                <w:p w14:paraId="6978317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禁止在合规园区外新建、扩建钢铁、石化、化工、焦化、建材、有色、制浆造纸行业中的高污染项目。</w:t>
                  </w:r>
                </w:p>
              </w:tc>
              <w:tc>
                <w:tcPr>
                  <w:tcW w:w="1623" w:type="pct"/>
                  <w:tcBorders>
                    <w:tl2br w:val="nil"/>
                    <w:tr2bl w:val="nil"/>
                  </w:tcBorders>
                  <w:noWrap w:val="0"/>
                  <w:vAlign w:val="center"/>
                </w:tcPr>
                <w:p w14:paraId="232AFD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本项目不属于新建、扩建钢铁、石化、化工、焦化、建材、有色、制浆造纸行业中的高污染项目。</w:t>
                  </w:r>
                </w:p>
              </w:tc>
              <w:tc>
                <w:tcPr>
                  <w:tcW w:w="534" w:type="pct"/>
                  <w:tcBorders>
                    <w:tl2br w:val="nil"/>
                    <w:tr2bl w:val="nil"/>
                  </w:tcBorders>
                  <w:noWrap w:val="0"/>
                  <w:vAlign w:val="center"/>
                </w:tcPr>
                <w:p w14:paraId="2C838E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符合</w:t>
                  </w:r>
                </w:p>
              </w:tc>
            </w:tr>
            <w:tr w14:paraId="6012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tcBorders>
                    <w:tl2br w:val="nil"/>
                    <w:tr2bl w:val="nil"/>
                  </w:tcBorders>
                  <w:noWrap w:val="0"/>
                  <w:vAlign w:val="center"/>
                </w:tcPr>
                <w:p w14:paraId="2FDBE30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11</w:t>
                  </w:r>
                </w:p>
              </w:tc>
              <w:tc>
                <w:tcPr>
                  <w:tcW w:w="2351" w:type="pct"/>
                  <w:tcBorders>
                    <w:tl2br w:val="nil"/>
                    <w:tr2bl w:val="nil"/>
                  </w:tcBorders>
                  <w:noWrap w:val="0"/>
                  <w:vAlign w:val="center"/>
                </w:tcPr>
                <w:p w14:paraId="070B5CD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禁止新建、扩建不符合国家石化、现代煤化工等产业布局规划的项目。禁止列入《云南省城镇人口密集区危险化学品生产企业搬迁改造名单》的搬迁改造企业在原址新建、扩建危险化学品生产项目</w:t>
                  </w:r>
                </w:p>
              </w:tc>
              <w:tc>
                <w:tcPr>
                  <w:tcW w:w="1623" w:type="pct"/>
                  <w:tcBorders>
                    <w:tl2br w:val="nil"/>
                    <w:tr2bl w:val="nil"/>
                  </w:tcBorders>
                  <w:noWrap w:val="0"/>
                  <w:vAlign w:val="center"/>
                </w:tcPr>
                <w:p w14:paraId="4AEBE6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本项目不属于不符合国家石化、现代煤化工等产业布局规划的项目；本项目不属于危险化学品生产项目。</w:t>
                  </w:r>
                </w:p>
              </w:tc>
              <w:tc>
                <w:tcPr>
                  <w:tcW w:w="534" w:type="pct"/>
                  <w:tcBorders>
                    <w:tl2br w:val="nil"/>
                    <w:tr2bl w:val="nil"/>
                  </w:tcBorders>
                  <w:noWrap w:val="0"/>
                  <w:vAlign w:val="center"/>
                </w:tcPr>
                <w:p w14:paraId="2E44D3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符合</w:t>
                  </w:r>
                </w:p>
              </w:tc>
            </w:tr>
            <w:tr w14:paraId="1718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tcBorders>
                    <w:tl2br w:val="nil"/>
                    <w:tr2bl w:val="nil"/>
                  </w:tcBorders>
                  <w:noWrap w:val="0"/>
                  <w:vAlign w:val="center"/>
                </w:tcPr>
                <w:p w14:paraId="21AAE8D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12</w:t>
                  </w:r>
                </w:p>
              </w:tc>
              <w:tc>
                <w:tcPr>
                  <w:tcW w:w="2351" w:type="pct"/>
                  <w:tcBorders>
                    <w:tl2br w:val="nil"/>
                    <w:tr2bl w:val="nil"/>
                  </w:tcBorders>
                  <w:noWrap w:val="0"/>
                  <w:vAlign w:val="center"/>
                </w:tcPr>
                <w:p w14:paraId="0DE156A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r>
                    <w:rPr>
                      <w:rFonts w:hint="default" w:ascii="Times New Roman" w:hAnsi="Times New Roman" w:cs="Times New Roman"/>
                      <w:color w:val="auto"/>
                      <w:kern w:val="2"/>
                      <w:sz w:val="21"/>
                      <w:szCs w:val="21"/>
                      <w:highlight w:val="none"/>
                      <w:vertAlign w:val="baseline"/>
                      <w:lang w:val="en-US" w:eastAsia="zh-CN" w:bidi="ar-SA"/>
                    </w:rPr>
                    <w:t>。</w:t>
                  </w:r>
                </w:p>
              </w:tc>
              <w:tc>
                <w:tcPr>
                  <w:tcW w:w="1623" w:type="pct"/>
                  <w:tcBorders>
                    <w:tl2br w:val="nil"/>
                    <w:tr2bl w:val="nil"/>
                  </w:tcBorders>
                  <w:noWrap w:val="0"/>
                  <w:vAlign w:val="center"/>
                </w:tcPr>
                <w:p w14:paraId="0786C6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本项目不属于落后产能项目、过剩产能行业的项目、高能耗、高排放项目。本项目不涉及建设高毒高残留以及对环境影响大的农药原药生产装置，不属于尿素、磷铵、电石、焦炭、黄磷、烧碱、纯碱、聚氯乙烯等行业。</w:t>
                  </w:r>
                </w:p>
              </w:tc>
              <w:tc>
                <w:tcPr>
                  <w:tcW w:w="534" w:type="pct"/>
                  <w:tcBorders>
                    <w:tl2br w:val="nil"/>
                    <w:tr2bl w:val="nil"/>
                  </w:tcBorders>
                  <w:noWrap w:val="0"/>
                  <w:vAlign w:val="center"/>
                </w:tcPr>
                <w:p w14:paraId="5B339ED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符合</w:t>
                  </w:r>
                </w:p>
              </w:tc>
            </w:tr>
          </w:tbl>
          <w:p w14:paraId="3EB7C0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kern w:val="2"/>
                <w:sz w:val="24"/>
                <w:szCs w:val="24"/>
                <w:highlight w:val="none"/>
                <w:lang w:val="en-US" w:eastAsia="zh-CN" w:bidi="ar-SA"/>
              </w:rPr>
              <w:t>根据与“实施细则”工业布局的要求对照分析</w:t>
            </w:r>
            <w:r>
              <w:rPr>
                <w:rFonts w:hint="default" w:ascii="Times New Roman" w:hAnsi="Times New Roman" w:eastAsia="宋体" w:cs="Times New Roman"/>
                <w:color w:val="auto"/>
                <w:kern w:val="2"/>
                <w:sz w:val="24"/>
                <w:szCs w:val="24"/>
                <w:highlight w:val="none"/>
                <w:lang w:val="en-US" w:eastAsia="zh-CN" w:bidi="ar-SA"/>
              </w:rPr>
              <w:t>，本项目不属于云南省长江经济带负面清单所列的企业。</w:t>
            </w:r>
          </w:p>
          <w:p w14:paraId="2BA391B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6</w:t>
            </w:r>
            <w:r>
              <w:rPr>
                <w:rFonts w:hint="default" w:ascii="Times New Roman" w:hAnsi="Times New Roman"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与《空气质量持续改善行动计划》（国发</w:t>
            </w:r>
            <w:r>
              <w:rPr>
                <w:rFonts w:hint="default" w:ascii="Times New Roman" w:hAnsi="Times New Roman" w:eastAsia="宋体" w:cs="Times New Roman"/>
                <w:b/>
                <w:bCs/>
                <w:color w:val="auto"/>
                <w:sz w:val="24"/>
                <w:szCs w:val="24"/>
                <w:lang w:eastAsia="zh-CN"/>
              </w:rPr>
              <w:t>〔2023〕</w:t>
            </w:r>
            <w:r>
              <w:rPr>
                <w:rFonts w:hint="default" w:ascii="Times New Roman" w:hAnsi="Times New Roman" w:eastAsia="宋体" w:cs="Times New Roman"/>
                <w:b/>
                <w:bCs/>
                <w:color w:val="auto"/>
                <w:kern w:val="2"/>
                <w:sz w:val="24"/>
                <w:szCs w:val="24"/>
                <w:highlight w:val="none"/>
                <w:lang w:val="en-US" w:eastAsia="zh-CN" w:bidi="ar-SA"/>
              </w:rPr>
              <w:t>24号）的符合性分析</w:t>
            </w:r>
          </w:p>
          <w:p w14:paraId="58C8E9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项目与空气质量持续改善行动计划》（国发</w:t>
            </w:r>
            <w:r>
              <w:rPr>
                <w:rFonts w:hint="default" w:ascii="Times New Roman" w:hAnsi="Times New Roman" w:eastAsia="宋体" w:cs="Times New Roman"/>
                <w:color w:val="auto"/>
                <w:sz w:val="24"/>
                <w:szCs w:val="24"/>
                <w:lang w:eastAsia="zh-CN"/>
              </w:rPr>
              <w:t>〔2023〕</w:t>
            </w:r>
            <w:r>
              <w:rPr>
                <w:rFonts w:hint="eastAsia" w:ascii="Times New Roman" w:hAnsi="Times New Roman" w:cs="Times New Roman"/>
                <w:color w:val="auto"/>
                <w:kern w:val="2"/>
                <w:sz w:val="24"/>
                <w:szCs w:val="24"/>
                <w:highlight w:val="none"/>
                <w:lang w:val="en-US" w:eastAsia="zh-CN" w:bidi="ar-SA"/>
              </w:rPr>
              <w:t>4号）的符合性分析</w:t>
            </w:r>
            <w:r>
              <w:rPr>
                <w:rFonts w:hint="eastAsia" w:cs="Times New Roman"/>
                <w:color w:val="auto"/>
                <w:kern w:val="2"/>
                <w:sz w:val="24"/>
                <w:szCs w:val="24"/>
                <w:highlight w:val="none"/>
                <w:lang w:val="en-US" w:eastAsia="zh-CN" w:bidi="ar-SA"/>
              </w:rPr>
              <w:t>详见下表。</w:t>
            </w:r>
          </w:p>
          <w:p w14:paraId="11FE2A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4"/>
                <w:szCs w:val="24"/>
                <w:highlight w:val="none"/>
                <w:lang w:val="en-US" w:eastAsia="zh-CN" w:bidi="ar-SA"/>
              </w:rPr>
            </w:pPr>
            <w:r>
              <w:rPr>
                <w:rFonts w:hint="default" w:ascii="Times New Roman" w:hAnsi="Times New Roman" w:cs="Times New Roman"/>
                <w:b/>
                <w:bCs/>
                <w:color w:val="auto"/>
                <w:kern w:val="0"/>
                <w:sz w:val="21"/>
                <w:szCs w:val="21"/>
                <w:lang w:val="en-US" w:eastAsia="zh-CN"/>
              </w:rPr>
              <w:t>表1-</w:t>
            </w:r>
            <w:r>
              <w:rPr>
                <w:rFonts w:hint="eastAsia" w:cs="Times New Roman"/>
                <w:b/>
                <w:bCs/>
                <w:color w:val="auto"/>
                <w:kern w:val="0"/>
                <w:sz w:val="21"/>
                <w:szCs w:val="21"/>
                <w:lang w:val="en-US" w:eastAsia="zh-CN"/>
              </w:rPr>
              <w:t>7</w:t>
            </w:r>
            <w:r>
              <w:rPr>
                <w:rFonts w:hint="default" w:ascii="Times New Roman" w:hAnsi="Times New Roman" w:cs="Times New Roman"/>
                <w:b/>
                <w:bCs/>
                <w:color w:val="auto"/>
                <w:kern w:val="0"/>
                <w:sz w:val="21"/>
                <w:szCs w:val="21"/>
                <w:lang w:val="en-US" w:eastAsia="zh-CN"/>
              </w:rPr>
              <w:t xml:space="preserve">  项目与《空气质量持续改善行动计划》的符合性分析</w:t>
            </w:r>
          </w:p>
          <w:tbl>
            <w:tblPr>
              <w:tblStyle w:val="23"/>
              <w:tblW w:w="7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6"/>
              <w:gridCol w:w="1855"/>
              <w:gridCol w:w="909"/>
            </w:tblGrid>
            <w:tr w14:paraId="729E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6" w:type="dxa"/>
                  <w:vAlign w:val="center"/>
                </w:tcPr>
                <w:p w14:paraId="2841CC4B">
                  <w:pPr>
                    <w:jc w:val="center"/>
                    <w:rPr>
                      <w:rFonts w:hint="default" w:eastAsia="宋体"/>
                      <w:b/>
                      <w:bCs/>
                      <w:color w:val="auto"/>
                      <w:vertAlign w:val="baseline"/>
                      <w:lang w:val="en-US" w:eastAsia="zh-CN"/>
                    </w:rPr>
                  </w:pPr>
                  <w:r>
                    <w:rPr>
                      <w:rFonts w:hint="eastAsia"/>
                      <w:b/>
                      <w:bCs/>
                      <w:color w:val="auto"/>
                      <w:vertAlign w:val="baseline"/>
                      <w:lang w:val="en-US" w:eastAsia="zh-CN"/>
                    </w:rPr>
                    <w:t>相关内容</w:t>
                  </w:r>
                </w:p>
              </w:tc>
              <w:tc>
                <w:tcPr>
                  <w:tcW w:w="1855" w:type="dxa"/>
                  <w:vAlign w:val="center"/>
                </w:tcPr>
                <w:p w14:paraId="4AE35CA5">
                  <w:pPr>
                    <w:jc w:val="center"/>
                    <w:rPr>
                      <w:rFonts w:hint="default" w:eastAsia="宋体"/>
                      <w:b/>
                      <w:bCs/>
                      <w:color w:val="auto"/>
                      <w:vertAlign w:val="baseline"/>
                      <w:lang w:val="en-US" w:eastAsia="zh-CN"/>
                    </w:rPr>
                  </w:pPr>
                  <w:r>
                    <w:rPr>
                      <w:rFonts w:hint="eastAsia"/>
                      <w:b/>
                      <w:bCs/>
                      <w:color w:val="auto"/>
                      <w:vertAlign w:val="baseline"/>
                      <w:lang w:val="en-US" w:eastAsia="zh-CN"/>
                    </w:rPr>
                    <w:t>项目情况</w:t>
                  </w:r>
                </w:p>
              </w:tc>
              <w:tc>
                <w:tcPr>
                  <w:tcW w:w="909" w:type="dxa"/>
                  <w:vAlign w:val="center"/>
                </w:tcPr>
                <w:p w14:paraId="52E888EE">
                  <w:pPr>
                    <w:jc w:val="center"/>
                    <w:rPr>
                      <w:rFonts w:hint="default" w:eastAsia="宋体"/>
                      <w:b/>
                      <w:bCs/>
                      <w:color w:val="auto"/>
                      <w:vertAlign w:val="baseline"/>
                      <w:lang w:val="en-US" w:eastAsia="zh-CN"/>
                    </w:rPr>
                  </w:pPr>
                  <w:r>
                    <w:rPr>
                      <w:rFonts w:hint="eastAsia"/>
                      <w:b/>
                      <w:bCs/>
                      <w:color w:val="auto"/>
                      <w:vertAlign w:val="baseline"/>
                      <w:lang w:val="en-US" w:eastAsia="zh-CN"/>
                    </w:rPr>
                    <w:t>符合性</w:t>
                  </w:r>
                </w:p>
              </w:tc>
            </w:tr>
            <w:tr w14:paraId="05031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6" w:type="dxa"/>
                  <w:vAlign w:val="center"/>
                </w:tcPr>
                <w:p w14:paraId="2084988C">
                  <w:pPr>
                    <w:jc w:val="left"/>
                    <w:rPr>
                      <w:rFonts w:hint="eastAsia" w:eastAsia="宋体"/>
                      <w:color w:val="auto"/>
                      <w:vertAlign w:val="baseline"/>
                      <w:lang w:eastAsia="zh-CN"/>
                    </w:rPr>
                  </w:pPr>
                  <w:r>
                    <w:rPr>
                      <w:rFonts w:hint="eastAsia" w:eastAsia="宋体"/>
                      <w:color w:val="auto"/>
                      <w:vertAlign w:val="baseline"/>
                      <w:lang w:eastAsia="zh-CN"/>
                    </w:rP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1855" w:type="dxa"/>
                  <w:vAlign w:val="center"/>
                </w:tcPr>
                <w:p w14:paraId="697B8F78">
                  <w:pPr>
                    <w:spacing w:beforeLines="0" w:afterLines="0"/>
                    <w:jc w:val="left"/>
                    <w:rPr>
                      <w:rFonts w:hint="default" w:eastAsia="宋体"/>
                      <w:color w:val="auto"/>
                      <w:vertAlign w:val="baseline"/>
                      <w:lang w:val="en-US" w:eastAsia="zh-CN"/>
                    </w:rPr>
                  </w:pPr>
                  <w:r>
                    <w:rPr>
                      <w:rFonts w:hint="eastAsia" w:ascii="宋体" w:hAnsi="宋体" w:eastAsia="宋体"/>
                      <w:color w:val="auto"/>
                      <w:sz w:val="21"/>
                      <w:szCs w:val="24"/>
                    </w:rPr>
                    <w:t>本项目不属于高耗能、高排放</w:t>
                  </w:r>
                  <w:r>
                    <w:rPr>
                      <w:rFonts w:hint="eastAsia" w:ascii="宋体" w:hAnsi="宋体" w:eastAsia="宋体"/>
                      <w:color w:val="auto"/>
                      <w:sz w:val="21"/>
                      <w:szCs w:val="24"/>
                      <w:lang w:val="en-US" w:eastAsia="zh-CN"/>
                    </w:rPr>
                    <w:t>项</w:t>
                  </w:r>
                  <w:r>
                    <w:rPr>
                      <w:rFonts w:hint="eastAsia" w:ascii="宋体" w:hAnsi="宋体" w:eastAsia="宋体"/>
                      <w:color w:val="auto"/>
                      <w:sz w:val="21"/>
                      <w:szCs w:val="24"/>
                    </w:rPr>
                    <w:t>目。项目属于《产业结构调整指导目录（</w:t>
                  </w:r>
                  <w:r>
                    <w:rPr>
                      <w:rFonts w:hint="eastAsia" w:ascii="TimesNewRomanPSMT" w:hAnsi="TimesNewRomanPSMT" w:eastAsia="TimesNewRomanPSMT"/>
                      <w:color w:val="auto"/>
                      <w:sz w:val="21"/>
                      <w:szCs w:val="24"/>
                    </w:rPr>
                    <w:t>2024</w:t>
                  </w:r>
                  <w:r>
                    <w:rPr>
                      <w:rFonts w:hint="eastAsia" w:ascii="宋体" w:hAnsi="宋体" w:eastAsia="宋体"/>
                      <w:color w:val="auto"/>
                      <w:sz w:val="21"/>
                      <w:szCs w:val="24"/>
                    </w:rPr>
                    <w:t>年本）》中的</w:t>
                  </w:r>
                  <w:r>
                    <w:rPr>
                      <w:rFonts w:hint="eastAsia" w:ascii="宋体" w:hAnsi="宋体" w:eastAsia="宋体"/>
                      <w:color w:val="auto"/>
                      <w:sz w:val="21"/>
                      <w:szCs w:val="24"/>
                      <w:lang w:val="en-US" w:eastAsia="zh-CN"/>
                    </w:rPr>
                    <w:t>允许类</w:t>
                  </w:r>
                  <w:r>
                    <w:rPr>
                      <w:rFonts w:hint="eastAsia" w:ascii="宋体" w:hAnsi="宋体" w:eastAsia="宋体"/>
                      <w:color w:val="auto"/>
                      <w:sz w:val="21"/>
                      <w:szCs w:val="24"/>
                    </w:rPr>
                    <w:t>建设项目，符合国家产业政策。</w:t>
                  </w:r>
                  <w:r>
                    <w:rPr>
                      <w:rFonts w:hint="eastAsia" w:ascii="宋体" w:hAnsi="宋体" w:eastAsia="宋体"/>
                      <w:color w:val="auto"/>
                      <w:sz w:val="21"/>
                      <w:szCs w:val="24"/>
                      <w:lang w:val="en-US" w:eastAsia="zh-CN"/>
                    </w:rPr>
                    <w:t>项目不涉及产能置换。</w:t>
                  </w:r>
                </w:p>
              </w:tc>
              <w:tc>
                <w:tcPr>
                  <w:tcW w:w="909" w:type="dxa"/>
                  <w:vAlign w:val="center"/>
                </w:tcPr>
                <w:p w14:paraId="5E883889">
                  <w:pPr>
                    <w:jc w:val="center"/>
                    <w:rPr>
                      <w:rFonts w:hint="eastAsia" w:eastAsia="宋体"/>
                      <w:color w:val="auto"/>
                      <w:vertAlign w:val="baseline"/>
                      <w:lang w:eastAsia="zh-CN"/>
                    </w:rPr>
                  </w:pPr>
                  <w:r>
                    <w:rPr>
                      <w:rFonts w:hint="default" w:ascii="Times New Roman" w:hAnsi="Times New Roman" w:cs="Times New Roman"/>
                      <w:color w:val="auto"/>
                      <w:kern w:val="2"/>
                      <w:sz w:val="21"/>
                      <w:szCs w:val="21"/>
                      <w:highlight w:val="none"/>
                      <w:vertAlign w:val="baseline"/>
                      <w:lang w:val="en-US" w:eastAsia="zh-CN" w:bidi="ar-SA"/>
                    </w:rPr>
                    <w:t>符合</w:t>
                  </w:r>
                </w:p>
              </w:tc>
            </w:tr>
            <w:tr w14:paraId="1572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6" w:type="dxa"/>
                  <w:vAlign w:val="center"/>
                </w:tcPr>
                <w:p w14:paraId="30BFFBBE">
                  <w:pPr>
                    <w:jc w:val="left"/>
                    <w:rPr>
                      <w:rFonts w:hint="eastAsia" w:eastAsia="宋体"/>
                      <w:color w:val="auto"/>
                      <w:vertAlign w:val="baseline"/>
                      <w:lang w:eastAsia="zh-CN"/>
                    </w:rPr>
                  </w:pPr>
                  <w:r>
                    <w:rPr>
                      <w:rFonts w:hint="eastAsia" w:eastAsia="宋体"/>
                      <w:color w:val="auto"/>
                      <w:vertAlign w:val="baseline"/>
                      <w:lang w:eastAsia="zh-CN"/>
                    </w:rPr>
                    <w:t>（五）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1855" w:type="dxa"/>
                  <w:vAlign w:val="center"/>
                </w:tcPr>
                <w:p w14:paraId="28209788">
                  <w:pPr>
                    <w:jc w:val="left"/>
                    <w:rPr>
                      <w:rFonts w:hint="eastAsia" w:eastAsia="宋体"/>
                      <w:color w:val="auto"/>
                      <w:vertAlign w:val="baseline"/>
                      <w:lang w:eastAsia="zh-CN"/>
                    </w:rPr>
                  </w:pPr>
                  <w:r>
                    <w:rPr>
                      <w:rFonts w:hint="eastAsia" w:eastAsia="宋体"/>
                      <w:color w:val="auto"/>
                      <w:vertAlign w:val="baseline"/>
                      <w:lang w:eastAsia="zh-CN"/>
                    </w:rPr>
                    <w:t>本项目属于《产业结构调整指导目录（2024年本）》中的</w:t>
                  </w:r>
                  <w:r>
                    <w:rPr>
                      <w:rFonts w:hint="eastAsia"/>
                      <w:color w:val="auto"/>
                      <w:vertAlign w:val="baseline"/>
                      <w:lang w:val="en-US" w:eastAsia="zh-CN"/>
                    </w:rPr>
                    <w:t>允许</w:t>
                  </w:r>
                  <w:r>
                    <w:rPr>
                      <w:rFonts w:hint="eastAsia" w:eastAsia="宋体"/>
                      <w:color w:val="auto"/>
                      <w:vertAlign w:val="baseline"/>
                      <w:lang w:eastAsia="zh-CN"/>
                    </w:rPr>
                    <w:t>类建设项目，符合国家产业政策，不属于落后产能。</w:t>
                  </w:r>
                </w:p>
              </w:tc>
              <w:tc>
                <w:tcPr>
                  <w:tcW w:w="909" w:type="dxa"/>
                  <w:vAlign w:val="center"/>
                </w:tcPr>
                <w:p w14:paraId="1A82DC91">
                  <w:pPr>
                    <w:jc w:val="center"/>
                    <w:rPr>
                      <w:rFonts w:hint="eastAsia" w:eastAsia="宋体"/>
                      <w:color w:val="auto"/>
                      <w:vertAlign w:val="baseline"/>
                      <w:lang w:eastAsia="zh-CN"/>
                    </w:rPr>
                  </w:pPr>
                  <w:r>
                    <w:rPr>
                      <w:rFonts w:hint="default" w:ascii="Times New Roman" w:hAnsi="Times New Roman" w:cs="Times New Roman"/>
                      <w:color w:val="auto"/>
                      <w:kern w:val="2"/>
                      <w:sz w:val="21"/>
                      <w:szCs w:val="21"/>
                      <w:highlight w:val="none"/>
                      <w:vertAlign w:val="baseline"/>
                      <w:lang w:val="en-US" w:eastAsia="zh-CN" w:bidi="ar-SA"/>
                    </w:rPr>
                    <w:t>符合</w:t>
                  </w:r>
                </w:p>
              </w:tc>
            </w:tr>
            <w:tr w14:paraId="05AC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6" w:type="dxa"/>
                  <w:vAlign w:val="center"/>
                </w:tcPr>
                <w:p w14:paraId="078FB93C">
                  <w:pPr>
                    <w:jc w:val="left"/>
                    <w:rPr>
                      <w:rFonts w:hint="eastAsia" w:eastAsia="宋体"/>
                      <w:color w:val="auto"/>
                      <w:vertAlign w:val="baseline"/>
                      <w:lang w:eastAsia="zh-CN"/>
                    </w:rPr>
                  </w:pPr>
                  <w:r>
                    <w:rPr>
                      <w:rFonts w:hint="eastAsia" w:eastAsia="宋体"/>
                      <w:color w:val="auto"/>
                      <w:vertAlign w:val="baseline"/>
                      <w:lang w:eastAsia="zh-CN"/>
                    </w:rPr>
                    <w:t>（十）严格合理控制煤炭消费总量。在保障能源安全供应的前提下，重点区域继续实施煤炭消费总量控制。到2025年，京津冀及周边地区、长三角地区煤炭消费量较2020年分别下降10%和5%左右，汾渭平原煤炭消费量实现负增长，重点削减非电力用煤。重点区域新改扩建用煤项目，依法实行煤炭等量或减量替代，替代方案不完善的不予审批；不得将使用石油焦、焦炭、兰炭等高污染燃料作为煤炭减量替代措施。完善重点区域煤炭消费减量替代管理办法，煤矸石、原料用煤不纳入煤炭消费总量考核。原则上不再新增自备燃煤机组，支持自备燃煤机组实施清洁能源替代。对支撑电力稳定供应、电网安全运行、清洁能源大规模并网消纳的煤电项目及其用煤量应予以合理保障。</w:t>
                  </w:r>
                </w:p>
              </w:tc>
              <w:tc>
                <w:tcPr>
                  <w:tcW w:w="1855" w:type="dxa"/>
                  <w:vAlign w:val="center"/>
                </w:tcPr>
                <w:p w14:paraId="69B2F8D2">
                  <w:pPr>
                    <w:jc w:val="left"/>
                    <w:rPr>
                      <w:rFonts w:hint="eastAsia" w:eastAsia="宋体"/>
                      <w:color w:val="auto"/>
                      <w:vertAlign w:val="baseline"/>
                      <w:lang w:eastAsia="zh-CN"/>
                    </w:rPr>
                  </w:pPr>
                  <w:r>
                    <w:rPr>
                      <w:rFonts w:hint="eastAsia" w:eastAsia="宋体"/>
                      <w:color w:val="auto"/>
                      <w:vertAlign w:val="baseline"/>
                      <w:lang w:eastAsia="zh-CN"/>
                    </w:rPr>
                    <w:t>本项目燃料为生物质成型燃料，不涉及煤炭使用。</w:t>
                  </w:r>
                </w:p>
              </w:tc>
              <w:tc>
                <w:tcPr>
                  <w:tcW w:w="909" w:type="dxa"/>
                  <w:vAlign w:val="center"/>
                </w:tcPr>
                <w:p w14:paraId="7B6DC43B">
                  <w:pPr>
                    <w:jc w:val="center"/>
                    <w:rPr>
                      <w:rFonts w:hint="eastAsia" w:eastAsia="宋体"/>
                      <w:color w:val="auto"/>
                      <w:vertAlign w:val="baseline"/>
                      <w:lang w:eastAsia="zh-CN"/>
                    </w:rPr>
                  </w:pPr>
                  <w:r>
                    <w:rPr>
                      <w:rFonts w:hint="default" w:ascii="Times New Roman" w:hAnsi="Times New Roman" w:cs="Times New Roman"/>
                      <w:color w:val="auto"/>
                      <w:kern w:val="2"/>
                      <w:sz w:val="21"/>
                      <w:szCs w:val="21"/>
                      <w:highlight w:val="none"/>
                      <w:vertAlign w:val="baseline"/>
                      <w:lang w:val="en-US" w:eastAsia="zh-CN" w:bidi="ar-SA"/>
                    </w:rPr>
                    <w:t>符合</w:t>
                  </w:r>
                </w:p>
              </w:tc>
            </w:tr>
            <w:tr w14:paraId="363E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6" w:type="dxa"/>
                  <w:vAlign w:val="center"/>
                </w:tcPr>
                <w:p w14:paraId="1A15A1CD">
                  <w:pPr>
                    <w:spacing w:beforeLines="0" w:afterLines="0"/>
                    <w:jc w:val="left"/>
                    <w:rPr>
                      <w:rFonts w:hint="eastAsia" w:eastAsia="宋体"/>
                      <w:color w:val="auto"/>
                      <w:vertAlign w:val="baseline"/>
                      <w:lang w:eastAsia="zh-CN"/>
                    </w:rPr>
                  </w:pPr>
                  <w:r>
                    <w:rPr>
                      <w:rFonts w:hint="eastAsia" w:ascii="宋体" w:hAnsi="宋体" w:eastAsia="宋体"/>
                      <w:color w:val="auto"/>
                      <w:sz w:val="21"/>
                      <w:szCs w:val="24"/>
                    </w:rPr>
                    <w:t>（十一）积极开展燃煤锅炉关停整合。各地要将燃煤供热锅炉替代项目纳入城镇供热规划。县级及以上城市建成区原则上不再新建</w:t>
                  </w:r>
                  <w:r>
                    <w:rPr>
                      <w:rFonts w:hint="eastAsia" w:ascii="TimesNewRomanPSMT" w:hAnsi="TimesNewRomanPSMT" w:eastAsia="TimesNewRomanPSMT"/>
                      <w:color w:val="auto"/>
                      <w:sz w:val="21"/>
                      <w:szCs w:val="24"/>
                    </w:rPr>
                    <w:t>35</w:t>
                  </w:r>
                  <w:r>
                    <w:rPr>
                      <w:rFonts w:hint="eastAsia" w:ascii="宋体" w:hAnsi="宋体" w:eastAsia="宋体"/>
                      <w:color w:val="auto"/>
                      <w:sz w:val="21"/>
                      <w:szCs w:val="24"/>
                    </w:rPr>
                    <w:t>蒸吨</w:t>
                  </w:r>
                  <w:r>
                    <w:rPr>
                      <w:rFonts w:hint="eastAsia" w:ascii="TimesNewRomanPSMT" w:hAnsi="TimesNewRomanPSMT" w:eastAsia="TimesNewRomanPSMT"/>
                      <w:color w:val="auto"/>
                      <w:sz w:val="21"/>
                      <w:szCs w:val="24"/>
                    </w:rPr>
                    <w:t>/</w:t>
                  </w:r>
                  <w:r>
                    <w:rPr>
                      <w:rFonts w:hint="eastAsia" w:ascii="宋体" w:hAnsi="宋体" w:eastAsia="宋体"/>
                      <w:color w:val="auto"/>
                      <w:sz w:val="21"/>
                      <w:szCs w:val="24"/>
                    </w:rPr>
                    <w:t>小时及以下燃煤锅炉，重点区域原则上不再新建除集中供暖外的燃煤锅炉。加快热力管网建设，依托电厂、大型工业企业开展远距离供热示范，淘汰管网覆盖范围内的燃煤锅炉和散煤。到</w:t>
                  </w:r>
                  <w:r>
                    <w:rPr>
                      <w:rFonts w:hint="eastAsia" w:ascii="TimesNewRomanPSMT" w:hAnsi="TimesNewRomanPSMT" w:eastAsia="TimesNewRomanPSMT"/>
                      <w:color w:val="auto"/>
                      <w:sz w:val="21"/>
                      <w:szCs w:val="24"/>
                    </w:rPr>
                    <w:t>2025</w:t>
                  </w:r>
                  <w:r>
                    <w:rPr>
                      <w:rFonts w:hint="eastAsia" w:ascii="宋体" w:hAnsi="宋体" w:eastAsia="宋体"/>
                      <w:color w:val="auto"/>
                      <w:sz w:val="21"/>
                      <w:szCs w:val="24"/>
                    </w:rPr>
                    <w:t>年，</w:t>
                  </w:r>
                  <w:r>
                    <w:rPr>
                      <w:rFonts w:hint="eastAsia" w:ascii="TimesNewRomanPSMT" w:hAnsi="TimesNewRomanPSMT" w:eastAsia="TimesNewRomanPSMT"/>
                      <w:color w:val="auto"/>
                      <w:sz w:val="21"/>
                      <w:szCs w:val="24"/>
                    </w:rPr>
                    <w:t>PM2.5</w:t>
                  </w:r>
                  <w:r>
                    <w:rPr>
                      <w:rFonts w:hint="eastAsia" w:ascii="宋体" w:hAnsi="宋体" w:eastAsia="宋体"/>
                      <w:color w:val="auto"/>
                      <w:sz w:val="21"/>
                      <w:szCs w:val="24"/>
                    </w:rPr>
                    <w:t>未达标城市基本淘汰</w:t>
                  </w:r>
                  <w:r>
                    <w:rPr>
                      <w:rFonts w:hint="eastAsia" w:ascii="TimesNewRomanPSMT" w:hAnsi="TimesNewRomanPSMT" w:eastAsia="TimesNewRomanPSMT"/>
                      <w:color w:val="auto"/>
                      <w:sz w:val="21"/>
                      <w:szCs w:val="24"/>
                    </w:rPr>
                    <w:t>10</w:t>
                  </w:r>
                  <w:r>
                    <w:rPr>
                      <w:rFonts w:hint="eastAsia" w:ascii="宋体" w:hAnsi="宋体" w:eastAsia="宋体"/>
                      <w:color w:val="auto"/>
                      <w:sz w:val="21"/>
                      <w:szCs w:val="24"/>
                    </w:rPr>
                    <w:t>蒸吨</w:t>
                  </w:r>
                  <w:r>
                    <w:rPr>
                      <w:rFonts w:hint="eastAsia" w:ascii="TimesNewRomanPSMT" w:hAnsi="TimesNewRomanPSMT" w:eastAsia="TimesNewRomanPSMT"/>
                      <w:color w:val="auto"/>
                      <w:sz w:val="21"/>
                      <w:szCs w:val="24"/>
                    </w:rPr>
                    <w:t>/</w:t>
                  </w:r>
                  <w:r>
                    <w:rPr>
                      <w:rFonts w:hint="eastAsia" w:ascii="宋体" w:hAnsi="宋体" w:eastAsia="宋体"/>
                      <w:color w:val="auto"/>
                      <w:sz w:val="21"/>
                      <w:szCs w:val="24"/>
                    </w:rPr>
                    <w:t>小时及以下燃煤锅炉；重点区域基本淘汰</w:t>
                  </w:r>
                  <w:r>
                    <w:rPr>
                      <w:rFonts w:hint="eastAsia" w:ascii="TimesNewRomanPSMT" w:hAnsi="TimesNewRomanPSMT" w:eastAsia="TimesNewRomanPSMT"/>
                      <w:color w:val="auto"/>
                      <w:sz w:val="21"/>
                      <w:szCs w:val="24"/>
                    </w:rPr>
                    <w:t>35</w:t>
                  </w:r>
                  <w:r>
                    <w:rPr>
                      <w:rFonts w:hint="eastAsia" w:ascii="宋体" w:hAnsi="宋体" w:eastAsia="宋体"/>
                      <w:color w:val="auto"/>
                      <w:sz w:val="21"/>
                      <w:szCs w:val="24"/>
                    </w:rPr>
                    <w:t>蒸吨</w:t>
                  </w:r>
                  <w:r>
                    <w:rPr>
                      <w:rFonts w:hint="eastAsia" w:ascii="TimesNewRomanPSMT" w:hAnsi="TimesNewRomanPSMT" w:eastAsia="TimesNewRomanPSMT"/>
                      <w:color w:val="auto"/>
                      <w:sz w:val="21"/>
                      <w:szCs w:val="24"/>
                    </w:rPr>
                    <w:t>/</w:t>
                  </w:r>
                  <w:r>
                    <w:rPr>
                      <w:rFonts w:hint="eastAsia" w:ascii="宋体" w:hAnsi="宋体" w:eastAsia="宋体"/>
                      <w:color w:val="auto"/>
                      <w:sz w:val="21"/>
                      <w:szCs w:val="24"/>
                    </w:rPr>
                    <w:t>小时及以下燃煤锅炉及茶水炉、经营性炉灶、储粮烘干设备、农产品加工等燃煤设施，充分发挥</w:t>
                  </w:r>
                  <w:r>
                    <w:rPr>
                      <w:rFonts w:hint="eastAsia" w:ascii="TimesNewRomanPSMT" w:hAnsi="TimesNewRomanPSMT" w:eastAsia="TimesNewRomanPSMT"/>
                      <w:color w:val="auto"/>
                      <w:sz w:val="21"/>
                      <w:szCs w:val="24"/>
                    </w:rPr>
                    <w:t>30</w:t>
                  </w:r>
                  <w:r>
                    <w:rPr>
                      <w:rFonts w:hint="eastAsia" w:ascii="宋体" w:hAnsi="宋体" w:eastAsia="宋体"/>
                      <w:color w:val="auto"/>
                      <w:sz w:val="21"/>
                      <w:szCs w:val="24"/>
                    </w:rPr>
                    <w:t>万千瓦及以上热电联产电厂的供热能力，对其供热半径</w:t>
                  </w:r>
                  <w:r>
                    <w:rPr>
                      <w:rFonts w:hint="eastAsia" w:ascii="TimesNewRomanPSMT" w:hAnsi="TimesNewRomanPSMT" w:eastAsia="TimesNewRomanPSMT"/>
                      <w:color w:val="auto"/>
                      <w:sz w:val="21"/>
                      <w:szCs w:val="24"/>
                    </w:rPr>
                    <w:t xml:space="preserve">30 </w:t>
                  </w:r>
                  <w:r>
                    <w:rPr>
                      <w:rFonts w:hint="eastAsia" w:ascii="宋体" w:hAnsi="宋体" w:eastAsia="宋体"/>
                      <w:color w:val="auto"/>
                      <w:sz w:val="21"/>
                      <w:szCs w:val="24"/>
                    </w:rPr>
                    <w:t>公里范围内的燃煤锅炉和落后燃煤小热电机组（含自备电厂）进行关停或整合。</w:t>
                  </w:r>
                </w:p>
              </w:tc>
              <w:tc>
                <w:tcPr>
                  <w:tcW w:w="1855" w:type="dxa"/>
                  <w:vAlign w:val="center"/>
                </w:tcPr>
                <w:p w14:paraId="7F9D8E4D">
                  <w:pPr>
                    <w:jc w:val="left"/>
                    <w:rPr>
                      <w:rFonts w:hint="eastAsia" w:eastAsia="宋体"/>
                      <w:color w:val="auto"/>
                      <w:vertAlign w:val="baseline"/>
                      <w:lang w:eastAsia="zh-CN"/>
                    </w:rPr>
                  </w:pPr>
                  <w:r>
                    <w:rPr>
                      <w:rFonts w:hint="eastAsia" w:eastAsia="宋体"/>
                      <w:color w:val="auto"/>
                      <w:vertAlign w:val="baseline"/>
                      <w:lang w:eastAsia="zh-CN"/>
                    </w:rPr>
                    <w:t>本项目为生物质锅炉，不涉及燃煤锅炉。</w:t>
                  </w:r>
                </w:p>
              </w:tc>
              <w:tc>
                <w:tcPr>
                  <w:tcW w:w="909" w:type="dxa"/>
                  <w:vAlign w:val="center"/>
                </w:tcPr>
                <w:p w14:paraId="364D3B39">
                  <w:pPr>
                    <w:jc w:val="center"/>
                    <w:rPr>
                      <w:rFonts w:hint="eastAsia" w:eastAsia="宋体"/>
                      <w:color w:val="auto"/>
                      <w:vertAlign w:val="baseline"/>
                      <w:lang w:eastAsia="zh-CN"/>
                    </w:rPr>
                  </w:pPr>
                  <w:r>
                    <w:rPr>
                      <w:rFonts w:hint="default" w:ascii="Times New Roman" w:hAnsi="Times New Roman" w:cs="Times New Roman"/>
                      <w:color w:val="auto"/>
                      <w:kern w:val="2"/>
                      <w:sz w:val="21"/>
                      <w:szCs w:val="21"/>
                      <w:highlight w:val="none"/>
                      <w:vertAlign w:val="baseline"/>
                      <w:lang w:val="en-US" w:eastAsia="zh-CN" w:bidi="ar-SA"/>
                    </w:rPr>
                    <w:t>符合</w:t>
                  </w:r>
                </w:p>
              </w:tc>
            </w:tr>
          </w:tbl>
          <w:p w14:paraId="4287F3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根据上表可知，项目与《空气质量持续改善行动计划》（国发〔2023〕24号）中相关要求相符。</w:t>
            </w:r>
          </w:p>
          <w:p w14:paraId="2CC8B85C">
            <w:pPr>
              <w:spacing w:beforeLines="0" w:afterLines="0" w:line="360" w:lineRule="auto"/>
              <w:jc w:val="left"/>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7、</w:t>
            </w:r>
            <w:r>
              <w:rPr>
                <w:rFonts w:hint="default" w:ascii="Times New Roman" w:hAnsi="Times New Roman" w:eastAsia="宋体" w:cs="Times New Roman"/>
                <w:b/>
                <w:bCs/>
                <w:color w:val="auto"/>
                <w:sz w:val="24"/>
                <w:szCs w:val="24"/>
              </w:rPr>
              <w:t>与《云南省空气质量持续改善行动实施方案》（云政发〔</w:t>
            </w:r>
            <w:r>
              <w:rPr>
                <w:rFonts w:hint="default" w:ascii="Times New Roman" w:hAnsi="Times New Roman" w:eastAsia="TimesNewRomanPS-BoldMT" w:cs="Times New Roman"/>
                <w:b/>
                <w:bCs/>
                <w:color w:val="auto"/>
                <w:sz w:val="24"/>
                <w:szCs w:val="24"/>
              </w:rPr>
              <w:t>2024</w:t>
            </w:r>
            <w:r>
              <w:rPr>
                <w:rFonts w:hint="default" w:ascii="Times New Roman" w:hAnsi="Times New Roman" w:eastAsia="宋体" w:cs="Times New Roman"/>
                <w:b/>
                <w:bCs/>
                <w:color w:val="auto"/>
                <w:sz w:val="24"/>
                <w:szCs w:val="24"/>
              </w:rPr>
              <w:t>〕</w:t>
            </w:r>
            <w:r>
              <w:rPr>
                <w:rFonts w:hint="default" w:ascii="Times New Roman" w:hAnsi="Times New Roman" w:eastAsia="TimesNewRomanPS-BoldMT" w:cs="Times New Roman"/>
                <w:b/>
                <w:bCs/>
                <w:color w:val="auto"/>
                <w:sz w:val="24"/>
                <w:szCs w:val="24"/>
              </w:rPr>
              <w:t>14</w:t>
            </w:r>
            <w:r>
              <w:rPr>
                <w:rFonts w:hint="default" w:ascii="Times New Roman" w:hAnsi="Times New Roman" w:eastAsia="宋体" w:cs="Times New Roman"/>
                <w:b/>
                <w:bCs/>
                <w:color w:val="auto"/>
                <w:sz w:val="24"/>
                <w:szCs w:val="24"/>
              </w:rPr>
              <w:t>号）的符合性分析</w:t>
            </w:r>
          </w:p>
          <w:p w14:paraId="59A4E2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color w:val="auto"/>
                <w:sz w:val="24"/>
                <w:szCs w:val="24"/>
                <w:lang w:val="en-US" w:eastAsia="zh-CN"/>
              </w:rPr>
              <w:t>项目与《云南省空气质量持续改善行动实施方案》（云政发〔2024〕14号）的符合性分析详见下表。</w:t>
            </w:r>
          </w:p>
          <w:p w14:paraId="36B2808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4"/>
                <w:szCs w:val="24"/>
                <w:highlight w:val="none"/>
                <w:lang w:val="en-US" w:eastAsia="zh-CN" w:bidi="ar-SA"/>
              </w:rPr>
            </w:pPr>
            <w:r>
              <w:rPr>
                <w:rFonts w:hint="default" w:ascii="Times New Roman" w:hAnsi="Times New Roman" w:cs="Times New Roman"/>
                <w:b/>
                <w:bCs/>
                <w:color w:val="auto"/>
                <w:kern w:val="0"/>
                <w:sz w:val="21"/>
                <w:szCs w:val="21"/>
                <w:lang w:val="en-US" w:eastAsia="zh-CN"/>
              </w:rPr>
              <w:t>表1-</w:t>
            </w:r>
            <w:r>
              <w:rPr>
                <w:rFonts w:hint="eastAsia" w:cs="Times New Roman"/>
                <w:b/>
                <w:bCs/>
                <w:color w:val="auto"/>
                <w:kern w:val="0"/>
                <w:sz w:val="21"/>
                <w:szCs w:val="21"/>
                <w:lang w:val="en-US" w:eastAsia="zh-CN"/>
              </w:rPr>
              <w:t>8</w:t>
            </w:r>
            <w:r>
              <w:rPr>
                <w:rFonts w:hint="default" w:ascii="Times New Roman" w:hAnsi="Times New Roman" w:cs="Times New Roman"/>
                <w:b/>
                <w:bCs/>
                <w:color w:val="auto"/>
                <w:kern w:val="0"/>
                <w:sz w:val="21"/>
                <w:szCs w:val="21"/>
                <w:lang w:val="en-US" w:eastAsia="zh-CN"/>
              </w:rPr>
              <w:t xml:space="preserve">  项目与《云南省空气质量持续改善行动实施方案》的符合性分析</w:t>
            </w:r>
          </w:p>
          <w:tbl>
            <w:tblPr>
              <w:tblStyle w:val="23"/>
              <w:tblW w:w="7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1"/>
              <w:gridCol w:w="2250"/>
              <w:gridCol w:w="909"/>
            </w:tblGrid>
            <w:tr w14:paraId="5595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1" w:type="dxa"/>
                  <w:vAlign w:val="center"/>
                </w:tcPr>
                <w:p w14:paraId="317E4CA9">
                  <w:pPr>
                    <w:jc w:val="center"/>
                    <w:rPr>
                      <w:rFonts w:hint="default" w:eastAsia="宋体"/>
                      <w:b/>
                      <w:bCs/>
                      <w:color w:val="auto"/>
                      <w:vertAlign w:val="baseline"/>
                      <w:lang w:val="en-US" w:eastAsia="zh-CN"/>
                    </w:rPr>
                  </w:pPr>
                  <w:r>
                    <w:rPr>
                      <w:rFonts w:hint="eastAsia"/>
                      <w:b/>
                      <w:bCs/>
                      <w:color w:val="auto"/>
                      <w:vertAlign w:val="baseline"/>
                      <w:lang w:val="en-US" w:eastAsia="zh-CN"/>
                    </w:rPr>
                    <w:t>相关内容</w:t>
                  </w:r>
                </w:p>
              </w:tc>
              <w:tc>
                <w:tcPr>
                  <w:tcW w:w="2250" w:type="dxa"/>
                  <w:vAlign w:val="center"/>
                </w:tcPr>
                <w:p w14:paraId="242DE2E2">
                  <w:pPr>
                    <w:jc w:val="center"/>
                    <w:rPr>
                      <w:rFonts w:hint="default" w:eastAsia="宋体"/>
                      <w:b/>
                      <w:bCs/>
                      <w:color w:val="auto"/>
                      <w:vertAlign w:val="baseline"/>
                      <w:lang w:val="en-US" w:eastAsia="zh-CN"/>
                    </w:rPr>
                  </w:pPr>
                  <w:r>
                    <w:rPr>
                      <w:rFonts w:hint="eastAsia"/>
                      <w:b/>
                      <w:bCs/>
                      <w:color w:val="auto"/>
                      <w:vertAlign w:val="baseline"/>
                      <w:lang w:val="en-US" w:eastAsia="zh-CN"/>
                    </w:rPr>
                    <w:t>项目情况</w:t>
                  </w:r>
                </w:p>
              </w:tc>
              <w:tc>
                <w:tcPr>
                  <w:tcW w:w="909" w:type="dxa"/>
                  <w:vAlign w:val="center"/>
                </w:tcPr>
                <w:p w14:paraId="019FF157">
                  <w:pPr>
                    <w:jc w:val="center"/>
                    <w:rPr>
                      <w:rFonts w:hint="default" w:eastAsia="宋体"/>
                      <w:b/>
                      <w:bCs/>
                      <w:color w:val="auto"/>
                      <w:vertAlign w:val="baseline"/>
                      <w:lang w:val="en-US" w:eastAsia="zh-CN"/>
                    </w:rPr>
                  </w:pPr>
                  <w:r>
                    <w:rPr>
                      <w:rFonts w:hint="eastAsia"/>
                      <w:b/>
                      <w:bCs/>
                      <w:color w:val="auto"/>
                      <w:vertAlign w:val="baseline"/>
                      <w:lang w:val="en-US" w:eastAsia="zh-CN"/>
                    </w:rPr>
                    <w:t>符合性</w:t>
                  </w:r>
                </w:p>
              </w:tc>
            </w:tr>
            <w:tr w14:paraId="4BC8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1" w:type="dxa"/>
                  <w:vAlign w:val="center"/>
                </w:tcPr>
                <w:p w14:paraId="28660B86">
                  <w:pPr>
                    <w:jc w:val="left"/>
                    <w:rPr>
                      <w:rFonts w:hint="eastAsia" w:eastAsia="宋体"/>
                      <w:color w:val="auto"/>
                      <w:vertAlign w:val="baseline"/>
                      <w:lang w:eastAsia="zh-CN"/>
                    </w:rPr>
                  </w:pPr>
                  <w:r>
                    <w:rPr>
                      <w:rFonts w:hint="eastAsia" w:eastAsia="宋体"/>
                      <w:color w:val="auto"/>
                      <w:vertAlign w:val="baseline"/>
                      <w:lang w:eastAsia="zh-CN"/>
                    </w:rPr>
                    <w:t>二、优化产业结构</w:t>
                  </w:r>
                </w:p>
                <w:p w14:paraId="3B334D5B">
                  <w:pPr>
                    <w:jc w:val="left"/>
                    <w:rPr>
                      <w:rFonts w:hint="eastAsia" w:eastAsia="宋体"/>
                      <w:color w:val="auto"/>
                      <w:vertAlign w:val="baseline"/>
                      <w:lang w:eastAsia="zh-CN"/>
                    </w:rPr>
                  </w:pPr>
                  <w:r>
                    <w:rPr>
                      <w:rFonts w:hint="eastAsia" w:eastAsia="宋体"/>
                      <w:color w:val="auto"/>
                      <w:vertAlign w:val="baseline"/>
                      <w:lang w:eastAsia="zh-CN"/>
                    </w:rPr>
                    <w:t>（一）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w:t>
                  </w:r>
                  <w:r>
                    <w:rPr>
                      <w:rFonts w:hint="eastAsia"/>
                      <w:color w:val="auto"/>
                      <w:vertAlign w:val="baseline"/>
                      <w:lang w:eastAsia="zh-CN"/>
                    </w:rPr>
                    <w:t>。</w:t>
                  </w:r>
                </w:p>
              </w:tc>
              <w:tc>
                <w:tcPr>
                  <w:tcW w:w="2250" w:type="dxa"/>
                  <w:vAlign w:val="center"/>
                </w:tcPr>
                <w:p w14:paraId="4FF2E89B">
                  <w:pPr>
                    <w:spacing w:beforeLines="0" w:afterLines="0"/>
                    <w:jc w:val="left"/>
                    <w:rPr>
                      <w:rFonts w:hint="default" w:eastAsia="宋体"/>
                      <w:color w:val="auto"/>
                      <w:vertAlign w:val="baseline"/>
                      <w:lang w:val="en-US" w:eastAsia="zh-CN"/>
                    </w:rPr>
                  </w:pPr>
                  <w:r>
                    <w:rPr>
                      <w:rFonts w:hint="default" w:eastAsia="宋体"/>
                      <w:color w:val="auto"/>
                      <w:vertAlign w:val="baseline"/>
                      <w:lang w:val="en-US" w:eastAsia="zh-CN"/>
                    </w:rPr>
                    <w:t>本项目不属于“两高一低”项目，属于《产业结构调整指导目录（2024年本）》中的</w:t>
                  </w:r>
                  <w:r>
                    <w:rPr>
                      <w:rFonts w:hint="eastAsia"/>
                      <w:color w:val="auto"/>
                      <w:vertAlign w:val="baseline"/>
                      <w:lang w:val="en-US" w:eastAsia="zh-CN"/>
                    </w:rPr>
                    <w:t>允许</w:t>
                  </w:r>
                  <w:r>
                    <w:rPr>
                      <w:rFonts w:hint="default" w:eastAsia="宋体"/>
                      <w:color w:val="auto"/>
                      <w:vertAlign w:val="baseline"/>
                      <w:lang w:val="en-US" w:eastAsia="zh-CN"/>
                    </w:rPr>
                    <w:t>类建设项目，符合国家产业政策。根据上文分析，项目建设符合生态环境分区管控要求</w:t>
                  </w:r>
                  <w:r>
                    <w:rPr>
                      <w:rFonts w:hint="eastAsia"/>
                      <w:color w:val="auto"/>
                      <w:vertAlign w:val="baseline"/>
                      <w:lang w:val="en-US" w:eastAsia="zh-CN"/>
                    </w:rPr>
                    <w:t>。</w:t>
                  </w:r>
                </w:p>
              </w:tc>
              <w:tc>
                <w:tcPr>
                  <w:tcW w:w="909" w:type="dxa"/>
                  <w:vAlign w:val="center"/>
                </w:tcPr>
                <w:p w14:paraId="52F0A3ED">
                  <w:pPr>
                    <w:jc w:val="center"/>
                    <w:rPr>
                      <w:rFonts w:hint="eastAsia" w:eastAsia="宋体"/>
                      <w:color w:val="auto"/>
                      <w:vertAlign w:val="baseline"/>
                      <w:lang w:eastAsia="zh-CN"/>
                    </w:rPr>
                  </w:pPr>
                  <w:r>
                    <w:rPr>
                      <w:rFonts w:hint="default" w:ascii="Times New Roman" w:hAnsi="Times New Roman" w:cs="Times New Roman"/>
                      <w:color w:val="auto"/>
                      <w:kern w:val="2"/>
                      <w:sz w:val="21"/>
                      <w:szCs w:val="21"/>
                      <w:highlight w:val="none"/>
                      <w:vertAlign w:val="baseline"/>
                      <w:lang w:val="en-US" w:eastAsia="zh-CN" w:bidi="ar-SA"/>
                    </w:rPr>
                    <w:t>符合</w:t>
                  </w:r>
                </w:p>
              </w:tc>
            </w:tr>
            <w:tr w14:paraId="04385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1" w:type="dxa"/>
                  <w:vAlign w:val="center"/>
                </w:tcPr>
                <w:p w14:paraId="20B64468">
                  <w:pPr>
                    <w:jc w:val="left"/>
                    <w:rPr>
                      <w:rFonts w:hint="eastAsia" w:eastAsia="宋体"/>
                      <w:color w:val="auto"/>
                      <w:vertAlign w:val="baseline"/>
                      <w:lang w:eastAsia="zh-CN"/>
                    </w:rPr>
                  </w:pPr>
                  <w:r>
                    <w:rPr>
                      <w:rFonts w:hint="eastAsia" w:eastAsia="宋体"/>
                      <w:color w:val="auto"/>
                      <w:vertAlign w:val="baseline"/>
                      <w:lang w:eastAsia="zh-CN"/>
                    </w:rPr>
                    <w:t>三、优化能源结构</w:t>
                  </w:r>
                </w:p>
                <w:p w14:paraId="3DDD798C">
                  <w:pPr>
                    <w:jc w:val="left"/>
                    <w:rPr>
                      <w:rFonts w:hint="eastAsia" w:eastAsia="宋体"/>
                      <w:color w:val="auto"/>
                      <w:vertAlign w:val="baseline"/>
                      <w:lang w:eastAsia="zh-CN"/>
                    </w:rPr>
                  </w:pPr>
                  <w:r>
                    <w:rPr>
                      <w:rFonts w:hint="eastAsia" w:eastAsia="宋体"/>
                      <w:color w:val="auto"/>
                      <w:vertAlign w:val="baseline"/>
                      <w:lang w:eastAsia="zh-CN"/>
                    </w:rPr>
                    <w:t>（六）大力发展新能源和清洁能源。到2025年，非化石能源消费比重较2020年提高4个百分点以上，电能占终端能源消费比重达30%以上。持续增加天然气生产供应，新增天然气优先保障居民生活和清洁取暖需求。</w:t>
                  </w:r>
                </w:p>
                <w:p w14:paraId="6CAE949B">
                  <w:pPr>
                    <w:jc w:val="left"/>
                    <w:rPr>
                      <w:rFonts w:hint="eastAsia" w:eastAsia="宋体"/>
                      <w:color w:val="auto"/>
                      <w:vertAlign w:val="baseline"/>
                      <w:lang w:eastAsia="zh-CN"/>
                    </w:rPr>
                  </w:pPr>
                  <w:r>
                    <w:rPr>
                      <w:rFonts w:hint="eastAsia" w:eastAsia="宋体"/>
                      <w:color w:val="auto"/>
                      <w:vertAlign w:val="baseline"/>
                      <w:lang w:eastAsia="zh-CN"/>
                    </w:rPr>
                    <w:t>（七）严格合理控制煤炭消费增长。有序推进煤炭消费减量替代。支持烟叶烘烤等农特产品加工燃煤设施实施清洁能源改造。对支撑电力稳定供应、电网安全运行、清洁能源大规模并网消纳的煤电项目及其用煤量应予以合理保障。</w:t>
                  </w:r>
                </w:p>
                <w:p w14:paraId="0942845F">
                  <w:pPr>
                    <w:jc w:val="left"/>
                    <w:rPr>
                      <w:rFonts w:hint="eastAsia" w:eastAsia="宋体"/>
                      <w:color w:val="auto"/>
                      <w:vertAlign w:val="baseline"/>
                      <w:lang w:eastAsia="zh-CN"/>
                    </w:rPr>
                  </w:pPr>
                  <w:r>
                    <w:rPr>
                      <w:rFonts w:hint="eastAsia" w:eastAsia="宋体"/>
                      <w:color w:val="auto"/>
                      <w:vertAlign w:val="baseline"/>
                      <w:lang w:eastAsia="zh-CN"/>
                    </w:rPr>
                    <w:t>（八）开展燃煤锅炉关停整合。县级及以上城市建成区原则上不再新建35蒸吨/小时及以下燃煤锅炉。依托电厂、大型工业企业开展远距离供热示范，淘汰管网覆盖范围内的燃煤锅炉和散煤。到2025年，PM</w:t>
                  </w:r>
                  <w:r>
                    <w:rPr>
                      <w:rFonts w:hint="eastAsia" w:eastAsia="宋体"/>
                      <w:color w:val="auto"/>
                      <w:vertAlign w:val="subscript"/>
                      <w:lang w:eastAsia="zh-CN"/>
                    </w:rPr>
                    <w:t>2.5</w:t>
                  </w:r>
                  <w:r>
                    <w:rPr>
                      <w:rFonts w:hint="eastAsia" w:eastAsia="宋体"/>
                      <w:color w:val="auto"/>
                      <w:vertAlign w:val="baseline"/>
                      <w:lang w:eastAsia="zh-CN"/>
                    </w:rPr>
                    <w:t>未达标城市基本淘汰10蒸吨/小时及以下燃煤锅炉。</w:t>
                  </w:r>
                </w:p>
                <w:p w14:paraId="415DF450">
                  <w:pPr>
                    <w:jc w:val="left"/>
                    <w:rPr>
                      <w:rFonts w:hint="eastAsia" w:eastAsia="宋体"/>
                      <w:color w:val="auto"/>
                      <w:vertAlign w:val="baseline"/>
                      <w:lang w:eastAsia="zh-CN"/>
                    </w:rPr>
                  </w:pPr>
                  <w:r>
                    <w:rPr>
                      <w:rFonts w:hint="eastAsia" w:eastAsia="宋体"/>
                      <w:color w:val="auto"/>
                      <w:vertAlign w:val="baseline"/>
                      <w:lang w:eastAsia="zh-CN"/>
                    </w:rPr>
                    <w:t>（九）推动工业炉窑清洁能源替代。有序推进以电代煤，积极稳妥推进以气代煤。对以煤、石油焦、渣油、重油等为燃料的工业炉窑，加快使用工业余热、电能、天然气等清洁能源进行替代。</w:t>
                  </w:r>
                </w:p>
              </w:tc>
              <w:tc>
                <w:tcPr>
                  <w:tcW w:w="2250" w:type="dxa"/>
                  <w:vAlign w:val="center"/>
                </w:tcPr>
                <w:p w14:paraId="5065A103">
                  <w:pPr>
                    <w:jc w:val="left"/>
                    <w:rPr>
                      <w:rFonts w:hint="eastAsia" w:eastAsia="宋体"/>
                      <w:color w:val="auto"/>
                      <w:vertAlign w:val="baseline"/>
                      <w:lang w:eastAsia="zh-CN"/>
                    </w:rPr>
                  </w:pPr>
                  <w:r>
                    <w:rPr>
                      <w:rFonts w:hint="eastAsia" w:eastAsia="宋体"/>
                      <w:color w:val="auto"/>
                      <w:vertAlign w:val="baseline"/>
                      <w:lang w:eastAsia="zh-CN"/>
                    </w:rPr>
                    <w:t>本项目为速冻果蔬食品技改项目，项目锅炉燃料使用生物质成型燃料</w:t>
                  </w:r>
                  <w:r>
                    <w:rPr>
                      <w:rFonts w:hint="eastAsia"/>
                      <w:color w:val="auto"/>
                      <w:vertAlign w:val="baseline"/>
                      <w:lang w:eastAsia="zh-CN"/>
                    </w:rPr>
                    <w:t>，</w:t>
                  </w:r>
                  <w:r>
                    <w:rPr>
                      <w:rFonts w:hint="eastAsia"/>
                      <w:color w:val="auto"/>
                      <w:vertAlign w:val="baseline"/>
                      <w:lang w:val="en-US" w:eastAsia="zh-CN"/>
                    </w:rPr>
                    <w:t>不使用煤炭</w:t>
                  </w:r>
                  <w:r>
                    <w:rPr>
                      <w:rFonts w:hint="eastAsia" w:eastAsia="宋体"/>
                      <w:color w:val="auto"/>
                      <w:vertAlign w:val="baseline"/>
                      <w:lang w:eastAsia="zh-CN"/>
                    </w:rPr>
                    <w:t>。</w:t>
                  </w:r>
                </w:p>
              </w:tc>
              <w:tc>
                <w:tcPr>
                  <w:tcW w:w="909" w:type="dxa"/>
                  <w:vAlign w:val="center"/>
                </w:tcPr>
                <w:p w14:paraId="6AA17B13">
                  <w:pPr>
                    <w:jc w:val="center"/>
                    <w:rPr>
                      <w:rFonts w:hint="eastAsia" w:eastAsia="宋体"/>
                      <w:color w:val="auto"/>
                      <w:vertAlign w:val="baseline"/>
                      <w:lang w:eastAsia="zh-CN"/>
                    </w:rPr>
                  </w:pPr>
                  <w:r>
                    <w:rPr>
                      <w:rFonts w:hint="default" w:ascii="Times New Roman" w:hAnsi="Times New Roman" w:cs="Times New Roman"/>
                      <w:color w:val="auto"/>
                      <w:kern w:val="2"/>
                      <w:sz w:val="21"/>
                      <w:szCs w:val="21"/>
                      <w:highlight w:val="none"/>
                      <w:vertAlign w:val="baseline"/>
                      <w:lang w:val="en-US" w:eastAsia="zh-CN" w:bidi="ar-SA"/>
                    </w:rPr>
                    <w:t>符合</w:t>
                  </w:r>
                </w:p>
              </w:tc>
            </w:tr>
          </w:tbl>
          <w:p w14:paraId="1D113025">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eastAsia="宋体"/>
                <w:color w:val="auto"/>
                <w:lang w:eastAsia="zh-CN"/>
              </w:rPr>
            </w:pPr>
            <w:r>
              <w:rPr>
                <w:rFonts w:hint="eastAsia" w:ascii="宋体" w:hAnsi="宋体" w:eastAsia="宋体"/>
                <w:color w:val="auto"/>
                <w:sz w:val="24"/>
                <w:szCs w:val="24"/>
              </w:rPr>
              <w:t>根据上表可知，项目与《云南省空气质量持续改善行动实施方案》（云政发〔</w:t>
            </w:r>
            <w:r>
              <w:rPr>
                <w:rFonts w:hint="eastAsia" w:ascii="TimesNewRomanPSMT" w:hAnsi="TimesNewRomanPSMT" w:eastAsia="TimesNewRomanPSMT"/>
                <w:color w:val="auto"/>
                <w:sz w:val="24"/>
                <w:szCs w:val="24"/>
              </w:rPr>
              <w:t>2024</w:t>
            </w:r>
            <w:r>
              <w:rPr>
                <w:rFonts w:hint="eastAsia" w:ascii="宋体" w:hAnsi="宋体" w:eastAsia="宋体"/>
                <w:color w:val="auto"/>
                <w:sz w:val="24"/>
                <w:szCs w:val="24"/>
              </w:rPr>
              <w:t>〕</w:t>
            </w:r>
            <w:r>
              <w:rPr>
                <w:rFonts w:hint="eastAsia" w:ascii="TimesNewRomanPSMT" w:hAnsi="TimesNewRomanPSMT" w:eastAsia="TimesNewRomanPSMT"/>
                <w:color w:val="auto"/>
                <w:sz w:val="24"/>
                <w:szCs w:val="24"/>
              </w:rPr>
              <w:t>14</w:t>
            </w:r>
            <w:r>
              <w:rPr>
                <w:rFonts w:hint="eastAsia" w:ascii="宋体" w:hAnsi="宋体" w:eastAsia="宋体"/>
                <w:color w:val="auto"/>
                <w:sz w:val="24"/>
                <w:szCs w:val="24"/>
              </w:rPr>
              <w:t>号）中相关要求相符。</w:t>
            </w:r>
          </w:p>
          <w:p w14:paraId="253525E4">
            <w:pPr>
              <w:numPr>
                <w:ilvl w:val="0"/>
                <w:numId w:val="0"/>
              </w:numPr>
              <w:autoSpaceDE w:val="0"/>
              <w:autoSpaceDN w:val="0"/>
              <w:spacing w:line="360" w:lineRule="auto"/>
              <w:rPr>
                <w:rFonts w:hint="eastAsia"/>
                <w:b/>
                <w:bCs w:val="0"/>
                <w:color w:val="auto"/>
                <w:kern w:val="0"/>
                <w:sz w:val="24"/>
                <w:szCs w:val="24"/>
                <w:lang w:val="en-US" w:eastAsia="zh-CN"/>
              </w:rPr>
            </w:pPr>
            <w:r>
              <w:rPr>
                <w:rFonts w:hint="eastAsia"/>
                <w:b/>
                <w:bCs w:val="0"/>
                <w:color w:val="auto"/>
                <w:kern w:val="0"/>
                <w:sz w:val="24"/>
                <w:szCs w:val="24"/>
                <w:lang w:val="en-US" w:eastAsia="zh-CN"/>
              </w:rPr>
              <w:t>8、与《云南省大气污染防治行动实施方案》的符合性分析</w:t>
            </w:r>
          </w:p>
          <w:p w14:paraId="5CCF7E8E">
            <w:pPr>
              <w:numPr>
                <w:ilvl w:val="0"/>
                <w:numId w:val="0"/>
              </w:numPr>
              <w:autoSpaceDE w:val="0"/>
              <w:autoSpaceDN w:val="0"/>
              <w:spacing w:line="360" w:lineRule="auto"/>
              <w:ind w:firstLine="480" w:firstLineChars="200"/>
              <w:rPr>
                <w:rFonts w:hint="default"/>
                <w:b w:val="0"/>
                <w:bCs/>
                <w:color w:val="auto"/>
                <w:kern w:val="0"/>
                <w:sz w:val="24"/>
                <w:szCs w:val="24"/>
                <w:lang w:val="en-US" w:eastAsia="zh-CN"/>
              </w:rPr>
            </w:pPr>
            <w:r>
              <w:rPr>
                <w:rFonts w:hint="eastAsia"/>
                <w:b w:val="0"/>
                <w:bCs/>
                <w:color w:val="auto"/>
                <w:kern w:val="0"/>
                <w:sz w:val="24"/>
                <w:szCs w:val="24"/>
                <w:lang w:val="en-US" w:eastAsia="zh-CN"/>
              </w:rPr>
              <w:t>项目与《云南省大气污染防治行动实施方案》的符合性分析详见下表。</w:t>
            </w:r>
          </w:p>
          <w:p w14:paraId="6CD8DA8B">
            <w:pPr>
              <w:pStyle w:val="10"/>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color w:val="auto"/>
                <w:sz w:val="21"/>
                <w:szCs w:val="21"/>
                <w:lang w:val="en-US" w:eastAsia="zh-CN"/>
              </w:rPr>
            </w:pPr>
            <w:r>
              <w:rPr>
                <w:rFonts w:hint="eastAsia"/>
                <w:b/>
                <w:bCs/>
                <w:color w:val="auto"/>
                <w:sz w:val="21"/>
                <w:szCs w:val="21"/>
              </w:rPr>
              <w:t>表1-</w:t>
            </w:r>
            <w:r>
              <w:rPr>
                <w:rFonts w:hint="eastAsia"/>
                <w:b/>
                <w:bCs/>
                <w:color w:val="auto"/>
                <w:sz w:val="21"/>
                <w:szCs w:val="21"/>
                <w:lang w:val="en-US" w:eastAsia="zh-CN"/>
              </w:rPr>
              <w:t>9</w:t>
            </w:r>
            <w:r>
              <w:rPr>
                <w:rFonts w:hint="eastAsia"/>
                <w:b/>
                <w:bCs/>
                <w:color w:val="auto"/>
                <w:sz w:val="21"/>
                <w:szCs w:val="21"/>
              </w:rPr>
              <w:t xml:space="preserve">  项目与</w:t>
            </w:r>
            <w:r>
              <w:rPr>
                <w:rFonts w:hint="eastAsia"/>
                <w:b/>
                <w:bCs w:val="0"/>
                <w:color w:val="auto"/>
                <w:kern w:val="0"/>
                <w:sz w:val="21"/>
                <w:szCs w:val="21"/>
                <w:lang w:val="en-US" w:eastAsia="zh-CN"/>
              </w:rPr>
              <w:t>《云南省大气污染防治行动实施方案》符合</w:t>
            </w:r>
            <w:r>
              <w:rPr>
                <w:rFonts w:hint="eastAsia"/>
                <w:b/>
                <w:bCs/>
                <w:color w:val="auto"/>
                <w:sz w:val="21"/>
                <w:szCs w:val="21"/>
              </w:rPr>
              <w:t>性分析一览表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4280"/>
              <w:gridCol w:w="1247"/>
              <w:gridCol w:w="897"/>
            </w:tblGrid>
            <w:tr w14:paraId="344FA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75" w:type="dxa"/>
                  <w:gridSpan w:val="2"/>
                  <w:vAlign w:val="center"/>
                </w:tcPr>
                <w:p w14:paraId="3E9C5A0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bCs w:val="0"/>
                      <w:color w:val="auto"/>
                      <w:kern w:val="0"/>
                      <w:sz w:val="21"/>
                      <w:szCs w:val="21"/>
                      <w:vertAlign w:val="baseline"/>
                      <w:lang w:val="en-US" w:eastAsia="zh-CN"/>
                    </w:rPr>
                  </w:pPr>
                  <w:r>
                    <w:rPr>
                      <w:rFonts w:hint="eastAsia"/>
                      <w:b/>
                      <w:bCs w:val="0"/>
                      <w:color w:val="auto"/>
                      <w:kern w:val="0"/>
                      <w:sz w:val="21"/>
                      <w:szCs w:val="21"/>
                      <w:lang w:val="en-US" w:eastAsia="zh-CN"/>
                    </w:rPr>
                    <w:t>《云南省大气污染防治行动实施方案》内容</w:t>
                  </w:r>
                </w:p>
              </w:tc>
              <w:tc>
                <w:tcPr>
                  <w:tcW w:w="1247" w:type="dxa"/>
                  <w:vAlign w:val="center"/>
                </w:tcPr>
                <w:p w14:paraId="0EFDF94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bCs w:val="0"/>
                      <w:color w:val="auto"/>
                      <w:kern w:val="0"/>
                      <w:sz w:val="21"/>
                      <w:szCs w:val="21"/>
                      <w:vertAlign w:val="baseline"/>
                      <w:lang w:val="en-US" w:eastAsia="zh-CN"/>
                    </w:rPr>
                  </w:pPr>
                  <w:r>
                    <w:rPr>
                      <w:rFonts w:hint="eastAsia"/>
                      <w:b/>
                      <w:bCs w:val="0"/>
                      <w:color w:val="auto"/>
                      <w:kern w:val="0"/>
                      <w:sz w:val="21"/>
                      <w:szCs w:val="21"/>
                      <w:vertAlign w:val="baseline"/>
                      <w:lang w:val="en-US" w:eastAsia="zh-CN"/>
                    </w:rPr>
                    <w:t>项目情况</w:t>
                  </w:r>
                </w:p>
              </w:tc>
              <w:tc>
                <w:tcPr>
                  <w:tcW w:w="897" w:type="dxa"/>
                  <w:vAlign w:val="center"/>
                </w:tcPr>
                <w:p w14:paraId="2199394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bCs w:val="0"/>
                      <w:color w:val="auto"/>
                      <w:kern w:val="0"/>
                      <w:sz w:val="21"/>
                      <w:szCs w:val="21"/>
                      <w:vertAlign w:val="baseline"/>
                      <w:lang w:val="en-US" w:eastAsia="zh-CN"/>
                    </w:rPr>
                  </w:pPr>
                  <w:r>
                    <w:rPr>
                      <w:rFonts w:hint="eastAsia"/>
                      <w:b/>
                      <w:bCs w:val="0"/>
                      <w:color w:val="auto"/>
                      <w:kern w:val="0"/>
                      <w:sz w:val="21"/>
                      <w:szCs w:val="21"/>
                      <w:vertAlign w:val="baseline"/>
                      <w:lang w:val="en-US" w:eastAsia="zh-CN"/>
                    </w:rPr>
                    <w:t>符合性</w:t>
                  </w:r>
                </w:p>
              </w:tc>
            </w:tr>
            <w:tr w14:paraId="538F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5" w:type="dxa"/>
                  <w:vAlign w:val="center"/>
                </w:tcPr>
                <w:p w14:paraId="2B9486CA">
                  <w:pPr>
                    <w:autoSpaceDE w:val="0"/>
                    <w:autoSpaceDN w:val="0"/>
                    <w:adjustRightInd w:val="0"/>
                    <w:snapToGrid w:val="0"/>
                    <w:jc w:val="center"/>
                    <w:rPr>
                      <w:rFonts w:hint="eastAsia"/>
                      <w:color w:val="auto"/>
                      <w:kern w:val="0"/>
                      <w:sz w:val="21"/>
                      <w:szCs w:val="21"/>
                      <w:lang w:val="en-US" w:eastAsia="zh-CN"/>
                    </w:rPr>
                  </w:pPr>
                  <w:r>
                    <w:rPr>
                      <w:rFonts w:hint="eastAsia"/>
                      <w:color w:val="auto"/>
                      <w:kern w:val="0"/>
                      <w:sz w:val="21"/>
                      <w:szCs w:val="21"/>
                      <w:lang w:val="en-US" w:eastAsia="zh-CN"/>
                    </w:rPr>
                    <w:t>优化产业空间布局</w:t>
                  </w:r>
                </w:p>
              </w:tc>
              <w:tc>
                <w:tcPr>
                  <w:tcW w:w="4280" w:type="dxa"/>
                  <w:vAlign w:val="center"/>
                </w:tcPr>
                <w:p w14:paraId="7A47038F">
                  <w:pPr>
                    <w:autoSpaceDE w:val="0"/>
                    <w:autoSpaceDN w:val="0"/>
                    <w:adjustRightInd w:val="0"/>
                    <w:snapToGrid w:val="0"/>
                    <w:jc w:val="left"/>
                    <w:rPr>
                      <w:rFonts w:hint="eastAsia"/>
                      <w:color w:val="auto"/>
                      <w:lang w:val="en-US" w:eastAsia="zh-CN"/>
                    </w:rPr>
                  </w:pPr>
                  <w:r>
                    <w:rPr>
                      <w:rFonts w:hint="eastAsia"/>
                      <w:color w:val="auto"/>
                      <w:lang w:val="en-US" w:eastAsia="zh-CN"/>
                    </w:rPr>
                    <w:t>按照云南省主体功能区规划要求，合理确定我省重点产业发展布局、结构和规模。科学制定并严格实施城乡规划，强化城市空间管制和绿地控制要求，规范各类产业园区和城市新城、新区设立和布局。</w:t>
                  </w:r>
                </w:p>
                <w:p w14:paraId="01E540E5">
                  <w:pPr>
                    <w:pStyle w:val="2"/>
                    <w:rPr>
                      <w:rFonts w:hint="eastAsia"/>
                      <w:color w:val="auto"/>
                      <w:lang w:val="en-US" w:eastAsia="zh-CN"/>
                    </w:rPr>
                  </w:pPr>
                  <w:r>
                    <w:rPr>
                      <w:rFonts w:hint="eastAsia" w:ascii="Times New Roman" w:hAnsi="Times New Roman" w:eastAsia="宋体" w:cs="Times New Roman"/>
                      <w:color w:val="auto"/>
                      <w:kern w:val="2"/>
                      <w:sz w:val="21"/>
                      <w:szCs w:val="24"/>
                      <w:lang w:val="en-US" w:eastAsia="zh-CN" w:bidi="ar-SA"/>
                    </w:rPr>
                    <w:t>结合化解过剩产能和节能减排，有序推进16个州、市人民政府所在地城市建成区及周边严重影响城区环境空气质量的火电、建材、钢铁、化工、有色金属冶炼等重污染企业搬迁改造。2014年底前，各州、市人民政府要制定搬迁改造方案；2017年底前要完成搬迁改造工作，特别是昆明市主城区的云铜股份冶炼加工总厂、昆明玻璃股份有限公司要按期完成搬迁。</w:t>
                  </w:r>
                </w:p>
              </w:tc>
              <w:tc>
                <w:tcPr>
                  <w:tcW w:w="1247" w:type="dxa"/>
                  <w:vAlign w:val="center"/>
                </w:tcPr>
                <w:p w14:paraId="5CA97BA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bCs w:val="0"/>
                      <w:color w:val="auto"/>
                      <w:kern w:val="0"/>
                      <w:sz w:val="21"/>
                      <w:szCs w:val="21"/>
                      <w:vertAlign w:val="baseline"/>
                      <w:lang w:val="en-US" w:eastAsia="zh-CN"/>
                    </w:rPr>
                  </w:pPr>
                  <w:r>
                    <w:rPr>
                      <w:rFonts w:hint="eastAsia"/>
                      <w:b w:val="0"/>
                      <w:bCs/>
                      <w:color w:val="auto"/>
                      <w:kern w:val="0"/>
                      <w:sz w:val="21"/>
                      <w:szCs w:val="21"/>
                      <w:highlight w:val="none"/>
                      <w:vertAlign w:val="baseline"/>
                      <w:lang w:val="en-US" w:eastAsia="zh-CN"/>
                    </w:rPr>
                    <w:t>本项目</w:t>
                  </w:r>
                  <w:r>
                    <w:rPr>
                      <w:rFonts w:hint="eastAsia"/>
                      <w:b w:val="0"/>
                      <w:bCs/>
                      <w:color w:val="auto"/>
                      <w:sz w:val="21"/>
                      <w:szCs w:val="21"/>
                      <w:lang w:val="en-US" w:eastAsia="zh-CN"/>
                    </w:rPr>
                    <w:t>位于工业园</w:t>
                  </w:r>
                  <w:r>
                    <w:rPr>
                      <w:rFonts w:hint="eastAsia"/>
                      <w:b w:val="0"/>
                      <w:bCs w:val="0"/>
                      <w:color w:val="auto"/>
                      <w:sz w:val="21"/>
                      <w:szCs w:val="21"/>
                      <w:lang w:val="en-US" w:eastAsia="zh-CN"/>
                    </w:rPr>
                    <w:t>区内，不属于</w:t>
                  </w:r>
                  <w:r>
                    <w:rPr>
                      <w:rFonts w:hint="eastAsia" w:ascii="Times New Roman" w:hAnsi="Times New Roman" w:eastAsia="宋体" w:cs="Times New Roman"/>
                      <w:color w:val="auto"/>
                      <w:kern w:val="2"/>
                      <w:sz w:val="21"/>
                      <w:szCs w:val="24"/>
                      <w:lang w:val="en-US" w:eastAsia="zh-CN" w:bidi="ar-SA"/>
                    </w:rPr>
                    <w:t>火电、建材、钢铁、化工、有色金属冶炼</w:t>
                  </w:r>
                  <w:r>
                    <w:rPr>
                      <w:rFonts w:hint="eastAsia" w:cs="Times New Roman"/>
                      <w:color w:val="auto"/>
                      <w:kern w:val="2"/>
                      <w:sz w:val="21"/>
                      <w:szCs w:val="24"/>
                      <w:lang w:val="en-US" w:eastAsia="zh-CN" w:bidi="ar-SA"/>
                    </w:rPr>
                    <w:t>等项目。</w:t>
                  </w:r>
                </w:p>
              </w:tc>
              <w:tc>
                <w:tcPr>
                  <w:tcW w:w="897" w:type="dxa"/>
                  <w:vAlign w:val="center"/>
                </w:tcPr>
                <w:p w14:paraId="6CC6A12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bCs w:val="0"/>
                      <w:color w:val="auto"/>
                      <w:kern w:val="0"/>
                      <w:sz w:val="21"/>
                      <w:szCs w:val="21"/>
                      <w:vertAlign w:val="baseline"/>
                      <w:lang w:val="en-US" w:eastAsia="zh-CN"/>
                    </w:rPr>
                  </w:pPr>
                  <w:r>
                    <w:rPr>
                      <w:rFonts w:hint="eastAsia"/>
                      <w:b w:val="0"/>
                      <w:bCs/>
                      <w:color w:val="auto"/>
                      <w:kern w:val="0"/>
                      <w:sz w:val="21"/>
                      <w:szCs w:val="21"/>
                      <w:vertAlign w:val="baseline"/>
                      <w:lang w:val="en-US" w:eastAsia="zh-CN"/>
                    </w:rPr>
                    <w:t>符合</w:t>
                  </w:r>
                </w:p>
              </w:tc>
            </w:tr>
            <w:tr w14:paraId="7BFC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5" w:type="dxa"/>
                  <w:vAlign w:val="center"/>
                </w:tcPr>
                <w:p w14:paraId="42C3042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val="0"/>
                      <w:color w:val="auto"/>
                      <w:kern w:val="0"/>
                      <w:sz w:val="21"/>
                      <w:szCs w:val="21"/>
                      <w:vertAlign w:val="baseline"/>
                      <w:lang w:val="en-US" w:eastAsia="zh-CN"/>
                    </w:rPr>
                  </w:pPr>
                  <w:r>
                    <w:rPr>
                      <w:rFonts w:hint="eastAsia" w:ascii="Times New Roman" w:hAnsi="Times New Roman" w:eastAsia="宋体" w:cs="Times New Roman"/>
                      <w:color w:val="auto"/>
                      <w:kern w:val="2"/>
                      <w:sz w:val="21"/>
                      <w:szCs w:val="24"/>
                      <w:lang w:val="en-US" w:eastAsia="zh-CN" w:bidi="ar-SA"/>
                    </w:rPr>
                    <w:t>严格节能环保准入</w:t>
                  </w:r>
                </w:p>
              </w:tc>
              <w:tc>
                <w:tcPr>
                  <w:tcW w:w="4280" w:type="dxa"/>
                  <w:vAlign w:val="center"/>
                </w:tcPr>
                <w:p w14:paraId="593BE11B">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color w:val="auto"/>
                      <w:lang w:val="en-US" w:eastAsia="zh-CN"/>
                    </w:rPr>
                  </w:pPr>
                  <w:r>
                    <w:rPr>
                      <w:rFonts w:hint="eastAsia"/>
                      <w:color w:val="auto"/>
                      <w:lang w:val="en-US" w:eastAsia="zh-CN"/>
                    </w:rPr>
                    <w:t>提高高污染、高耗能行业准入门槛，进一步强化节能、环保指标约束，严控高污染、高耗能行业新增产能。对新增用能项目，要实施严格的节能评估审查和环境影响评价制度，把二氧化硫、氮氧化物、烟粉尘和挥发性有机物排放是否符合总量控制要求，作为建设项目环境影响评价审批的主要因素予以审查。未通过能评和环评审查的建设项目，有关部门不得审批、核准、备案。</w:t>
                  </w:r>
                </w:p>
                <w:p w14:paraId="5235D736">
                  <w:pPr>
                    <w:pStyle w:val="2"/>
                    <w:rPr>
                      <w:rFonts w:hint="eastAsia"/>
                      <w:color w:val="auto"/>
                      <w:lang w:val="en-US" w:eastAsia="zh-CN"/>
                    </w:rPr>
                  </w:pPr>
                  <w:r>
                    <w:rPr>
                      <w:rFonts w:hint="eastAsia" w:ascii="Times New Roman" w:hAnsi="Times New Roman" w:eastAsia="宋体" w:cs="Times New Roman"/>
                      <w:color w:val="auto"/>
                      <w:kern w:val="2"/>
                      <w:sz w:val="21"/>
                      <w:szCs w:val="24"/>
                      <w:lang w:val="en-US" w:eastAsia="zh-CN" w:bidi="ar-SA"/>
                    </w:rPr>
                    <w:t>积极发展绿色建筑，新建建筑要严格执行强制性节能标准，大力推广使用太阳能热水系统和光伏建筑一体化等技术和装备。</w:t>
                  </w:r>
                </w:p>
              </w:tc>
              <w:tc>
                <w:tcPr>
                  <w:tcW w:w="1247" w:type="dxa"/>
                  <w:vAlign w:val="center"/>
                </w:tcPr>
                <w:p w14:paraId="31D97E8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bCs w:val="0"/>
                      <w:color w:val="auto"/>
                      <w:kern w:val="0"/>
                      <w:sz w:val="21"/>
                      <w:szCs w:val="21"/>
                      <w:vertAlign w:val="baseline"/>
                      <w:lang w:val="en-US" w:eastAsia="zh-CN"/>
                    </w:rPr>
                  </w:pPr>
                  <w:r>
                    <w:rPr>
                      <w:rFonts w:hint="eastAsia"/>
                      <w:b w:val="0"/>
                      <w:bCs/>
                      <w:color w:val="auto"/>
                      <w:kern w:val="0"/>
                      <w:sz w:val="21"/>
                      <w:szCs w:val="21"/>
                      <w:vertAlign w:val="baseline"/>
                      <w:lang w:val="en-US" w:eastAsia="zh-CN"/>
                    </w:rPr>
                    <w:t>本项目</w:t>
                  </w:r>
                  <w:r>
                    <w:rPr>
                      <w:rFonts w:hint="eastAsia"/>
                      <w:b w:val="0"/>
                      <w:bCs/>
                      <w:color w:val="auto"/>
                      <w:sz w:val="21"/>
                      <w:szCs w:val="21"/>
                      <w:lang w:val="en-US" w:eastAsia="zh-CN"/>
                    </w:rPr>
                    <w:t>不属于</w:t>
                  </w:r>
                  <w:r>
                    <w:rPr>
                      <w:rFonts w:hint="eastAsia"/>
                      <w:color w:val="auto"/>
                      <w:lang w:val="en-US" w:eastAsia="zh-CN"/>
                    </w:rPr>
                    <w:t>高污染、高耗能行业，目前正在开展环评。</w:t>
                  </w:r>
                </w:p>
              </w:tc>
              <w:tc>
                <w:tcPr>
                  <w:tcW w:w="897" w:type="dxa"/>
                  <w:vAlign w:val="center"/>
                </w:tcPr>
                <w:p w14:paraId="359D1F7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bCs w:val="0"/>
                      <w:color w:val="auto"/>
                      <w:kern w:val="0"/>
                      <w:sz w:val="21"/>
                      <w:szCs w:val="21"/>
                      <w:vertAlign w:val="baseline"/>
                      <w:lang w:val="en-US" w:eastAsia="zh-CN"/>
                    </w:rPr>
                  </w:pPr>
                  <w:r>
                    <w:rPr>
                      <w:rFonts w:hint="eastAsia"/>
                      <w:b w:val="0"/>
                      <w:bCs/>
                      <w:color w:val="auto"/>
                      <w:kern w:val="0"/>
                      <w:sz w:val="21"/>
                      <w:szCs w:val="21"/>
                      <w:vertAlign w:val="baseline"/>
                      <w:lang w:val="en-US" w:eastAsia="zh-CN"/>
                    </w:rPr>
                    <w:t>符合</w:t>
                  </w:r>
                </w:p>
              </w:tc>
            </w:tr>
            <w:tr w14:paraId="4C47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5" w:type="dxa"/>
                  <w:vAlign w:val="center"/>
                </w:tcPr>
                <w:p w14:paraId="2EC74DE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val="0"/>
                      <w:color w:val="auto"/>
                      <w:kern w:val="0"/>
                      <w:sz w:val="21"/>
                      <w:szCs w:val="21"/>
                      <w:vertAlign w:val="baseline"/>
                      <w:lang w:val="en-US" w:eastAsia="zh-CN"/>
                    </w:rPr>
                  </w:pPr>
                  <w:r>
                    <w:rPr>
                      <w:rFonts w:hint="eastAsia"/>
                      <w:color w:val="auto"/>
                      <w:lang w:val="en-US" w:eastAsia="zh-CN"/>
                    </w:rPr>
                    <w:t>加快淘汰落后产能</w:t>
                  </w:r>
                </w:p>
              </w:tc>
              <w:tc>
                <w:tcPr>
                  <w:tcW w:w="4280" w:type="dxa"/>
                  <w:vAlign w:val="center"/>
                </w:tcPr>
                <w:p w14:paraId="1DACC346">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b/>
                      <w:bCs w:val="0"/>
                      <w:color w:val="auto"/>
                      <w:kern w:val="0"/>
                      <w:sz w:val="21"/>
                      <w:szCs w:val="21"/>
                      <w:vertAlign w:val="baseline"/>
                      <w:lang w:val="en-US" w:eastAsia="zh-CN"/>
                    </w:rPr>
                  </w:pPr>
                  <w:r>
                    <w:rPr>
                      <w:rFonts w:hint="eastAsia" w:ascii="Times New Roman" w:hAnsi="Times New Roman" w:eastAsia="宋体" w:cs="Times New Roman"/>
                      <w:color w:val="auto"/>
                      <w:kern w:val="2"/>
                      <w:sz w:val="21"/>
                      <w:szCs w:val="24"/>
                      <w:lang w:val="en-US" w:eastAsia="zh-CN" w:bidi="ar-SA"/>
                    </w:rPr>
                    <w:t>综合运用经济、技术和行政手段，提前1年完成全省“十二五”工业行业淘汰落后产能任务，结合各地产业发展实际和环境空气质量状况，争取在2015年底前再淘汰一批落后产能。按照《部分工业行业淘汰落后生产工艺装备和产品指导目录（2010年本）》、《产业结构调整指导目录（2011年本） （修正）》要求，重点针对钢铁、水泥等产能过剩行业制定“十三五”淘汰计划，确保国家下达的淘汰落后产能目标任务全面完成</w:t>
                  </w:r>
                  <w:r>
                    <w:rPr>
                      <w:rFonts w:hint="eastAsia" w:cs="Times New Roman"/>
                      <w:color w:val="auto"/>
                      <w:kern w:val="2"/>
                      <w:sz w:val="21"/>
                      <w:szCs w:val="24"/>
                      <w:lang w:val="en-US" w:eastAsia="zh-CN" w:bidi="ar-SA"/>
                    </w:rPr>
                    <w:t>。</w:t>
                  </w:r>
                </w:p>
              </w:tc>
              <w:tc>
                <w:tcPr>
                  <w:tcW w:w="1247" w:type="dxa"/>
                  <w:vAlign w:val="center"/>
                </w:tcPr>
                <w:p w14:paraId="7926F95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bCs w:val="0"/>
                      <w:color w:val="auto"/>
                      <w:kern w:val="0"/>
                      <w:sz w:val="21"/>
                      <w:szCs w:val="21"/>
                      <w:vertAlign w:val="baseline"/>
                      <w:lang w:val="en-US" w:eastAsia="zh-CN"/>
                    </w:rPr>
                  </w:pPr>
                  <w:r>
                    <w:rPr>
                      <w:rFonts w:hint="eastAsia"/>
                      <w:color w:val="auto"/>
                      <w:lang w:val="en-US" w:eastAsia="zh-CN"/>
                    </w:rPr>
                    <w:t>本项目不属于淘汰落后产能。</w:t>
                  </w:r>
                </w:p>
              </w:tc>
              <w:tc>
                <w:tcPr>
                  <w:tcW w:w="897" w:type="dxa"/>
                  <w:vAlign w:val="center"/>
                </w:tcPr>
                <w:p w14:paraId="7CCECB5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bCs w:val="0"/>
                      <w:color w:val="auto"/>
                      <w:kern w:val="0"/>
                      <w:sz w:val="21"/>
                      <w:szCs w:val="21"/>
                      <w:vertAlign w:val="baseline"/>
                      <w:lang w:val="en-US" w:eastAsia="zh-CN"/>
                    </w:rPr>
                  </w:pPr>
                  <w:r>
                    <w:rPr>
                      <w:rFonts w:hint="eastAsia"/>
                      <w:b w:val="0"/>
                      <w:bCs/>
                      <w:color w:val="auto"/>
                      <w:kern w:val="0"/>
                      <w:sz w:val="21"/>
                      <w:szCs w:val="21"/>
                      <w:vertAlign w:val="baseline"/>
                      <w:lang w:val="en-US" w:eastAsia="zh-CN"/>
                    </w:rPr>
                    <w:t>符合</w:t>
                  </w:r>
                </w:p>
              </w:tc>
            </w:tr>
            <w:tr w14:paraId="6C76F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5" w:type="dxa"/>
                  <w:vAlign w:val="center"/>
                </w:tcPr>
                <w:p w14:paraId="77F47F5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val="0"/>
                      <w:color w:val="auto"/>
                      <w:kern w:val="0"/>
                      <w:sz w:val="21"/>
                      <w:szCs w:val="21"/>
                      <w:vertAlign w:val="baseline"/>
                      <w:lang w:val="en-US" w:eastAsia="zh-CN"/>
                    </w:rPr>
                  </w:pPr>
                  <w:r>
                    <w:rPr>
                      <w:rFonts w:hint="eastAsia"/>
                      <w:color w:val="auto"/>
                      <w:lang w:val="en-US" w:eastAsia="zh-CN"/>
                    </w:rPr>
                    <w:t>加快清洁能源替代利用</w:t>
                  </w:r>
                </w:p>
              </w:tc>
              <w:tc>
                <w:tcPr>
                  <w:tcW w:w="4280" w:type="dxa"/>
                  <w:vAlign w:val="center"/>
                </w:tcPr>
                <w:p w14:paraId="097096A4">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color w:val="auto"/>
                      <w:lang w:val="en-US" w:eastAsia="zh-CN"/>
                    </w:rPr>
                  </w:pPr>
                  <w:r>
                    <w:rPr>
                      <w:rFonts w:hint="eastAsia"/>
                      <w:color w:val="auto"/>
                      <w:lang w:val="en-US" w:eastAsia="zh-CN"/>
                    </w:rPr>
                    <w:t>优化调整能源结构，加大清洁能源推广使用力度。在做好生态保护和移民安置的基础上，积极推进“三江”干流水电开发，统筹协调中小水电发展，规范有序发展风电。积极开发以生物柴油、生物质固体成型燃料为主的生物质能，稳妥推进太阳能发电，加快推进太阳能多元化利用。</w:t>
                  </w:r>
                </w:p>
                <w:p w14:paraId="4AC3D6EF">
                  <w:pPr>
                    <w:pStyle w:val="2"/>
                    <w:rPr>
                      <w:rFonts w:hint="eastAsia"/>
                      <w:color w:val="auto"/>
                      <w:lang w:val="en-US" w:eastAsia="zh-CN"/>
                    </w:rPr>
                  </w:pPr>
                  <w:r>
                    <w:rPr>
                      <w:rFonts w:hint="eastAsia" w:ascii="Times New Roman" w:hAnsi="Times New Roman" w:eastAsia="宋体" w:cs="Times New Roman"/>
                      <w:color w:val="auto"/>
                      <w:kern w:val="2"/>
                      <w:sz w:val="21"/>
                      <w:szCs w:val="24"/>
                      <w:lang w:val="en-US" w:eastAsia="zh-CN" w:bidi="ar-SA"/>
                    </w:rPr>
                    <w:t>加快建设和完善天然气管网及配套设施，不断扩大天然气利用规模。到2015 年，基本形成中缅天然气管道省内主干支线、沿主干分布的支线网架，配套分输配气设施等工程投入使用；实现县级以上行政中心城市燃气设施全覆盖，城市天然气使用量超过15亿立方米，工业用气量超过20亿立方米。全省天然气消费达到一次能源消费总量的3.5％左右，可再生能源消费占能源消费比重达到30％。</w:t>
                  </w:r>
                </w:p>
              </w:tc>
              <w:tc>
                <w:tcPr>
                  <w:tcW w:w="1247" w:type="dxa"/>
                  <w:vAlign w:val="center"/>
                </w:tcPr>
                <w:p w14:paraId="7183F19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val="0"/>
                      <w:bCs/>
                      <w:color w:val="auto"/>
                      <w:kern w:val="0"/>
                      <w:sz w:val="21"/>
                      <w:szCs w:val="21"/>
                      <w:vertAlign w:val="baseline"/>
                      <w:lang w:val="en-US" w:eastAsia="zh-CN"/>
                    </w:rPr>
                  </w:pPr>
                  <w:r>
                    <w:rPr>
                      <w:rFonts w:hint="eastAsia"/>
                      <w:b w:val="0"/>
                      <w:bCs/>
                      <w:color w:val="auto"/>
                      <w:kern w:val="0"/>
                      <w:sz w:val="21"/>
                      <w:szCs w:val="21"/>
                      <w:vertAlign w:val="baseline"/>
                      <w:lang w:val="en-US" w:eastAsia="zh-CN"/>
                    </w:rPr>
                    <w:t>本项目使用的能源及燃料主要为水、电及生物质燃料，属于清洁能源。</w:t>
                  </w:r>
                </w:p>
              </w:tc>
              <w:tc>
                <w:tcPr>
                  <w:tcW w:w="897" w:type="dxa"/>
                  <w:vAlign w:val="center"/>
                </w:tcPr>
                <w:p w14:paraId="642452D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val="0"/>
                      <w:bCs/>
                      <w:color w:val="auto"/>
                      <w:kern w:val="0"/>
                      <w:sz w:val="21"/>
                      <w:szCs w:val="21"/>
                      <w:vertAlign w:val="baseline"/>
                      <w:lang w:val="en-US" w:eastAsia="zh-CN"/>
                    </w:rPr>
                  </w:pPr>
                  <w:r>
                    <w:rPr>
                      <w:rFonts w:hint="eastAsia"/>
                      <w:b w:val="0"/>
                      <w:bCs/>
                      <w:color w:val="auto"/>
                      <w:kern w:val="0"/>
                      <w:sz w:val="21"/>
                      <w:szCs w:val="21"/>
                      <w:vertAlign w:val="baseline"/>
                      <w:lang w:val="en-US" w:eastAsia="zh-CN"/>
                    </w:rPr>
                    <w:t>符合</w:t>
                  </w:r>
                </w:p>
              </w:tc>
            </w:tr>
            <w:tr w14:paraId="5039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5" w:type="dxa"/>
                  <w:vAlign w:val="center"/>
                </w:tcPr>
                <w:p w14:paraId="4CF7BE0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val="0"/>
                      <w:color w:val="auto"/>
                      <w:kern w:val="0"/>
                      <w:sz w:val="21"/>
                      <w:szCs w:val="21"/>
                      <w:vertAlign w:val="baseline"/>
                      <w:lang w:val="en-US" w:eastAsia="zh-CN"/>
                    </w:rPr>
                  </w:pPr>
                  <w:r>
                    <w:rPr>
                      <w:rFonts w:hint="eastAsia" w:ascii="Times New Roman" w:hAnsi="Times New Roman" w:eastAsia="宋体" w:cs="Times New Roman"/>
                      <w:color w:val="auto"/>
                      <w:kern w:val="2"/>
                      <w:sz w:val="21"/>
                      <w:szCs w:val="24"/>
                      <w:lang w:val="en-US" w:eastAsia="zh-CN" w:bidi="ar-SA"/>
                    </w:rPr>
                    <w:t>推进煤炭清洁利用</w:t>
                  </w:r>
                </w:p>
              </w:tc>
              <w:tc>
                <w:tcPr>
                  <w:tcW w:w="4280" w:type="dxa"/>
                  <w:vAlign w:val="center"/>
                </w:tcPr>
                <w:p w14:paraId="04A52B6B">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color w:val="auto"/>
                      <w:lang w:val="en-US" w:eastAsia="zh-CN"/>
                    </w:rPr>
                  </w:pPr>
                  <w:r>
                    <w:rPr>
                      <w:rFonts w:hint="eastAsia"/>
                      <w:color w:val="auto"/>
                      <w:lang w:val="en-US" w:eastAsia="zh-CN"/>
                    </w:rPr>
                    <w:t>2014年底前，昆明、曲靖、玉溪市中心城区高污染燃料禁燃区范围要逐步由城市建成区扩展到近郊；其他州、市要完成中心城区高污染燃料禁燃区划定工作。</w:t>
                  </w:r>
                </w:p>
                <w:p w14:paraId="2CC703AC">
                  <w:pPr>
                    <w:pStyle w:val="2"/>
                    <w:jc w:val="left"/>
                    <w:rPr>
                      <w:rFonts w:hint="eastAsia"/>
                      <w:color w:val="auto"/>
                      <w:lang w:val="en-US" w:eastAsia="zh-CN"/>
                    </w:rPr>
                  </w:pPr>
                  <w:r>
                    <w:rPr>
                      <w:rFonts w:hint="eastAsia" w:ascii="Times New Roman" w:hAnsi="Times New Roman" w:eastAsia="宋体" w:cs="Times New Roman"/>
                      <w:color w:val="auto"/>
                      <w:kern w:val="2"/>
                      <w:sz w:val="21"/>
                      <w:szCs w:val="24"/>
                      <w:lang w:val="en-US" w:eastAsia="zh-CN" w:bidi="ar-SA"/>
                    </w:rPr>
                    <w:t>提高煤炭洗选比例，鼓励建设群矿型和矿区选煤厂，大力发展煤炭洗选加工技术，现有煤矿要加快结构调整和升级改造。发展洁净煤技术，实现煤炭高效洁净燃烧，新建高耗能项目单位产品（产值）能耗要达到国内先进水平。继续推进电力工业节能降耗，加快煤电机组升级换代，降低火电发电煤耗、供电煤耗，提高电网及设备经济运行水平</w:t>
                  </w:r>
                  <w:r>
                    <w:rPr>
                      <w:rFonts w:hint="eastAsia" w:cs="Times New Roman"/>
                      <w:color w:val="auto"/>
                      <w:kern w:val="2"/>
                      <w:sz w:val="21"/>
                      <w:szCs w:val="24"/>
                      <w:lang w:val="en-US" w:eastAsia="zh-CN" w:bidi="ar-SA"/>
                    </w:rPr>
                    <w:t>。</w:t>
                  </w:r>
                </w:p>
              </w:tc>
              <w:tc>
                <w:tcPr>
                  <w:tcW w:w="1247" w:type="dxa"/>
                  <w:vAlign w:val="center"/>
                </w:tcPr>
                <w:p w14:paraId="63976C4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val="0"/>
                      <w:bCs/>
                      <w:color w:val="auto"/>
                      <w:kern w:val="0"/>
                      <w:sz w:val="21"/>
                      <w:szCs w:val="21"/>
                      <w:vertAlign w:val="baseline"/>
                      <w:lang w:val="en-US" w:eastAsia="zh-CN"/>
                    </w:rPr>
                  </w:pPr>
                  <w:r>
                    <w:rPr>
                      <w:rFonts w:hint="eastAsia"/>
                      <w:b w:val="0"/>
                      <w:bCs/>
                      <w:color w:val="auto"/>
                      <w:kern w:val="0"/>
                      <w:sz w:val="21"/>
                      <w:szCs w:val="21"/>
                      <w:vertAlign w:val="baseline"/>
                      <w:lang w:val="en-US" w:eastAsia="zh-CN"/>
                    </w:rPr>
                    <w:t>本项目不使用煤炭等高污染燃料。</w:t>
                  </w:r>
                </w:p>
              </w:tc>
              <w:tc>
                <w:tcPr>
                  <w:tcW w:w="897" w:type="dxa"/>
                  <w:vAlign w:val="center"/>
                </w:tcPr>
                <w:p w14:paraId="4AC2C48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val="0"/>
                      <w:bCs/>
                      <w:color w:val="auto"/>
                      <w:kern w:val="0"/>
                      <w:sz w:val="21"/>
                      <w:szCs w:val="21"/>
                      <w:vertAlign w:val="baseline"/>
                      <w:lang w:val="en-US" w:eastAsia="zh-CN"/>
                    </w:rPr>
                  </w:pPr>
                  <w:r>
                    <w:rPr>
                      <w:rFonts w:hint="eastAsia"/>
                      <w:b w:val="0"/>
                      <w:bCs/>
                      <w:color w:val="auto"/>
                      <w:kern w:val="0"/>
                      <w:sz w:val="21"/>
                      <w:szCs w:val="21"/>
                      <w:vertAlign w:val="baseline"/>
                      <w:lang w:val="en-US" w:eastAsia="zh-CN"/>
                    </w:rPr>
                    <w:t>符合</w:t>
                  </w:r>
                </w:p>
              </w:tc>
            </w:tr>
            <w:tr w14:paraId="3369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5" w:type="dxa"/>
                  <w:vAlign w:val="center"/>
                </w:tcPr>
                <w:p w14:paraId="549AB94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val="0"/>
                      <w:color w:val="auto"/>
                      <w:kern w:val="0"/>
                      <w:sz w:val="21"/>
                      <w:szCs w:val="21"/>
                      <w:vertAlign w:val="baseline"/>
                      <w:lang w:val="en-US" w:eastAsia="zh-CN"/>
                    </w:rPr>
                  </w:pPr>
                  <w:r>
                    <w:rPr>
                      <w:rFonts w:hint="eastAsia" w:ascii="Times New Roman" w:hAnsi="Times New Roman" w:eastAsia="宋体" w:cs="Times New Roman"/>
                      <w:color w:val="auto"/>
                      <w:kern w:val="2"/>
                      <w:sz w:val="21"/>
                      <w:szCs w:val="24"/>
                      <w:lang w:val="en-US" w:eastAsia="zh-CN" w:bidi="ar-SA"/>
                    </w:rPr>
                    <w:t>全面整治燃煤小锅炉</w:t>
                  </w:r>
                </w:p>
              </w:tc>
              <w:tc>
                <w:tcPr>
                  <w:tcW w:w="4280" w:type="dxa"/>
                  <w:vAlign w:val="center"/>
                </w:tcPr>
                <w:p w14:paraId="68DF8F5E">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color w:val="auto"/>
                      <w:lang w:val="en-US" w:eastAsia="zh-CN"/>
                    </w:rPr>
                  </w:pPr>
                  <w:r>
                    <w:rPr>
                      <w:rFonts w:hint="eastAsia"/>
                      <w:color w:val="auto"/>
                      <w:lang w:val="en-US" w:eastAsia="zh-CN"/>
                    </w:rPr>
                    <w:t>2014年底前，完成州、市人民政府所在地城市建成区“烟尘控制区”创建及划定工作，摸清燃煤小锅炉底数，建立燃煤锅炉综合整治台账，编制燃煤小锅炉淘汰方案。到2017年底，基本淘汰州、市人民政府所在地城市建成区内每小时10蒸吨及以下燃煤锅炉；原则上不再新建、改建、扩建燃煤锅炉，禁止新建每小时20蒸吨以下燃煤锅炉。其他具备天然气供应和使用条件的地区，不再新建每小时10蒸吨以下燃煤锅炉。</w:t>
                  </w:r>
                </w:p>
                <w:p w14:paraId="727FDFB6">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color w:val="auto"/>
                      <w:lang w:val="en-US" w:eastAsia="zh-CN"/>
                    </w:rPr>
                  </w:pPr>
                  <w:r>
                    <w:rPr>
                      <w:rFonts w:hint="eastAsia"/>
                      <w:color w:val="auto"/>
                      <w:lang w:val="en-US" w:eastAsia="zh-CN"/>
                    </w:rPr>
                    <w:t>产业聚集区要集中建设热电联产机组或大型集中供热设施，逐步淘汰分散燃煤锅炉。天然气干、支线可以覆盖的地区原则上不再审批以煤（油）作为燃料的新建、改建、扩建项目。</w:t>
                  </w:r>
                </w:p>
              </w:tc>
              <w:tc>
                <w:tcPr>
                  <w:tcW w:w="1247" w:type="dxa"/>
                  <w:vAlign w:val="center"/>
                </w:tcPr>
                <w:p w14:paraId="1DFF4AB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val="0"/>
                      <w:bCs/>
                      <w:color w:val="auto"/>
                      <w:kern w:val="0"/>
                      <w:sz w:val="21"/>
                      <w:szCs w:val="21"/>
                      <w:vertAlign w:val="baseline"/>
                      <w:lang w:val="en-US" w:eastAsia="zh-CN"/>
                    </w:rPr>
                  </w:pPr>
                  <w:r>
                    <w:rPr>
                      <w:rFonts w:hint="eastAsia"/>
                      <w:b w:val="0"/>
                      <w:bCs/>
                      <w:color w:val="auto"/>
                      <w:kern w:val="0"/>
                      <w:sz w:val="21"/>
                      <w:szCs w:val="21"/>
                      <w:vertAlign w:val="baseline"/>
                      <w:lang w:val="en-US" w:eastAsia="zh-CN"/>
                    </w:rPr>
                    <w:t>本项目使用的为生物质锅炉。</w:t>
                  </w:r>
                </w:p>
              </w:tc>
              <w:tc>
                <w:tcPr>
                  <w:tcW w:w="897" w:type="dxa"/>
                  <w:vAlign w:val="center"/>
                </w:tcPr>
                <w:p w14:paraId="2FE38D5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val="0"/>
                      <w:bCs/>
                      <w:color w:val="auto"/>
                      <w:kern w:val="0"/>
                      <w:sz w:val="21"/>
                      <w:szCs w:val="21"/>
                      <w:vertAlign w:val="baseline"/>
                      <w:lang w:val="en-US" w:eastAsia="zh-CN"/>
                    </w:rPr>
                  </w:pPr>
                  <w:r>
                    <w:rPr>
                      <w:rFonts w:hint="eastAsia"/>
                      <w:b w:val="0"/>
                      <w:bCs/>
                      <w:color w:val="auto"/>
                      <w:kern w:val="0"/>
                      <w:sz w:val="21"/>
                      <w:szCs w:val="21"/>
                      <w:vertAlign w:val="baseline"/>
                      <w:lang w:val="en-US" w:eastAsia="zh-CN"/>
                    </w:rPr>
                    <w:t>符合</w:t>
                  </w:r>
                </w:p>
              </w:tc>
            </w:tr>
            <w:tr w14:paraId="2191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5" w:type="dxa"/>
                  <w:vAlign w:val="center"/>
                </w:tcPr>
                <w:p w14:paraId="4766361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val="0"/>
                      <w:color w:val="auto"/>
                      <w:kern w:val="0"/>
                      <w:sz w:val="21"/>
                      <w:szCs w:val="21"/>
                      <w:vertAlign w:val="baseline"/>
                      <w:lang w:val="en-US" w:eastAsia="zh-CN"/>
                    </w:rPr>
                  </w:pPr>
                  <w:r>
                    <w:rPr>
                      <w:rFonts w:hint="eastAsia" w:ascii="Times New Roman" w:hAnsi="Times New Roman" w:eastAsia="宋体" w:cs="Times New Roman"/>
                      <w:color w:val="auto"/>
                      <w:kern w:val="2"/>
                      <w:sz w:val="21"/>
                      <w:szCs w:val="24"/>
                      <w:lang w:val="en-US" w:eastAsia="zh-CN" w:bidi="ar-SA"/>
                    </w:rPr>
                    <w:t>加强工业企业大气污染治理</w:t>
                  </w:r>
                </w:p>
              </w:tc>
              <w:tc>
                <w:tcPr>
                  <w:tcW w:w="4280" w:type="dxa"/>
                  <w:vAlign w:val="center"/>
                </w:tcPr>
                <w:p w14:paraId="4E588AC6">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color w:val="auto"/>
                      <w:lang w:val="en-US" w:eastAsia="zh-CN"/>
                    </w:rPr>
                  </w:pPr>
                  <w:r>
                    <w:rPr>
                      <w:rFonts w:hint="eastAsia"/>
                      <w:color w:val="auto"/>
                      <w:lang w:val="en-US" w:eastAsia="zh-CN"/>
                    </w:rPr>
                    <w:t>加快火电、水泥、钢铁、化工、有色金属冶炼等重点行业脱硫、脱硝及除尘改造工程建设。到2015年，现役燃煤机组必须安装脱硫设施并按照规定封堵或取消烟气旁路，不能稳定达标排放的要进行提升改造或者淘汰；20万千瓦以上燃煤机组要实施脱硝改造；钢铁烧结机、球团设备要全面实施烟气脱硫改造；现役新型干法水泥窑推行低氮燃烧技术改造， 熟料生产规模在1000吨／日以上的生产线推行烟气脱硝改造。</w:t>
                  </w:r>
                </w:p>
                <w:p w14:paraId="23414B02">
                  <w:pPr>
                    <w:pStyle w:val="2"/>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制定钢铁、水泥、石化、有色金属冶炼等重点行业2014－2017年清洁生产审核分年度实施计划，并进行清洁生产审核。定期发布清洁生产审核企业名单，培育一批清洁生产示范企业</w:t>
                  </w:r>
                  <w:r>
                    <w:rPr>
                      <w:rFonts w:hint="eastAsia" w:cs="Times New Roman"/>
                      <w:color w:val="auto"/>
                      <w:kern w:val="2"/>
                      <w:sz w:val="21"/>
                      <w:szCs w:val="24"/>
                      <w:lang w:val="en-US" w:eastAsia="zh-CN" w:bidi="ar-SA"/>
                    </w:rPr>
                    <w:t>。</w:t>
                  </w:r>
                </w:p>
                <w:p w14:paraId="1EE5571D">
                  <w:pPr>
                    <w:pStyle w:val="2"/>
                    <w:rPr>
                      <w:rFonts w:hint="eastAsia"/>
                      <w:color w:val="auto"/>
                      <w:lang w:val="en-US" w:eastAsia="zh-CN"/>
                    </w:rPr>
                  </w:pPr>
                  <w:r>
                    <w:rPr>
                      <w:rFonts w:hint="eastAsia" w:ascii="Times New Roman" w:hAnsi="Times New Roman" w:eastAsia="宋体" w:cs="Times New Roman"/>
                      <w:color w:val="auto"/>
                      <w:kern w:val="2"/>
                      <w:sz w:val="21"/>
                      <w:szCs w:val="24"/>
                      <w:lang w:val="en-US" w:eastAsia="zh-CN" w:bidi="ar-SA"/>
                    </w:rPr>
                    <w:t>推进挥发性有机物污染治理。制定加油站、储油库、油罐车油气回收治理计划，2017年底前完成治理工作；开展有机化工、表面涂装、包装印刷等行业挥发性有机物的综合整治。</w:t>
                  </w:r>
                </w:p>
              </w:tc>
              <w:tc>
                <w:tcPr>
                  <w:tcW w:w="1247" w:type="dxa"/>
                  <w:vAlign w:val="center"/>
                </w:tcPr>
                <w:p w14:paraId="620BA25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bCs w:val="0"/>
                      <w:color w:val="auto"/>
                      <w:kern w:val="0"/>
                      <w:sz w:val="21"/>
                      <w:szCs w:val="21"/>
                      <w:vertAlign w:val="baseline"/>
                      <w:lang w:val="en-US" w:eastAsia="zh-CN"/>
                    </w:rPr>
                  </w:pPr>
                  <w:r>
                    <w:rPr>
                      <w:rFonts w:hint="eastAsia"/>
                      <w:b w:val="0"/>
                      <w:bCs/>
                      <w:color w:val="auto"/>
                      <w:kern w:val="0"/>
                      <w:sz w:val="21"/>
                      <w:szCs w:val="21"/>
                      <w:vertAlign w:val="baseline"/>
                      <w:lang w:val="en-US" w:eastAsia="zh-CN"/>
                    </w:rPr>
                    <w:t>本项目不属于</w:t>
                  </w:r>
                  <w:r>
                    <w:rPr>
                      <w:rFonts w:hint="eastAsia"/>
                      <w:b w:val="0"/>
                      <w:bCs/>
                      <w:color w:val="auto"/>
                      <w:lang w:val="en-US" w:eastAsia="zh-CN"/>
                    </w:rPr>
                    <w:t>火电、水泥、钢铁、化工、有色金属冶炼等重点行</w:t>
                  </w:r>
                  <w:r>
                    <w:rPr>
                      <w:rFonts w:hint="eastAsia"/>
                      <w:color w:val="auto"/>
                      <w:lang w:val="en-US" w:eastAsia="zh-CN"/>
                    </w:rPr>
                    <w:t>业，不产生</w:t>
                  </w:r>
                  <w:r>
                    <w:rPr>
                      <w:rFonts w:hint="eastAsia" w:ascii="Times New Roman" w:hAnsi="Times New Roman" w:eastAsia="宋体" w:cs="Times New Roman"/>
                      <w:color w:val="auto"/>
                      <w:kern w:val="2"/>
                      <w:sz w:val="21"/>
                      <w:szCs w:val="24"/>
                      <w:lang w:val="en-US" w:eastAsia="zh-CN" w:bidi="ar-SA"/>
                    </w:rPr>
                    <w:t>挥发性有机物</w:t>
                  </w:r>
                  <w:r>
                    <w:rPr>
                      <w:rFonts w:hint="eastAsia" w:cs="Times New Roman"/>
                      <w:color w:val="auto"/>
                      <w:kern w:val="2"/>
                      <w:sz w:val="21"/>
                      <w:szCs w:val="24"/>
                      <w:lang w:val="en-US" w:eastAsia="zh-CN" w:bidi="ar-SA"/>
                    </w:rPr>
                    <w:t>，</w:t>
                  </w:r>
                  <w:r>
                    <w:rPr>
                      <w:rFonts w:hint="eastAsia" w:cs="Times New Roman"/>
                      <w:color w:val="auto"/>
                      <w:kern w:val="2"/>
                      <w:sz w:val="21"/>
                      <w:szCs w:val="24"/>
                      <w:highlight w:val="none"/>
                      <w:lang w:val="en-US" w:eastAsia="zh-CN" w:bidi="ar-SA"/>
                    </w:rPr>
                    <w:t>生物质锅炉废气经</w:t>
                  </w:r>
                  <w:r>
                    <w:rPr>
                      <w:rFonts w:hint="eastAsia"/>
                      <w:color w:val="auto"/>
                      <w:szCs w:val="21"/>
                      <w:highlight w:val="none"/>
                      <w:lang w:val="en-US" w:eastAsia="zh-CN"/>
                    </w:rPr>
                    <w:t>“多管旋风除尘器+布袋除尘器”处理后经30m高排气筒排放。</w:t>
                  </w:r>
                </w:p>
              </w:tc>
              <w:tc>
                <w:tcPr>
                  <w:tcW w:w="897" w:type="dxa"/>
                  <w:vAlign w:val="center"/>
                </w:tcPr>
                <w:p w14:paraId="7C23FE6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bCs w:val="0"/>
                      <w:color w:val="auto"/>
                      <w:kern w:val="0"/>
                      <w:sz w:val="21"/>
                      <w:szCs w:val="21"/>
                      <w:vertAlign w:val="baseline"/>
                      <w:lang w:val="en-US" w:eastAsia="zh-CN"/>
                    </w:rPr>
                  </w:pPr>
                  <w:r>
                    <w:rPr>
                      <w:rFonts w:hint="eastAsia"/>
                      <w:b w:val="0"/>
                      <w:bCs/>
                      <w:color w:val="auto"/>
                      <w:kern w:val="0"/>
                      <w:sz w:val="21"/>
                      <w:szCs w:val="21"/>
                      <w:vertAlign w:val="baseline"/>
                      <w:lang w:val="en-US" w:eastAsia="zh-CN"/>
                    </w:rPr>
                    <w:t>符合</w:t>
                  </w:r>
                </w:p>
              </w:tc>
            </w:tr>
          </w:tbl>
          <w:p w14:paraId="7B91D416">
            <w:pPr>
              <w:autoSpaceDE w:val="0"/>
              <w:autoSpaceDN w:val="0"/>
              <w:spacing w:line="360" w:lineRule="auto"/>
              <w:ind w:firstLine="480" w:firstLineChars="200"/>
              <w:rPr>
                <w:rFonts w:hint="default"/>
                <w:b w:val="0"/>
                <w:bCs/>
                <w:color w:val="auto"/>
                <w:kern w:val="0"/>
                <w:sz w:val="24"/>
                <w:szCs w:val="24"/>
                <w:lang w:val="en-US" w:eastAsia="zh-CN"/>
              </w:rPr>
            </w:pPr>
            <w:r>
              <w:rPr>
                <w:rFonts w:hint="eastAsia"/>
                <w:b w:val="0"/>
                <w:bCs/>
                <w:color w:val="auto"/>
                <w:kern w:val="0"/>
                <w:sz w:val="24"/>
                <w:szCs w:val="24"/>
                <w:lang w:val="en-US" w:eastAsia="zh-CN"/>
              </w:rPr>
              <w:t>根据上表，本项目的建设与《云南省大气污染防治行动实施方案》的要求相符。</w:t>
            </w:r>
          </w:p>
          <w:p w14:paraId="033B518D">
            <w:pPr>
              <w:spacing w:line="360" w:lineRule="auto"/>
              <w:rPr>
                <w:rFonts w:hint="eastAsia" w:ascii="宋体" w:hAnsi="宋体" w:eastAsia="宋体"/>
                <w:b/>
                <w:bCs w:val="0"/>
                <w:color w:val="auto"/>
                <w:sz w:val="24"/>
                <w:szCs w:val="24"/>
              </w:rPr>
            </w:pPr>
            <w:r>
              <w:rPr>
                <w:rFonts w:hint="eastAsia"/>
                <w:b/>
                <w:bCs w:val="0"/>
                <w:color w:val="auto"/>
                <w:kern w:val="0"/>
                <w:sz w:val="24"/>
                <w:szCs w:val="24"/>
                <w:lang w:val="en-US" w:eastAsia="zh-CN"/>
              </w:rPr>
              <w:t>9、与《锅炉绿色低碳高质量发展行动方案》的符合性分析</w:t>
            </w:r>
          </w:p>
          <w:p w14:paraId="36A691DA">
            <w:pPr>
              <w:spacing w:beforeLines="0" w:afterLines="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2023年12月19日，国家发展改革委等部门关于印发《锅炉绿色低碳高质量发展行动方案》的通知（发改环资〔2023〕1638号），方案中提出：“生物质锅炉应配套建设高效除尘设施，氮氧化物排放浓度难以稳定达标的应配套建设脱硝设施，禁止掺烧煤炭、垃圾等其他物料。”</w:t>
            </w:r>
          </w:p>
          <w:p w14:paraId="7B02BEAD">
            <w:pPr>
              <w:spacing w:beforeLines="0" w:afterLines="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锅炉为</w:t>
            </w:r>
            <w:r>
              <w:rPr>
                <w:rFonts w:hint="default" w:ascii="Times New Roman" w:hAnsi="Times New Roman" w:eastAsia="宋体" w:cs="Times New Roman"/>
                <w:color w:val="auto"/>
                <w:sz w:val="24"/>
                <w:szCs w:val="24"/>
              </w:rPr>
              <w:t>生物质锅炉，燃料使用生物质成型燃料，</w:t>
            </w:r>
            <w:r>
              <w:rPr>
                <w:rFonts w:hint="eastAsia" w:cs="Times New Roman"/>
                <w:color w:val="auto"/>
                <w:sz w:val="24"/>
                <w:szCs w:val="24"/>
                <w:lang w:val="en-US" w:eastAsia="zh-CN"/>
              </w:rPr>
              <w:t>锅炉采用低氮燃烧技术，</w:t>
            </w:r>
            <w:r>
              <w:rPr>
                <w:rFonts w:hint="default" w:ascii="Times New Roman" w:hAnsi="Times New Roman" w:eastAsia="宋体" w:cs="Times New Roman"/>
                <w:color w:val="auto"/>
                <w:sz w:val="24"/>
                <w:szCs w:val="24"/>
              </w:rPr>
              <w:t>同时末端设有</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多管旋风除尘</w:t>
            </w:r>
            <w:r>
              <w:rPr>
                <w:rFonts w:hint="default" w:ascii="Times New Roman" w:hAnsi="Times New Roman" w:eastAsia="宋体" w:cs="Times New Roman"/>
                <w:color w:val="auto"/>
                <w:sz w:val="24"/>
                <w:szCs w:val="24"/>
                <w:lang w:val="en-US" w:eastAsia="zh-CN"/>
              </w:rPr>
              <w:t>器</w:t>
            </w:r>
            <w:r>
              <w:rPr>
                <w:rFonts w:hint="default" w:ascii="Times New Roman" w:hAnsi="Times New Roman" w:eastAsia="宋体" w:cs="Times New Roman"/>
                <w:color w:val="auto"/>
                <w:sz w:val="24"/>
                <w:szCs w:val="24"/>
              </w:rPr>
              <w:t>+布袋除尘器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高效除尘设施，锅炉废气能够达到《锅炉大气污染物排放标准》（GB13271-2014）中新建</w:t>
            </w:r>
            <w:r>
              <w:rPr>
                <w:rFonts w:hint="eastAsia" w:cs="Times New Roman"/>
                <w:color w:val="auto"/>
                <w:sz w:val="24"/>
                <w:szCs w:val="24"/>
                <w:lang w:val="en-US" w:eastAsia="zh-CN"/>
              </w:rPr>
              <w:t>燃煤</w:t>
            </w:r>
            <w:r>
              <w:rPr>
                <w:rFonts w:hint="default" w:ascii="Times New Roman" w:hAnsi="Times New Roman" w:eastAsia="宋体" w:cs="Times New Roman"/>
                <w:color w:val="auto"/>
                <w:sz w:val="24"/>
                <w:szCs w:val="24"/>
              </w:rPr>
              <w:t>锅炉大气污染物排放限值要求。项目与《锅炉绿色低碳高质量发展行动方案》相符合。</w:t>
            </w:r>
          </w:p>
          <w:p w14:paraId="609F7200">
            <w:pPr>
              <w:spacing w:line="360" w:lineRule="auto"/>
              <w:rPr>
                <w:rFonts w:hint="eastAsia" w:ascii="宋体" w:hAnsi="宋体" w:eastAsia="宋体"/>
                <w:b/>
                <w:bCs w:val="0"/>
                <w:color w:val="auto"/>
                <w:sz w:val="24"/>
                <w:szCs w:val="24"/>
              </w:rPr>
            </w:pPr>
            <w:r>
              <w:rPr>
                <w:rFonts w:hint="eastAsia"/>
                <w:b/>
                <w:bCs w:val="0"/>
                <w:color w:val="auto"/>
                <w:kern w:val="0"/>
                <w:sz w:val="24"/>
                <w:szCs w:val="24"/>
                <w:lang w:val="en-US" w:eastAsia="zh-CN"/>
              </w:rPr>
              <w:t>10、与《生物质锅炉技术规范》（GB/T44906-2024）的符合性分析</w:t>
            </w:r>
          </w:p>
          <w:p w14:paraId="300555D5">
            <w:pPr>
              <w:spacing w:beforeLines="0" w:afterLines="0"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项目与《生物质锅炉技术规范》（GB/T44906-2024）的符合性分析</w:t>
            </w:r>
            <w:r>
              <w:rPr>
                <w:rFonts w:hint="eastAsia" w:cs="Times New Roman"/>
                <w:color w:val="auto"/>
                <w:sz w:val="24"/>
                <w:szCs w:val="24"/>
                <w:lang w:val="en-US" w:eastAsia="zh-CN"/>
              </w:rPr>
              <w:t>详见下表。</w:t>
            </w:r>
          </w:p>
          <w:p w14:paraId="314A93FE">
            <w:pPr>
              <w:jc w:val="center"/>
              <w:rPr>
                <w:rFonts w:hint="eastAsia" w:eastAsia="宋体"/>
                <w:color w:val="auto"/>
                <w:lang w:eastAsia="zh-CN"/>
              </w:rPr>
            </w:pPr>
            <w:r>
              <w:rPr>
                <w:rFonts w:hint="eastAsia"/>
                <w:b/>
                <w:bCs/>
                <w:color w:val="auto"/>
                <w:sz w:val="21"/>
                <w:szCs w:val="21"/>
              </w:rPr>
              <w:t>表1-</w:t>
            </w:r>
            <w:r>
              <w:rPr>
                <w:rFonts w:hint="eastAsia"/>
                <w:b/>
                <w:bCs/>
                <w:color w:val="auto"/>
                <w:sz w:val="21"/>
                <w:szCs w:val="21"/>
                <w:lang w:val="en-US" w:eastAsia="zh-CN"/>
              </w:rPr>
              <w:t>10</w:t>
            </w:r>
            <w:r>
              <w:rPr>
                <w:rFonts w:hint="eastAsia"/>
                <w:b/>
                <w:bCs/>
                <w:color w:val="auto"/>
                <w:sz w:val="21"/>
                <w:szCs w:val="21"/>
              </w:rPr>
              <w:t xml:space="preserve">  项目与</w:t>
            </w:r>
            <w:r>
              <w:rPr>
                <w:rFonts w:hint="eastAsia"/>
                <w:b/>
                <w:bCs w:val="0"/>
                <w:color w:val="auto"/>
                <w:kern w:val="0"/>
                <w:sz w:val="21"/>
                <w:szCs w:val="21"/>
                <w:lang w:val="en-US" w:eastAsia="zh-CN"/>
              </w:rPr>
              <w:t>《生物质锅炉技术规范》符合</w:t>
            </w:r>
            <w:r>
              <w:rPr>
                <w:rFonts w:hint="eastAsia"/>
                <w:b/>
                <w:bCs/>
                <w:color w:val="auto"/>
                <w:sz w:val="21"/>
                <w:szCs w:val="21"/>
              </w:rPr>
              <w:t>性分析一览表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1138"/>
              <w:gridCol w:w="2577"/>
              <w:gridCol w:w="2051"/>
              <w:gridCol w:w="926"/>
            </w:tblGrid>
            <w:tr w14:paraId="4077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1" w:type="pct"/>
                  <w:gridSpan w:val="3"/>
                  <w:vAlign w:val="center"/>
                </w:tcPr>
                <w:p w14:paraId="0F67E017">
                  <w:pPr>
                    <w:autoSpaceDE w:val="0"/>
                    <w:autoSpaceDN w:val="0"/>
                    <w:adjustRightInd w:val="0"/>
                    <w:snapToGrid w:val="0"/>
                    <w:jc w:val="center"/>
                    <w:rPr>
                      <w:rFonts w:hint="default" w:eastAsia="宋体"/>
                      <w:b/>
                      <w:bCs/>
                      <w:color w:val="auto"/>
                      <w:kern w:val="0"/>
                      <w:sz w:val="21"/>
                      <w:szCs w:val="21"/>
                      <w:lang w:val="en-US" w:eastAsia="zh-CN"/>
                    </w:rPr>
                  </w:pPr>
                  <w:r>
                    <w:rPr>
                      <w:rFonts w:hint="eastAsia"/>
                      <w:b/>
                      <w:bCs/>
                      <w:color w:val="auto"/>
                      <w:kern w:val="0"/>
                      <w:sz w:val="21"/>
                      <w:szCs w:val="21"/>
                      <w:lang w:val="en-US" w:eastAsia="zh-CN"/>
                    </w:rPr>
                    <w:t>相关要求</w:t>
                  </w:r>
                </w:p>
              </w:tc>
              <w:tc>
                <w:tcPr>
                  <w:tcW w:w="1418" w:type="pct"/>
                  <w:vAlign w:val="center"/>
                </w:tcPr>
                <w:p w14:paraId="3676C3D8">
                  <w:pPr>
                    <w:autoSpaceDE w:val="0"/>
                    <w:autoSpaceDN w:val="0"/>
                    <w:adjustRightInd w:val="0"/>
                    <w:snapToGrid w:val="0"/>
                    <w:jc w:val="center"/>
                    <w:rPr>
                      <w:rFonts w:hint="default" w:eastAsia="宋体"/>
                      <w:b/>
                      <w:bCs/>
                      <w:color w:val="auto"/>
                      <w:kern w:val="0"/>
                      <w:sz w:val="21"/>
                      <w:szCs w:val="21"/>
                      <w:lang w:val="en-US" w:eastAsia="zh-CN"/>
                    </w:rPr>
                  </w:pPr>
                  <w:r>
                    <w:rPr>
                      <w:rFonts w:hint="eastAsia"/>
                      <w:b/>
                      <w:bCs/>
                      <w:color w:val="auto"/>
                      <w:kern w:val="0"/>
                      <w:sz w:val="21"/>
                      <w:szCs w:val="21"/>
                      <w:lang w:val="en-US" w:eastAsia="zh-CN"/>
                    </w:rPr>
                    <w:t>项目情况</w:t>
                  </w:r>
                </w:p>
              </w:tc>
              <w:tc>
                <w:tcPr>
                  <w:tcW w:w="640" w:type="pct"/>
                  <w:vAlign w:val="center"/>
                </w:tcPr>
                <w:p w14:paraId="040939B1">
                  <w:pPr>
                    <w:autoSpaceDE w:val="0"/>
                    <w:autoSpaceDN w:val="0"/>
                    <w:adjustRightInd w:val="0"/>
                    <w:snapToGrid w:val="0"/>
                    <w:jc w:val="center"/>
                    <w:rPr>
                      <w:rFonts w:hint="default"/>
                      <w:b/>
                      <w:bCs/>
                      <w:color w:val="auto"/>
                      <w:kern w:val="0"/>
                      <w:sz w:val="21"/>
                      <w:szCs w:val="21"/>
                      <w:lang w:val="en-US" w:eastAsia="zh-CN"/>
                    </w:rPr>
                  </w:pPr>
                  <w:r>
                    <w:rPr>
                      <w:rFonts w:hint="eastAsia"/>
                      <w:b/>
                      <w:bCs/>
                      <w:color w:val="auto"/>
                      <w:kern w:val="0"/>
                      <w:sz w:val="21"/>
                      <w:szCs w:val="21"/>
                      <w:lang w:val="en-US" w:eastAsia="zh-CN"/>
                    </w:rPr>
                    <w:t>符合性</w:t>
                  </w:r>
                </w:p>
              </w:tc>
            </w:tr>
            <w:tr w14:paraId="5836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72" w:type="pct"/>
                  <w:vAlign w:val="center"/>
                </w:tcPr>
                <w:p w14:paraId="02549117">
                  <w:pPr>
                    <w:autoSpaceDE w:val="0"/>
                    <w:autoSpaceDN w:val="0"/>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燃料</w:t>
                  </w:r>
                </w:p>
              </w:tc>
              <w:tc>
                <w:tcPr>
                  <w:tcW w:w="786" w:type="pct"/>
                  <w:vAlign w:val="center"/>
                </w:tcPr>
                <w:p w14:paraId="087E153E">
                  <w:pPr>
                    <w:autoSpaceDE w:val="0"/>
                    <w:autoSpaceDN w:val="0"/>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rPr>
                    <w:t>生物质成型燃料的要求</w:t>
                  </w:r>
                </w:p>
              </w:tc>
              <w:tc>
                <w:tcPr>
                  <w:tcW w:w="1782" w:type="pct"/>
                  <w:vAlign w:val="center"/>
                </w:tcPr>
                <w:p w14:paraId="138CDFD7">
                  <w:pPr>
                    <w:autoSpaceDE w:val="0"/>
                    <w:autoSpaceDN w:val="0"/>
                    <w:adjustRightInd w:val="0"/>
                    <w:snapToGrid w:val="0"/>
                    <w:jc w:val="left"/>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链条炉排锅炉相关指标如下：</w:t>
                  </w:r>
                </w:p>
                <w:p w14:paraId="615A1101">
                  <w:pPr>
                    <w:autoSpaceDE w:val="0"/>
                    <w:autoSpaceDN w:val="0"/>
                    <w:adjustRightInd w:val="0"/>
                    <w:snapToGrid w:val="0"/>
                    <w:jc w:val="left"/>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收到基低位发热值：≥10.45MJ/kg；</w:t>
                  </w:r>
                </w:p>
                <w:p w14:paraId="776E9199">
                  <w:pPr>
                    <w:autoSpaceDE w:val="0"/>
                    <w:autoSpaceDN w:val="0"/>
                    <w:adjustRightInd w:val="0"/>
                    <w:snapToGrid w:val="0"/>
                    <w:jc w:val="left"/>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全</w:t>
                  </w:r>
                  <w:r>
                    <w:rPr>
                      <w:rFonts w:hint="eastAsia" w:ascii="Times New Roman" w:hAnsi="Times New Roman" w:cs="Times New Roman"/>
                      <w:color w:val="auto"/>
                      <w:kern w:val="0"/>
                      <w:sz w:val="21"/>
                      <w:szCs w:val="21"/>
                      <w:lang w:val="en-US" w:eastAsia="zh-CN"/>
                    </w:rPr>
                    <w:t>水</w:t>
                  </w:r>
                  <w:r>
                    <w:rPr>
                      <w:rFonts w:hint="default" w:ascii="Times New Roman" w:hAnsi="Times New Roman" w:cs="Times New Roman"/>
                      <w:color w:val="auto"/>
                      <w:kern w:val="0"/>
                      <w:sz w:val="21"/>
                      <w:szCs w:val="21"/>
                      <w:lang w:val="en-US" w:eastAsia="zh-CN"/>
                    </w:rPr>
                    <w:t>分（收到基ar）：≤12%；</w:t>
                  </w:r>
                </w:p>
                <w:p w14:paraId="0AE030BB">
                  <w:pPr>
                    <w:autoSpaceDE w:val="0"/>
                    <w:autoSpaceDN w:val="0"/>
                    <w:adjustRightInd w:val="0"/>
                    <w:snapToGrid w:val="0"/>
                    <w:jc w:val="left"/>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灰分（干燥基d）：≤10；</w:t>
                  </w:r>
                </w:p>
                <w:p w14:paraId="139AF951">
                  <w:pPr>
                    <w:autoSpaceDE w:val="0"/>
                    <w:autoSpaceDN w:val="0"/>
                    <w:adjustRightInd w:val="0"/>
                    <w:snapToGrid w:val="0"/>
                    <w:jc w:val="left"/>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硫（干燥基d）：≤0.1</w:t>
                  </w:r>
                  <w:r>
                    <w:rPr>
                      <w:rFonts w:hint="eastAsia" w:ascii="Times New Roman" w:hAnsi="Times New Roman" w:cs="Times New Roman"/>
                      <w:color w:val="auto"/>
                      <w:kern w:val="0"/>
                      <w:sz w:val="21"/>
                      <w:szCs w:val="21"/>
                      <w:lang w:val="en-US" w:eastAsia="zh-CN"/>
                    </w:rPr>
                    <w:t>%</w:t>
                  </w:r>
                  <w:r>
                    <w:rPr>
                      <w:rFonts w:hint="default" w:ascii="Times New Roman" w:hAnsi="Times New Roman" w:cs="Times New Roman"/>
                      <w:color w:val="auto"/>
                      <w:kern w:val="0"/>
                      <w:sz w:val="21"/>
                      <w:szCs w:val="21"/>
                      <w:lang w:val="en-US" w:eastAsia="zh-CN"/>
                    </w:rPr>
                    <w:t>；</w:t>
                  </w:r>
                </w:p>
                <w:p w14:paraId="5DF45947">
                  <w:pPr>
                    <w:autoSpaceDE w:val="0"/>
                    <w:autoSpaceDN w:val="0"/>
                    <w:adjustRightInd w:val="0"/>
                    <w:snapToGrid w:val="0"/>
                    <w:jc w:val="left"/>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氮（干燥基d）：≤1.0</w:t>
                  </w:r>
                  <w:r>
                    <w:rPr>
                      <w:rFonts w:hint="eastAsia" w:ascii="Times New Roman" w:hAnsi="Times New Roman" w:cs="Times New Roman"/>
                      <w:color w:val="auto"/>
                      <w:kern w:val="0"/>
                      <w:sz w:val="21"/>
                      <w:szCs w:val="21"/>
                      <w:lang w:val="en-US" w:eastAsia="zh-CN"/>
                    </w:rPr>
                    <w:t>%</w:t>
                  </w:r>
                  <w:r>
                    <w:rPr>
                      <w:rFonts w:hint="default" w:ascii="Times New Roman" w:hAnsi="Times New Roman" w:cs="Times New Roman"/>
                      <w:color w:val="auto"/>
                      <w:kern w:val="0"/>
                      <w:sz w:val="21"/>
                      <w:szCs w:val="21"/>
                      <w:lang w:val="en-US" w:eastAsia="zh-CN"/>
                    </w:rPr>
                    <w:t>。</w:t>
                  </w:r>
                </w:p>
              </w:tc>
              <w:tc>
                <w:tcPr>
                  <w:tcW w:w="1418" w:type="pct"/>
                  <w:vAlign w:val="center"/>
                </w:tcPr>
                <w:p w14:paraId="4A65A8C4">
                  <w:pPr>
                    <w:autoSpaceDE w:val="0"/>
                    <w:autoSpaceDN w:val="0"/>
                    <w:adjustRightInd w:val="0"/>
                    <w:snapToGrid w:val="0"/>
                    <w:jc w:val="left"/>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根据生物质燃料成分检测报告，项目使用的生物质燃料</w:t>
                  </w:r>
                  <w:r>
                    <w:rPr>
                      <w:rFonts w:hint="default" w:ascii="Times New Roman" w:hAnsi="Times New Roman" w:cs="Times New Roman"/>
                      <w:color w:val="auto"/>
                      <w:kern w:val="0"/>
                      <w:sz w:val="21"/>
                      <w:szCs w:val="21"/>
                      <w:lang w:val="en-US" w:eastAsia="zh-CN"/>
                    </w:rPr>
                    <w:t>收到基低位发热值</w:t>
                  </w:r>
                  <w:r>
                    <w:rPr>
                      <w:rFonts w:hint="eastAsia" w:cs="Times New Roman"/>
                      <w:color w:val="auto"/>
                      <w:kern w:val="0"/>
                      <w:sz w:val="21"/>
                      <w:szCs w:val="21"/>
                      <w:lang w:val="en-US" w:eastAsia="zh-CN"/>
                    </w:rPr>
                    <w:t>为17.71</w:t>
                  </w:r>
                  <w:r>
                    <w:rPr>
                      <w:rFonts w:hint="default" w:ascii="Times New Roman" w:hAnsi="Times New Roman" w:cs="Times New Roman"/>
                      <w:color w:val="auto"/>
                      <w:kern w:val="0"/>
                      <w:sz w:val="21"/>
                      <w:szCs w:val="21"/>
                      <w:lang w:val="en-US" w:eastAsia="zh-CN"/>
                    </w:rPr>
                    <w:t>MJ/kg</w:t>
                  </w:r>
                  <w:r>
                    <w:rPr>
                      <w:rFonts w:hint="eastAsia" w:cs="Times New Roman"/>
                      <w:color w:val="auto"/>
                      <w:kern w:val="0"/>
                      <w:sz w:val="21"/>
                      <w:szCs w:val="21"/>
                      <w:lang w:val="en-US" w:eastAsia="zh-CN"/>
                    </w:rPr>
                    <w:t>，</w:t>
                  </w:r>
                  <w:r>
                    <w:rPr>
                      <w:rFonts w:hint="default" w:ascii="Times New Roman" w:hAnsi="Times New Roman" w:cs="Times New Roman"/>
                      <w:color w:val="auto"/>
                      <w:kern w:val="0"/>
                      <w:sz w:val="21"/>
                      <w:szCs w:val="21"/>
                      <w:lang w:val="en-US" w:eastAsia="zh-CN"/>
                    </w:rPr>
                    <w:t>全</w:t>
                  </w:r>
                  <w:r>
                    <w:rPr>
                      <w:rFonts w:hint="eastAsia" w:cs="Times New Roman"/>
                      <w:color w:val="auto"/>
                      <w:kern w:val="0"/>
                      <w:sz w:val="21"/>
                      <w:szCs w:val="21"/>
                      <w:lang w:val="en-US" w:eastAsia="zh-CN"/>
                    </w:rPr>
                    <w:t>水</w:t>
                  </w:r>
                  <w:r>
                    <w:rPr>
                      <w:rFonts w:hint="default" w:ascii="Times New Roman" w:hAnsi="Times New Roman" w:cs="Times New Roman"/>
                      <w:color w:val="auto"/>
                      <w:kern w:val="0"/>
                      <w:sz w:val="21"/>
                      <w:szCs w:val="21"/>
                      <w:lang w:val="en-US" w:eastAsia="zh-CN"/>
                    </w:rPr>
                    <w:t>分</w:t>
                  </w:r>
                  <w:r>
                    <w:rPr>
                      <w:rFonts w:hint="eastAsia" w:cs="Times New Roman"/>
                      <w:color w:val="auto"/>
                      <w:kern w:val="0"/>
                      <w:sz w:val="21"/>
                      <w:szCs w:val="21"/>
                      <w:lang w:val="en-US" w:eastAsia="zh-CN"/>
                    </w:rPr>
                    <w:t>为6.7</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w:t>
                  </w:r>
                  <w:r>
                    <w:rPr>
                      <w:rFonts w:hint="default" w:ascii="Times New Roman" w:hAnsi="Times New Roman" w:cs="Times New Roman"/>
                      <w:color w:val="auto"/>
                      <w:kern w:val="0"/>
                      <w:sz w:val="21"/>
                      <w:szCs w:val="21"/>
                      <w:lang w:val="en-US" w:eastAsia="zh-CN"/>
                    </w:rPr>
                    <w:t>灰分</w:t>
                  </w:r>
                  <w:r>
                    <w:rPr>
                      <w:rFonts w:hint="eastAsia" w:cs="Times New Roman"/>
                      <w:color w:val="auto"/>
                      <w:kern w:val="0"/>
                      <w:sz w:val="21"/>
                      <w:szCs w:val="21"/>
                      <w:lang w:val="en-US" w:eastAsia="zh-CN"/>
                    </w:rPr>
                    <w:t>为2.57%，全</w:t>
                  </w:r>
                  <w:r>
                    <w:rPr>
                      <w:rFonts w:hint="default" w:ascii="Times New Roman" w:hAnsi="Times New Roman" w:cs="Times New Roman"/>
                      <w:color w:val="auto"/>
                      <w:kern w:val="0"/>
                      <w:sz w:val="21"/>
                      <w:szCs w:val="21"/>
                      <w:lang w:val="en-US" w:eastAsia="zh-CN"/>
                    </w:rPr>
                    <w:t>硫</w:t>
                  </w:r>
                  <w:r>
                    <w:rPr>
                      <w:rFonts w:hint="eastAsia" w:cs="Times New Roman"/>
                      <w:color w:val="auto"/>
                      <w:kern w:val="0"/>
                      <w:sz w:val="21"/>
                      <w:szCs w:val="21"/>
                      <w:lang w:val="en-US" w:eastAsia="zh-CN"/>
                    </w:rPr>
                    <w:t>为</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0.03%，氮元素为0.85%，各指标满足相关要求标准。</w:t>
                  </w:r>
                </w:p>
              </w:tc>
              <w:tc>
                <w:tcPr>
                  <w:tcW w:w="640" w:type="pct"/>
                  <w:vAlign w:val="center"/>
                </w:tcPr>
                <w:p w14:paraId="27CE960B">
                  <w:pPr>
                    <w:pStyle w:val="9"/>
                    <w:jc w:val="center"/>
                    <w:rPr>
                      <w:rFonts w:hint="eastAsia" w:eastAsia="宋体"/>
                      <w:color w:val="auto"/>
                      <w:kern w:val="0"/>
                      <w:sz w:val="21"/>
                      <w:szCs w:val="21"/>
                      <w:lang w:val="en-US" w:eastAsia="zh-CN"/>
                    </w:rPr>
                  </w:pPr>
                  <w:r>
                    <w:rPr>
                      <w:rFonts w:hint="eastAsia"/>
                      <w:color w:val="auto"/>
                      <w:kern w:val="0"/>
                      <w:sz w:val="21"/>
                      <w:szCs w:val="21"/>
                      <w:lang w:val="en-US" w:eastAsia="zh-CN"/>
                    </w:rPr>
                    <w:t>符合</w:t>
                  </w:r>
                </w:p>
              </w:tc>
            </w:tr>
            <w:tr w14:paraId="706F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14:paraId="700ED157">
                  <w:pPr>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性能</w:t>
                  </w:r>
                </w:p>
              </w:tc>
              <w:tc>
                <w:tcPr>
                  <w:tcW w:w="786" w:type="pct"/>
                  <w:vAlign w:val="center"/>
                </w:tcPr>
                <w:p w14:paraId="243B2B6F">
                  <w:pPr>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锅炉热效率限定值</w:t>
                  </w:r>
                </w:p>
              </w:tc>
              <w:tc>
                <w:tcPr>
                  <w:tcW w:w="1782" w:type="pct"/>
                  <w:vAlign w:val="center"/>
                </w:tcPr>
                <w:p w14:paraId="4A7E06D0">
                  <w:pPr>
                    <w:autoSpaceDE w:val="0"/>
                    <w:autoSpaceDN w:val="0"/>
                    <w:adjustRightInd w:val="0"/>
                    <w:snapToGrid w:val="0"/>
                    <w:jc w:val="left"/>
                    <w:rPr>
                      <w:rFonts w:hint="default" w:ascii="Times New Roman" w:hAnsi="Times New Roman" w:eastAsia="FZSSK--GBK1-0"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锅炉类型为层燃锅炉，燃烧收到基低位发热量8374≤Q net.v.ar≤18000，锅炉额定蒸发量D≤10t/h是，</w:t>
                  </w:r>
                  <w:r>
                    <w:rPr>
                      <w:rFonts w:hint="default" w:ascii="Times New Roman" w:hAnsi="Times New Roman" w:eastAsia="FZSSK--GBK1-0" w:cs="Times New Roman"/>
                      <w:color w:val="auto"/>
                      <w:sz w:val="21"/>
                      <w:szCs w:val="21"/>
                    </w:rPr>
                    <w:t>锅炉额定工况下的热效率限定值</w:t>
                  </w:r>
                  <w:r>
                    <w:rPr>
                      <w:rFonts w:hint="default" w:ascii="Times New Roman" w:hAnsi="Times New Roman" w:eastAsia="FZSSK--GBK1-0" w:cs="Times New Roman"/>
                      <w:color w:val="auto"/>
                      <w:sz w:val="21"/>
                      <w:szCs w:val="21"/>
                      <w:lang w:val="en-US" w:eastAsia="zh-CN"/>
                    </w:rPr>
                    <w:t>为83%。</w:t>
                  </w:r>
                </w:p>
              </w:tc>
              <w:tc>
                <w:tcPr>
                  <w:tcW w:w="1418" w:type="pct"/>
                  <w:vAlign w:val="center"/>
                </w:tcPr>
                <w:p w14:paraId="7AEF2D5E">
                  <w:pPr>
                    <w:autoSpaceDE w:val="0"/>
                    <w:autoSpaceDN w:val="0"/>
                    <w:adjustRightInd w:val="0"/>
                    <w:snapToGrid w:val="0"/>
                    <w:jc w:val="left"/>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根据本项目锅炉技术参数，本项目使用的</w:t>
                  </w:r>
                  <w:r>
                    <w:rPr>
                      <w:rFonts w:hint="default" w:ascii="Times New Roman" w:hAnsi="Times New Roman" w:eastAsia="FZSSK--GBK1-0" w:cs="Times New Roman"/>
                      <w:color w:val="auto"/>
                      <w:sz w:val="21"/>
                      <w:szCs w:val="21"/>
                    </w:rPr>
                    <w:t>锅炉额定工况下的热效率</w:t>
                  </w:r>
                  <w:r>
                    <w:rPr>
                      <w:rFonts w:hint="eastAsia" w:eastAsia="FZSSK--GBK1-0" w:cs="Times New Roman"/>
                      <w:color w:val="auto"/>
                      <w:sz w:val="21"/>
                      <w:szCs w:val="21"/>
                      <w:lang w:val="en-US" w:eastAsia="zh-CN"/>
                    </w:rPr>
                    <w:t>值为96.8%，满足规定限值要求</w:t>
                  </w:r>
                  <w:r>
                    <w:rPr>
                      <w:rFonts w:hint="default" w:ascii="Times New Roman" w:hAnsi="Times New Roman" w:eastAsia="FZSSK--GBK1-0" w:cs="Times New Roman"/>
                      <w:color w:val="auto"/>
                      <w:sz w:val="21"/>
                      <w:szCs w:val="21"/>
                      <w:lang w:val="en-US" w:eastAsia="zh-CN"/>
                    </w:rPr>
                    <w:t>。</w:t>
                  </w:r>
                </w:p>
              </w:tc>
              <w:tc>
                <w:tcPr>
                  <w:tcW w:w="640" w:type="pct"/>
                  <w:vAlign w:val="center"/>
                </w:tcPr>
                <w:p w14:paraId="0D8FE54B">
                  <w:pPr>
                    <w:autoSpaceDE w:val="0"/>
                    <w:autoSpaceDN w:val="0"/>
                    <w:adjustRightInd w:val="0"/>
                    <w:snapToGrid w:val="0"/>
                    <w:jc w:val="center"/>
                    <w:rPr>
                      <w:rFonts w:hint="default"/>
                      <w:color w:val="auto"/>
                      <w:kern w:val="0"/>
                      <w:sz w:val="21"/>
                      <w:szCs w:val="21"/>
                      <w:lang w:val="en-US" w:eastAsia="zh-CN"/>
                    </w:rPr>
                  </w:pPr>
                  <w:r>
                    <w:rPr>
                      <w:rFonts w:hint="eastAsia"/>
                      <w:color w:val="auto"/>
                      <w:kern w:val="0"/>
                      <w:sz w:val="21"/>
                      <w:szCs w:val="21"/>
                      <w:lang w:val="en-US" w:eastAsia="zh-CN"/>
                    </w:rPr>
                    <w:t>符合</w:t>
                  </w:r>
                </w:p>
              </w:tc>
            </w:tr>
          </w:tbl>
          <w:p w14:paraId="7DBF41A7">
            <w:pPr>
              <w:adjustRightInd w:val="0"/>
              <w:snapToGrid w:val="0"/>
              <w:spacing w:line="360" w:lineRule="auto"/>
              <w:ind w:firstLine="480" w:firstLineChars="200"/>
              <w:jc w:val="both"/>
              <w:rPr>
                <w:rFonts w:hint="default" w:eastAsia="宋体"/>
                <w:color w:val="auto"/>
                <w:lang w:val="en-US" w:eastAsia="zh-CN"/>
              </w:rPr>
            </w:pPr>
            <w:r>
              <w:rPr>
                <w:rFonts w:hint="eastAsia" w:cs="Times New Roman"/>
                <w:color w:val="auto"/>
                <w:sz w:val="24"/>
                <w:szCs w:val="24"/>
                <w:lang w:val="en-US" w:eastAsia="zh-CN"/>
              </w:rPr>
              <w:t>根据上表，</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符合</w:t>
            </w:r>
            <w:r>
              <w:rPr>
                <w:rFonts w:hint="eastAsia" w:ascii="Times New Roman" w:hAnsi="Times New Roman" w:eastAsia="宋体" w:cs="Times New Roman"/>
                <w:color w:val="auto"/>
                <w:sz w:val="24"/>
                <w:szCs w:val="24"/>
                <w:lang w:val="en-US" w:eastAsia="zh-CN"/>
              </w:rPr>
              <w:t>《生物质锅炉技术规范》（GB/T44906-2024）的</w:t>
            </w:r>
            <w:r>
              <w:rPr>
                <w:rFonts w:hint="eastAsia" w:cs="Times New Roman"/>
                <w:color w:val="auto"/>
                <w:sz w:val="24"/>
                <w:szCs w:val="24"/>
                <w:lang w:val="en-US" w:eastAsia="zh-CN"/>
              </w:rPr>
              <w:t>相关要求。</w:t>
            </w:r>
          </w:p>
          <w:p w14:paraId="5FE8569E">
            <w:pPr>
              <w:spacing w:line="360" w:lineRule="auto"/>
              <w:rPr>
                <w:rFonts w:hint="default" w:eastAsia="宋体"/>
                <w:color w:val="auto"/>
                <w:lang w:val="en-US" w:eastAsia="zh-CN"/>
              </w:rPr>
            </w:pPr>
            <w:r>
              <w:rPr>
                <w:rFonts w:hint="eastAsia"/>
                <w:b/>
                <w:bCs w:val="0"/>
                <w:color w:val="auto"/>
                <w:kern w:val="0"/>
                <w:sz w:val="24"/>
                <w:szCs w:val="24"/>
                <w:lang w:val="en-US" w:eastAsia="zh-CN"/>
              </w:rPr>
              <w:t>11、与《排污许可证申请与核发技术规范 锅炉》（HJ953-2018）、《排污许可证申请与核发技术规范 酒、饮料制造》（HJ 1028-2019）的相关符合性分析</w:t>
            </w:r>
          </w:p>
          <w:p w14:paraId="61DB31B3">
            <w:pPr>
              <w:adjustRightInd w:val="0"/>
              <w:snapToGrid w:val="0"/>
              <w:spacing w:line="360" w:lineRule="auto"/>
              <w:ind w:firstLine="480" w:firstLineChars="200"/>
              <w:jc w:val="both"/>
              <w:rPr>
                <w:rFonts w:hint="default" w:cs="Times New Roman"/>
                <w:color w:val="auto"/>
                <w:sz w:val="24"/>
                <w:szCs w:val="24"/>
                <w:lang w:val="en-US" w:eastAsia="zh-CN"/>
              </w:rPr>
            </w:pPr>
            <w:r>
              <w:rPr>
                <w:rFonts w:hint="eastAsia" w:cs="Times New Roman"/>
                <w:color w:val="auto"/>
                <w:sz w:val="24"/>
                <w:szCs w:val="24"/>
                <w:lang w:val="en-US" w:eastAsia="zh-CN"/>
              </w:rPr>
              <w:t>本项目与《排污许可证申请与核发技术规范 锅炉》（HJ953-2018）、《排污许可证申请与核发技术规范 酒、饮料制造》（HJ 1028-2019）符合性分析如下表所示。</w:t>
            </w:r>
          </w:p>
          <w:p w14:paraId="2B74C338">
            <w:pPr>
              <w:adjustRightInd w:val="0"/>
              <w:snapToGrid w:val="0"/>
              <w:spacing w:line="276" w:lineRule="auto"/>
              <w:jc w:val="center"/>
              <w:rPr>
                <w:b/>
                <w:bCs/>
                <w:color w:val="auto"/>
                <w:sz w:val="21"/>
                <w:szCs w:val="21"/>
              </w:rPr>
            </w:pPr>
            <w:r>
              <w:rPr>
                <w:rFonts w:hint="eastAsia"/>
                <w:b/>
                <w:bCs/>
                <w:color w:val="auto"/>
                <w:sz w:val="21"/>
                <w:szCs w:val="21"/>
              </w:rPr>
              <w:t>表1-</w:t>
            </w:r>
            <w:r>
              <w:rPr>
                <w:rFonts w:hint="eastAsia"/>
                <w:b/>
                <w:bCs/>
                <w:color w:val="auto"/>
                <w:sz w:val="21"/>
                <w:szCs w:val="21"/>
                <w:lang w:val="en-US" w:eastAsia="zh-CN"/>
              </w:rPr>
              <w:t>11</w:t>
            </w:r>
            <w:r>
              <w:rPr>
                <w:rFonts w:hint="eastAsia"/>
                <w:b/>
                <w:bCs/>
                <w:color w:val="auto"/>
                <w:sz w:val="21"/>
                <w:szCs w:val="21"/>
              </w:rPr>
              <w:t xml:space="preserve">  项目</w:t>
            </w:r>
            <w:r>
              <w:rPr>
                <w:rFonts w:hint="eastAsia"/>
                <w:b/>
                <w:bCs/>
                <w:color w:val="auto"/>
                <w:sz w:val="21"/>
                <w:szCs w:val="21"/>
                <w:lang w:val="en-US" w:eastAsia="zh-CN"/>
              </w:rPr>
              <w:t>与</w:t>
            </w:r>
            <w:r>
              <w:rPr>
                <w:rFonts w:hint="eastAsia"/>
                <w:b/>
                <w:bCs/>
                <w:color w:val="auto"/>
                <w:sz w:val="21"/>
                <w:szCs w:val="21"/>
              </w:rPr>
              <w:t>《排污许可证申请与核发技术规范》</w:t>
            </w:r>
            <w:r>
              <w:rPr>
                <w:rFonts w:hint="eastAsia"/>
                <w:b/>
                <w:bCs/>
                <w:color w:val="auto"/>
                <w:sz w:val="21"/>
                <w:szCs w:val="21"/>
                <w:lang w:eastAsia="zh-CN"/>
              </w:rPr>
              <w:t>符合</w:t>
            </w:r>
            <w:r>
              <w:rPr>
                <w:rFonts w:hint="eastAsia"/>
                <w:b/>
                <w:bCs/>
                <w:color w:val="auto"/>
                <w:sz w:val="21"/>
                <w:szCs w:val="21"/>
              </w:rPr>
              <w:t>性分析一览表</w:t>
            </w:r>
          </w:p>
          <w:tbl>
            <w:tblPr>
              <w:tblStyle w:val="23"/>
              <w:tblW w:w="7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2950"/>
              <w:gridCol w:w="1937"/>
              <w:gridCol w:w="958"/>
            </w:tblGrid>
            <w:tr w14:paraId="7B4E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322" w:type="dxa"/>
                  <w:gridSpan w:val="2"/>
                  <w:vAlign w:val="center"/>
                </w:tcPr>
                <w:p w14:paraId="0BABFECD">
                  <w:pPr>
                    <w:adjustRightInd w:val="0"/>
                    <w:snapToGrid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相关内容</w:t>
                  </w:r>
                </w:p>
              </w:tc>
              <w:tc>
                <w:tcPr>
                  <w:tcW w:w="1937" w:type="dxa"/>
                  <w:vAlign w:val="center"/>
                </w:tcPr>
                <w:p w14:paraId="3D4C55C8">
                  <w:pPr>
                    <w:adjustRightInd w:val="0"/>
                    <w:snapToGrid w:val="0"/>
                    <w:spacing w:line="240" w:lineRule="auto"/>
                    <w:jc w:val="center"/>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项目情况</w:t>
                  </w:r>
                </w:p>
              </w:tc>
              <w:tc>
                <w:tcPr>
                  <w:tcW w:w="958" w:type="dxa"/>
                  <w:vAlign w:val="center"/>
                </w:tcPr>
                <w:p w14:paraId="28AE2DD2">
                  <w:pPr>
                    <w:adjustRightInd w:val="0"/>
                    <w:snapToGrid w:val="0"/>
                    <w:spacing w:line="240" w:lineRule="auto"/>
                    <w:jc w:val="center"/>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符合性</w:t>
                  </w:r>
                </w:p>
              </w:tc>
            </w:tr>
            <w:tr w14:paraId="2485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372" w:type="dxa"/>
                  <w:vAlign w:val="center"/>
                </w:tcPr>
                <w:p w14:paraId="75094B2A">
                  <w:pPr>
                    <w:adjustRightInd w:val="0"/>
                    <w:snapToGrid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《排污许可证申请与核发技术规范 锅炉》（HJ953-2018）中表7 锅炉烟气污染防治可行技术</w:t>
                  </w:r>
                </w:p>
              </w:tc>
              <w:tc>
                <w:tcPr>
                  <w:tcW w:w="2950" w:type="dxa"/>
                  <w:vAlign w:val="center"/>
                </w:tcPr>
                <w:p w14:paraId="6CBB570D">
                  <w:pPr>
                    <w:adjustRightInd w:val="0"/>
                    <w:snapToGrid w:val="0"/>
                    <w:spacing w:line="240" w:lineRule="auto"/>
                    <w:jc w:val="center"/>
                    <w:rPr>
                      <w:rFonts w:hint="eastAsia"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生物质锅炉氮氧化物应采用</w:t>
                  </w:r>
                  <w:r>
                    <w:rPr>
                      <w:rFonts w:hint="default" w:ascii="Times New Roman" w:hAnsi="Times New Roman" w:eastAsia="宋体" w:cs="Times New Roman"/>
                      <w:color w:val="auto"/>
                      <w:sz w:val="21"/>
                      <w:szCs w:val="21"/>
                    </w:rPr>
                    <w:t>低氮燃烧技术、低氮燃烧</w:t>
                  </w:r>
                  <w:r>
                    <w:rPr>
                      <w:rFonts w:hint="default" w:ascii="Times New Roman" w:hAnsi="Times New Roman" w:eastAsia="TimesNewRomanPSMT" w:cs="Times New Roman"/>
                      <w:color w:val="auto"/>
                      <w:sz w:val="21"/>
                      <w:szCs w:val="21"/>
                    </w:rPr>
                    <w:t>+SNCR</w:t>
                  </w:r>
                  <w:r>
                    <w:rPr>
                      <w:rFonts w:hint="default" w:ascii="Times New Roman" w:hAnsi="Times New Roman" w:eastAsia="宋体" w:cs="Times New Roman"/>
                      <w:color w:val="auto"/>
                      <w:sz w:val="21"/>
                      <w:szCs w:val="21"/>
                    </w:rPr>
                    <w:t>脱硝技术、低氮燃烧</w:t>
                  </w:r>
                  <w:r>
                    <w:rPr>
                      <w:rFonts w:hint="default" w:ascii="Times New Roman" w:hAnsi="Times New Roman" w:eastAsia="TimesNewRomanPSMT" w:cs="Times New Roman"/>
                      <w:color w:val="auto"/>
                      <w:sz w:val="21"/>
                      <w:szCs w:val="21"/>
                    </w:rPr>
                    <w:t>+SCR</w:t>
                  </w:r>
                  <w:r>
                    <w:rPr>
                      <w:rFonts w:hint="default" w:ascii="Times New Roman" w:hAnsi="Times New Roman" w:eastAsia="宋体" w:cs="Times New Roman"/>
                      <w:color w:val="auto"/>
                      <w:sz w:val="21"/>
                      <w:szCs w:val="21"/>
                    </w:rPr>
                    <w:t>脱硝技术、低氮燃烧</w:t>
                  </w:r>
                  <w:r>
                    <w:rPr>
                      <w:rFonts w:hint="default" w:ascii="Times New Roman" w:hAnsi="Times New Roman" w:eastAsia="TimesNewRomanPSMT" w:cs="Times New Roman"/>
                      <w:color w:val="auto"/>
                      <w:sz w:val="21"/>
                      <w:szCs w:val="21"/>
                    </w:rPr>
                    <w:t>+</w:t>
                  </w:r>
                  <w:r>
                    <w:rPr>
                      <w:rFonts w:hint="default" w:ascii="Times New Roman" w:hAnsi="Times New Roman" w:eastAsia="宋体" w:cs="Times New Roman"/>
                      <w:color w:val="auto"/>
                      <w:sz w:val="21"/>
                      <w:szCs w:val="21"/>
                    </w:rPr>
                    <w:t>（</w:t>
                  </w:r>
                  <w:r>
                    <w:rPr>
                      <w:rFonts w:hint="default" w:ascii="Times New Roman" w:hAnsi="Times New Roman" w:eastAsia="TimesNewRomanPSMT" w:cs="Times New Roman"/>
                      <w:color w:val="auto"/>
                      <w:sz w:val="21"/>
                      <w:szCs w:val="21"/>
                    </w:rPr>
                    <w:t>SNCR-SCR</w:t>
                  </w:r>
                  <w:r>
                    <w:rPr>
                      <w:rFonts w:hint="default" w:ascii="Times New Roman" w:hAnsi="Times New Roman" w:eastAsia="宋体" w:cs="Times New Roman"/>
                      <w:color w:val="auto"/>
                      <w:sz w:val="21"/>
                      <w:szCs w:val="21"/>
                    </w:rPr>
                    <w:t>联合）脱硝技术、</w:t>
                  </w:r>
                  <w:r>
                    <w:rPr>
                      <w:rFonts w:hint="default" w:ascii="Times New Roman" w:hAnsi="Times New Roman" w:eastAsia="TimesNewRomanPSMT" w:cs="Times New Roman"/>
                      <w:color w:val="auto"/>
                      <w:sz w:val="21"/>
                      <w:szCs w:val="21"/>
                    </w:rPr>
                    <w:t>SNCR</w:t>
                  </w:r>
                  <w:r>
                    <w:rPr>
                      <w:rFonts w:hint="default" w:ascii="Times New Roman" w:hAnsi="Times New Roman" w:eastAsia="宋体" w:cs="Times New Roman"/>
                      <w:color w:val="auto"/>
                      <w:sz w:val="21"/>
                      <w:szCs w:val="21"/>
                    </w:rPr>
                    <w:t>脱硝技术、</w:t>
                  </w:r>
                  <w:r>
                    <w:rPr>
                      <w:rFonts w:hint="default" w:ascii="Times New Roman" w:hAnsi="Times New Roman" w:eastAsia="TimesNewRomanPSMT" w:cs="Times New Roman"/>
                      <w:color w:val="auto"/>
                      <w:sz w:val="21"/>
                      <w:szCs w:val="21"/>
                    </w:rPr>
                    <w:t>SCR</w:t>
                  </w:r>
                  <w:r>
                    <w:rPr>
                      <w:rFonts w:hint="default" w:ascii="Times New Roman" w:hAnsi="Times New Roman" w:eastAsia="宋体" w:cs="Times New Roman"/>
                      <w:color w:val="auto"/>
                      <w:sz w:val="21"/>
                      <w:szCs w:val="21"/>
                    </w:rPr>
                    <w:t>脱硝技术、</w:t>
                  </w:r>
                  <w:r>
                    <w:rPr>
                      <w:rFonts w:hint="default" w:ascii="Times New Roman" w:hAnsi="Times New Roman" w:eastAsia="TimesNewRomanPSMT" w:cs="Times New Roman"/>
                      <w:color w:val="auto"/>
                      <w:sz w:val="21"/>
                      <w:szCs w:val="21"/>
                    </w:rPr>
                    <w:t>SNCR-SCR</w:t>
                  </w:r>
                  <w:r>
                    <w:rPr>
                      <w:rFonts w:hint="default" w:ascii="Times New Roman" w:hAnsi="Times New Roman" w:eastAsia="宋体" w:cs="Times New Roman"/>
                      <w:color w:val="auto"/>
                      <w:sz w:val="21"/>
                      <w:szCs w:val="21"/>
                    </w:rPr>
                    <w:t>联合脱硝技术</w:t>
                  </w:r>
                  <w:r>
                    <w:rPr>
                      <w:rFonts w:hint="eastAsia" w:cs="Times New Roman"/>
                      <w:color w:val="auto"/>
                      <w:sz w:val="21"/>
                      <w:szCs w:val="21"/>
                      <w:lang w:eastAsia="zh-CN"/>
                    </w:rPr>
                    <w:t>，</w:t>
                  </w:r>
                  <w:r>
                    <w:rPr>
                      <w:rFonts w:hint="eastAsia" w:cs="Times New Roman"/>
                      <w:color w:val="auto"/>
                      <w:sz w:val="21"/>
                      <w:szCs w:val="21"/>
                      <w:lang w:val="en-US" w:eastAsia="zh-CN"/>
                    </w:rPr>
                    <w:t>颗粒物应采用</w:t>
                  </w:r>
                  <w:r>
                    <w:rPr>
                      <w:rFonts w:hint="default" w:ascii="Times New Roman" w:hAnsi="Times New Roman" w:eastAsia="宋体" w:cs="Times New Roman"/>
                      <w:color w:val="auto"/>
                      <w:sz w:val="21"/>
                      <w:szCs w:val="21"/>
                    </w:rPr>
                    <w:t>旋风除尘和袋式除尘组合技术</w:t>
                  </w:r>
                  <w:r>
                    <w:rPr>
                      <w:rFonts w:hint="eastAsia" w:cs="Times New Roman"/>
                      <w:color w:val="auto"/>
                      <w:sz w:val="21"/>
                      <w:szCs w:val="21"/>
                      <w:lang w:eastAsia="zh-CN"/>
                    </w:rPr>
                    <w:t>。</w:t>
                  </w:r>
                </w:p>
              </w:tc>
              <w:tc>
                <w:tcPr>
                  <w:tcW w:w="1937" w:type="dxa"/>
                  <w:vAlign w:val="center"/>
                </w:tcPr>
                <w:p w14:paraId="270D265F">
                  <w:pPr>
                    <w:adjustRightInd w:val="0"/>
                    <w:snapToGrid w:val="0"/>
                    <w:spacing w:line="240" w:lineRule="auto"/>
                    <w:jc w:val="center"/>
                    <w:rPr>
                      <w:rFonts w:hint="default" w:cs="Times New Roman"/>
                      <w:color w:val="auto"/>
                      <w:sz w:val="21"/>
                      <w:szCs w:val="21"/>
                      <w:vertAlign w:val="baseline"/>
                      <w:lang w:val="en-US" w:eastAsia="zh-CN"/>
                    </w:rPr>
                  </w:pPr>
                  <w:r>
                    <w:rPr>
                      <w:rFonts w:hint="eastAsia"/>
                      <w:color w:val="auto"/>
                      <w:sz w:val="21"/>
                      <w:szCs w:val="21"/>
                      <w:lang w:eastAsia="zh-CN" w:bidi="ar"/>
                    </w:rPr>
                    <w:t>项</w:t>
                  </w:r>
                  <w:r>
                    <w:rPr>
                      <w:rFonts w:hint="eastAsia"/>
                      <w:color w:val="auto"/>
                      <w:sz w:val="21"/>
                      <w:szCs w:val="21"/>
                      <w:highlight w:val="none"/>
                      <w:lang w:eastAsia="zh-CN" w:bidi="ar"/>
                    </w:rPr>
                    <w:t>目</w:t>
                  </w:r>
                  <w:r>
                    <w:rPr>
                      <w:rFonts w:hint="eastAsia"/>
                      <w:color w:val="auto"/>
                      <w:sz w:val="21"/>
                      <w:szCs w:val="21"/>
                      <w:highlight w:val="none"/>
                      <w:lang w:val="en-US" w:eastAsia="zh-CN" w:bidi="ar"/>
                    </w:rPr>
                    <w:t>生物质</w:t>
                  </w:r>
                  <w:r>
                    <w:rPr>
                      <w:rFonts w:hint="eastAsia"/>
                      <w:color w:val="auto"/>
                      <w:sz w:val="21"/>
                      <w:szCs w:val="21"/>
                      <w:highlight w:val="none"/>
                      <w:lang w:eastAsia="zh-CN" w:bidi="ar"/>
                    </w:rPr>
                    <w:t>锅炉</w:t>
                  </w:r>
                  <w:r>
                    <w:rPr>
                      <w:rFonts w:hint="eastAsia"/>
                      <w:color w:val="auto"/>
                      <w:sz w:val="21"/>
                      <w:szCs w:val="21"/>
                      <w:highlight w:val="none"/>
                      <w:lang w:val="en-US" w:eastAsia="zh-CN" w:bidi="ar"/>
                    </w:rPr>
                    <w:t>采用低氮燃烧技术，</w:t>
                  </w:r>
                  <w:r>
                    <w:rPr>
                      <w:rFonts w:hint="eastAsia"/>
                      <w:color w:val="auto"/>
                      <w:sz w:val="21"/>
                      <w:szCs w:val="21"/>
                      <w:lang w:val="en-US" w:eastAsia="zh-CN" w:bidi="ar"/>
                    </w:rPr>
                    <w:t>颗粒物</w:t>
                  </w:r>
                  <w:r>
                    <w:rPr>
                      <w:rFonts w:hint="eastAsia"/>
                      <w:color w:val="auto"/>
                      <w:sz w:val="21"/>
                      <w:szCs w:val="21"/>
                      <w:lang w:eastAsia="zh-CN" w:bidi="ar"/>
                    </w:rPr>
                    <w:t>经“</w:t>
                  </w:r>
                  <w:r>
                    <w:rPr>
                      <w:rFonts w:hint="default" w:ascii="Times New Roman" w:hAnsi="Times New Roman" w:cs="Times New Roman"/>
                      <w:color w:val="auto"/>
                      <w:sz w:val="21"/>
                      <w:szCs w:val="21"/>
                    </w:rPr>
                    <w:t>多管旋风除尘器+布袋除尘器</w:t>
                  </w:r>
                  <w:r>
                    <w:rPr>
                      <w:rFonts w:hint="eastAsia"/>
                      <w:color w:val="auto"/>
                      <w:sz w:val="21"/>
                      <w:szCs w:val="21"/>
                      <w:lang w:eastAsia="zh-CN" w:bidi="ar"/>
                    </w:rPr>
                    <w:t>”</w:t>
                  </w:r>
                  <w:r>
                    <w:rPr>
                      <w:rFonts w:hint="eastAsia"/>
                      <w:color w:val="auto"/>
                      <w:sz w:val="21"/>
                      <w:szCs w:val="21"/>
                      <w:lang w:val="en-US" w:eastAsia="zh-CN" w:bidi="ar"/>
                    </w:rPr>
                    <w:t>处理后排放，符合可行技术要求。</w:t>
                  </w:r>
                </w:p>
              </w:tc>
              <w:tc>
                <w:tcPr>
                  <w:tcW w:w="958" w:type="dxa"/>
                  <w:vAlign w:val="center"/>
                </w:tcPr>
                <w:p w14:paraId="1E54F3C8">
                  <w:pPr>
                    <w:adjustRightInd w:val="0"/>
                    <w:snapToGrid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33DE1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vAlign w:val="center"/>
                </w:tcPr>
                <w:p w14:paraId="53A00AF2">
                  <w:pPr>
                    <w:adjustRightInd w:val="0"/>
                    <w:snapToGrid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《排污许可证申请与核发技术规范 酒、饮料制造》（HJ 1028-2019）中表8 酒、饮料制造工业排污单位废水污染防治可行技术参考</w:t>
                  </w:r>
                </w:p>
              </w:tc>
              <w:tc>
                <w:tcPr>
                  <w:tcW w:w="2950" w:type="dxa"/>
                  <w:shd w:val="clear" w:color="auto" w:fill="auto"/>
                  <w:vAlign w:val="center"/>
                </w:tcPr>
                <w:p w14:paraId="38FBD2F5">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厂区综合污水处理站的综合污水为间接排放的排污单位，推荐的废水污染防治技术为“预处理：除油、沉淀、过滤二级处理：好氧、水解酸化-好氧、厌氧-好氧、兼性-好氧、氧化沟、生物转盘”处理工艺。</w:t>
                  </w:r>
                </w:p>
              </w:tc>
              <w:tc>
                <w:tcPr>
                  <w:tcW w:w="1937" w:type="dxa"/>
                  <w:shd w:val="clear" w:color="auto" w:fill="auto"/>
                  <w:vAlign w:val="center"/>
                </w:tcPr>
                <w:p w14:paraId="3A03E042">
                  <w:pPr>
                    <w:adjustRightInd w:val="0"/>
                    <w:snapToGrid w:val="0"/>
                    <w:spacing w:line="240" w:lineRule="auto"/>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本项目污水处理站处理工艺为“</w:t>
                  </w:r>
                  <w:r>
                    <w:rPr>
                      <w:rFonts w:hint="default" w:ascii="Times New Roman" w:hAnsi="Times New Roman" w:cs="Times New Roman"/>
                      <w:bCs/>
                      <w:color w:val="auto"/>
                      <w:sz w:val="21"/>
                      <w:szCs w:val="21"/>
                    </w:rPr>
                    <w:t>UASB+AO+MBR（膜生物反应器）</w:t>
                  </w:r>
                  <w:r>
                    <w:rPr>
                      <w:rFonts w:hint="default" w:ascii="Times New Roman" w:hAnsi="Times New Roman" w:cs="Times New Roman"/>
                      <w:b w:val="0"/>
                      <w:bCs w:val="0"/>
                      <w:color w:val="auto"/>
                      <w:sz w:val="21"/>
                      <w:szCs w:val="21"/>
                      <w:vertAlign w:val="baseline"/>
                      <w:lang w:val="en-US" w:eastAsia="zh-CN"/>
                    </w:rPr>
                    <w:t>”</w:t>
                  </w:r>
                  <w:r>
                    <w:rPr>
                      <w:rFonts w:hint="default" w:ascii="Times New Roman" w:hAnsi="Times New Roman" w:cs="Times New Roman"/>
                      <w:bCs/>
                      <w:color w:val="auto"/>
                      <w:sz w:val="21"/>
                      <w:szCs w:val="21"/>
                    </w:rPr>
                    <w:t>组合处理工艺</w:t>
                  </w:r>
                  <w:r>
                    <w:rPr>
                      <w:rFonts w:hint="eastAsia" w:cs="Times New Roman"/>
                      <w:bCs/>
                      <w:color w:val="auto"/>
                      <w:sz w:val="21"/>
                      <w:szCs w:val="21"/>
                      <w:lang w:eastAsia="zh-CN"/>
                    </w:rPr>
                    <w:t>，</w:t>
                  </w:r>
                  <w:r>
                    <w:rPr>
                      <w:rFonts w:hint="eastAsia" w:cs="Times New Roman"/>
                      <w:bCs/>
                      <w:color w:val="auto"/>
                      <w:sz w:val="21"/>
                      <w:szCs w:val="21"/>
                      <w:lang w:val="en-US" w:eastAsia="zh-CN"/>
                    </w:rPr>
                    <w:t>属于可行性技术。</w:t>
                  </w:r>
                </w:p>
              </w:tc>
              <w:tc>
                <w:tcPr>
                  <w:tcW w:w="958" w:type="dxa"/>
                  <w:vAlign w:val="center"/>
                </w:tcPr>
                <w:p w14:paraId="7BB32A5F">
                  <w:pPr>
                    <w:adjustRightInd w:val="0"/>
                    <w:snapToGrid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bl>
          <w:p w14:paraId="4F42AEAA">
            <w:pPr>
              <w:adjustRightInd w:val="0"/>
              <w:snapToGrid w:val="0"/>
              <w:spacing w:line="360" w:lineRule="auto"/>
              <w:ind w:firstLine="480" w:firstLineChars="200"/>
              <w:jc w:val="both"/>
              <w:rPr>
                <w:rFonts w:hint="default" w:eastAsia="宋体"/>
                <w:color w:val="auto"/>
                <w:lang w:val="en-US" w:eastAsia="zh-CN"/>
              </w:rPr>
            </w:pPr>
            <w:r>
              <w:rPr>
                <w:rFonts w:hint="eastAsia" w:cs="Times New Roman"/>
                <w:color w:val="auto"/>
                <w:sz w:val="24"/>
                <w:szCs w:val="24"/>
                <w:lang w:val="en-US" w:eastAsia="zh-CN"/>
              </w:rPr>
              <w:t>根据上表，</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符合《排污许可证申请与核发技术规范 锅炉》（HJ953-2018）、《排污许可证申请与核发技术规范 酒、饮料制造》（HJ 1028-2019）</w:t>
            </w:r>
            <w:r>
              <w:rPr>
                <w:rFonts w:hint="eastAsia" w:ascii="Times New Roman" w:hAnsi="Times New Roman" w:eastAsia="宋体" w:cs="Times New Roman"/>
                <w:color w:val="auto"/>
                <w:sz w:val="24"/>
                <w:szCs w:val="24"/>
                <w:lang w:val="en-US" w:eastAsia="zh-CN"/>
              </w:rPr>
              <w:t>的</w:t>
            </w:r>
            <w:r>
              <w:rPr>
                <w:rFonts w:hint="eastAsia" w:cs="Times New Roman"/>
                <w:color w:val="auto"/>
                <w:sz w:val="24"/>
                <w:szCs w:val="24"/>
                <w:lang w:val="en-US" w:eastAsia="zh-CN"/>
              </w:rPr>
              <w:t>相关要求。</w:t>
            </w:r>
          </w:p>
          <w:p w14:paraId="23AE50F5">
            <w:pPr>
              <w:autoSpaceDE w:val="0"/>
              <w:autoSpaceDN w:val="0"/>
              <w:adjustRightInd w:val="0"/>
              <w:snapToGrid w:val="0"/>
              <w:spacing w:line="360" w:lineRule="auto"/>
              <w:rPr>
                <w:rFonts w:hint="eastAsia"/>
                <w:b/>
                <w:bCs/>
                <w:color w:val="auto"/>
                <w:sz w:val="21"/>
                <w:szCs w:val="21"/>
                <w:highlight w:val="none"/>
              </w:rPr>
            </w:pPr>
            <w:r>
              <w:rPr>
                <w:rFonts w:hint="eastAsia"/>
                <w:b/>
                <w:color w:val="auto"/>
                <w:kern w:val="0"/>
                <w:sz w:val="24"/>
                <w:szCs w:val="24"/>
                <w:highlight w:val="none"/>
                <w:lang w:val="en-US" w:eastAsia="zh-CN"/>
              </w:rPr>
              <w:t>12</w:t>
            </w:r>
            <w:r>
              <w:rPr>
                <w:rFonts w:hint="eastAsia"/>
                <w:b/>
                <w:color w:val="auto"/>
                <w:kern w:val="0"/>
                <w:sz w:val="24"/>
                <w:szCs w:val="24"/>
                <w:highlight w:val="none"/>
              </w:rPr>
              <w:t>、与《食品生产通用卫生规范》（GB14881-2013）相关符合性分析</w:t>
            </w:r>
          </w:p>
          <w:p w14:paraId="2040A09A">
            <w:pPr>
              <w:adjustRightInd w:val="0"/>
              <w:snapToGrid w:val="0"/>
              <w:spacing w:line="276" w:lineRule="auto"/>
              <w:jc w:val="center"/>
              <w:rPr>
                <w:b/>
                <w:bCs/>
                <w:color w:val="auto"/>
                <w:sz w:val="21"/>
                <w:szCs w:val="21"/>
              </w:rPr>
            </w:pPr>
            <w:r>
              <w:rPr>
                <w:rFonts w:hint="eastAsia"/>
                <w:b/>
                <w:bCs/>
                <w:color w:val="auto"/>
                <w:sz w:val="21"/>
                <w:szCs w:val="21"/>
              </w:rPr>
              <w:t>表1-</w:t>
            </w:r>
            <w:r>
              <w:rPr>
                <w:rFonts w:hint="eastAsia"/>
                <w:b/>
                <w:bCs/>
                <w:color w:val="auto"/>
                <w:sz w:val="21"/>
                <w:szCs w:val="21"/>
                <w:lang w:val="en-US" w:eastAsia="zh-CN"/>
              </w:rPr>
              <w:t>12</w:t>
            </w:r>
            <w:r>
              <w:rPr>
                <w:rFonts w:hint="eastAsia"/>
                <w:b/>
                <w:bCs/>
                <w:color w:val="auto"/>
                <w:sz w:val="21"/>
                <w:szCs w:val="21"/>
              </w:rPr>
              <w:t xml:space="preserve">  项目与《食品安全生产通用卫生规范》</w:t>
            </w:r>
            <w:r>
              <w:rPr>
                <w:rFonts w:hint="eastAsia"/>
                <w:b/>
                <w:bCs/>
                <w:color w:val="auto"/>
                <w:sz w:val="21"/>
                <w:szCs w:val="21"/>
                <w:lang w:eastAsia="zh-CN"/>
              </w:rPr>
              <w:t>符合</w:t>
            </w:r>
            <w:r>
              <w:rPr>
                <w:rFonts w:hint="eastAsia"/>
                <w:b/>
                <w:bCs/>
                <w:color w:val="auto"/>
                <w:sz w:val="21"/>
                <w:szCs w:val="21"/>
              </w:rPr>
              <w:t>性分析一览表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674"/>
              <w:gridCol w:w="2372"/>
              <w:gridCol w:w="2860"/>
              <w:gridCol w:w="786"/>
            </w:tblGrid>
            <w:tr w14:paraId="02DB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14:paraId="664DB512">
                  <w:pPr>
                    <w:autoSpaceDE w:val="0"/>
                    <w:autoSpaceDN w:val="0"/>
                    <w:adjustRightInd w:val="0"/>
                    <w:snapToGrid w:val="0"/>
                    <w:jc w:val="center"/>
                    <w:rPr>
                      <w:b/>
                      <w:bCs/>
                      <w:color w:val="auto"/>
                      <w:kern w:val="0"/>
                      <w:sz w:val="21"/>
                      <w:szCs w:val="21"/>
                    </w:rPr>
                  </w:pPr>
                  <w:r>
                    <w:rPr>
                      <w:rFonts w:hint="eastAsia"/>
                      <w:b/>
                      <w:bCs/>
                      <w:color w:val="auto"/>
                      <w:kern w:val="0"/>
                      <w:sz w:val="21"/>
                      <w:szCs w:val="21"/>
                    </w:rPr>
                    <w:t>要求</w:t>
                  </w:r>
                </w:p>
              </w:tc>
              <w:tc>
                <w:tcPr>
                  <w:tcW w:w="2106" w:type="pct"/>
                  <w:gridSpan w:val="2"/>
                  <w:vAlign w:val="center"/>
                </w:tcPr>
                <w:p w14:paraId="22BE41AF">
                  <w:pPr>
                    <w:autoSpaceDE w:val="0"/>
                    <w:autoSpaceDN w:val="0"/>
                    <w:adjustRightInd w:val="0"/>
                    <w:snapToGrid w:val="0"/>
                    <w:jc w:val="center"/>
                    <w:rPr>
                      <w:b/>
                      <w:bCs/>
                      <w:color w:val="auto"/>
                      <w:kern w:val="0"/>
                      <w:sz w:val="21"/>
                      <w:szCs w:val="21"/>
                    </w:rPr>
                  </w:pPr>
                  <w:r>
                    <w:rPr>
                      <w:rFonts w:hint="eastAsia"/>
                      <w:b/>
                      <w:bCs/>
                      <w:color w:val="auto"/>
                      <w:kern w:val="0"/>
                      <w:sz w:val="21"/>
                      <w:szCs w:val="21"/>
                    </w:rPr>
                    <w:t>管控要求</w:t>
                  </w:r>
                </w:p>
              </w:tc>
              <w:tc>
                <w:tcPr>
                  <w:tcW w:w="1977" w:type="pct"/>
                  <w:vAlign w:val="center"/>
                </w:tcPr>
                <w:p w14:paraId="5ED86A85">
                  <w:pPr>
                    <w:autoSpaceDE w:val="0"/>
                    <w:autoSpaceDN w:val="0"/>
                    <w:adjustRightInd w:val="0"/>
                    <w:snapToGrid w:val="0"/>
                    <w:jc w:val="center"/>
                    <w:rPr>
                      <w:rFonts w:hint="default" w:eastAsia="宋体"/>
                      <w:b/>
                      <w:bCs/>
                      <w:color w:val="auto"/>
                      <w:kern w:val="0"/>
                      <w:sz w:val="21"/>
                      <w:szCs w:val="21"/>
                      <w:lang w:val="en-US" w:eastAsia="zh-CN"/>
                    </w:rPr>
                  </w:pPr>
                  <w:r>
                    <w:rPr>
                      <w:rFonts w:hint="eastAsia"/>
                      <w:b/>
                      <w:bCs/>
                      <w:color w:val="auto"/>
                      <w:kern w:val="0"/>
                      <w:sz w:val="21"/>
                      <w:szCs w:val="21"/>
                      <w:lang w:val="en-US" w:eastAsia="zh-CN"/>
                    </w:rPr>
                    <w:t>项目情况</w:t>
                  </w:r>
                </w:p>
              </w:tc>
              <w:tc>
                <w:tcPr>
                  <w:tcW w:w="543" w:type="pct"/>
                  <w:vAlign w:val="center"/>
                </w:tcPr>
                <w:p w14:paraId="4103A3E0">
                  <w:pPr>
                    <w:autoSpaceDE w:val="0"/>
                    <w:autoSpaceDN w:val="0"/>
                    <w:adjustRightInd w:val="0"/>
                    <w:snapToGrid w:val="0"/>
                    <w:jc w:val="center"/>
                    <w:rPr>
                      <w:rFonts w:hint="default"/>
                      <w:b/>
                      <w:bCs/>
                      <w:color w:val="auto"/>
                      <w:kern w:val="0"/>
                      <w:sz w:val="21"/>
                      <w:szCs w:val="21"/>
                      <w:lang w:val="en-US" w:eastAsia="zh-CN"/>
                    </w:rPr>
                  </w:pPr>
                  <w:r>
                    <w:rPr>
                      <w:rFonts w:hint="eastAsia"/>
                      <w:b/>
                      <w:bCs/>
                      <w:color w:val="auto"/>
                      <w:kern w:val="0"/>
                      <w:sz w:val="21"/>
                      <w:szCs w:val="21"/>
                      <w:lang w:val="en-US" w:eastAsia="zh-CN"/>
                    </w:rPr>
                    <w:t>符合性</w:t>
                  </w:r>
                </w:p>
              </w:tc>
            </w:tr>
            <w:tr w14:paraId="45376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8" w:hRule="atLeast"/>
                <w:jc w:val="center"/>
              </w:trPr>
              <w:tc>
                <w:tcPr>
                  <w:tcW w:w="372" w:type="pct"/>
                  <w:vMerge w:val="restart"/>
                  <w:vAlign w:val="center"/>
                </w:tcPr>
                <w:p w14:paraId="3D14C6C4">
                  <w:pPr>
                    <w:autoSpaceDE w:val="0"/>
                    <w:autoSpaceDN w:val="0"/>
                    <w:adjustRightInd w:val="0"/>
                    <w:snapToGrid w:val="0"/>
                    <w:jc w:val="center"/>
                    <w:rPr>
                      <w:color w:val="auto"/>
                      <w:kern w:val="0"/>
                      <w:sz w:val="21"/>
                      <w:szCs w:val="21"/>
                    </w:rPr>
                  </w:pPr>
                  <w:r>
                    <w:rPr>
                      <w:rFonts w:hint="eastAsia"/>
                      <w:color w:val="auto"/>
                      <w:kern w:val="0"/>
                      <w:sz w:val="21"/>
                      <w:szCs w:val="21"/>
                    </w:rPr>
                    <w:t>选址及厂环境</w:t>
                  </w:r>
                </w:p>
              </w:tc>
              <w:tc>
                <w:tcPr>
                  <w:tcW w:w="466" w:type="pct"/>
                  <w:vMerge w:val="restart"/>
                  <w:vAlign w:val="center"/>
                </w:tcPr>
                <w:p w14:paraId="54262DAE">
                  <w:pPr>
                    <w:autoSpaceDE w:val="0"/>
                    <w:autoSpaceDN w:val="0"/>
                    <w:adjustRightInd w:val="0"/>
                    <w:snapToGrid w:val="0"/>
                    <w:jc w:val="center"/>
                    <w:rPr>
                      <w:color w:val="auto"/>
                      <w:kern w:val="0"/>
                      <w:sz w:val="21"/>
                      <w:szCs w:val="21"/>
                    </w:rPr>
                  </w:pPr>
                  <w:r>
                    <w:rPr>
                      <w:rFonts w:hint="eastAsia"/>
                      <w:color w:val="auto"/>
                      <w:kern w:val="0"/>
                      <w:sz w:val="21"/>
                      <w:szCs w:val="21"/>
                    </w:rPr>
                    <w:t>选址</w:t>
                  </w:r>
                </w:p>
              </w:tc>
              <w:tc>
                <w:tcPr>
                  <w:tcW w:w="1640" w:type="pct"/>
                  <w:vAlign w:val="center"/>
                </w:tcPr>
                <w:p w14:paraId="42727B3F">
                  <w:pPr>
                    <w:autoSpaceDE w:val="0"/>
                    <w:autoSpaceDN w:val="0"/>
                    <w:adjustRightInd w:val="0"/>
                    <w:snapToGrid w:val="0"/>
                    <w:jc w:val="left"/>
                    <w:rPr>
                      <w:color w:val="auto"/>
                      <w:kern w:val="0"/>
                      <w:sz w:val="21"/>
                      <w:szCs w:val="21"/>
                    </w:rPr>
                  </w:pPr>
                  <w:r>
                    <w:rPr>
                      <w:rFonts w:hint="eastAsia"/>
                      <w:color w:val="auto"/>
                      <w:kern w:val="0"/>
                      <w:sz w:val="21"/>
                      <w:szCs w:val="21"/>
                    </w:rPr>
                    <w:t xml:space="preserve">1、厂区不应选择对食品有显著污染的区域。如某地对食品安全和食品宜食用性存在明显的不利影响，且无法通过采取措施加以改善，应避免在该地址建厂。 </w:t>
                  </w:r>
                </w:p>
                <w:p w14:paraId="7BE47651">
                  <w:pPr>
                    <w:autoSpaceDE w:val="0"/>
                    <w:autoSpaceDN w:val="0"/>
                    <w:adjustRightInd w:val="0"/>
                    <w:snapToGrid w:val="0"/>
                    <w:jc w:val="left"/>
                    <w:rPr>
                      <w:color w:val="auto"/>
                      <w:kern w:val="0"/>
                      <w:sz w:val="21"/>
                      <w:szCs w:val="21"/>
                    </w:rPr>
                  </w:pPr>
                </w:p>
              </w:tc>
              <w:tc>
                <w:tcPr>
                  <w:tcW w:w="1977" w:type="pct"/>
                  <w:vAlign w:val="center"/>
                </w:tcPr>
                <w:p w14:paraId="5B9D645E">
                  <w:pPr>
                    <w:pStyle w:val="9"/>
                    <w:rPr>
                      <w:rFonts w:hint="default" w:ascii="Times New Roman" w:hAnsi="Times New Roman" w:eastAsia="宋体" w:cs="Times New Roman"/>
                      <w:bCs/>
                      <w:color w:val="auto"/>
                      <w:sz w:val="21"/>
                      <w:szCs w:val="21"/>
                      <w:lang w:val="en-US" w:eastAsia="zh-CN"/>
                    </w:rPr>
                  </w:pPr>
                  <w:r>
                    <w:rPr>
                      <w:rFonts w:hint="eastAsia"/>
                      <w:color w:val="auto"/>
                      <w:kern w:val="0"/>
                      <w:sz w:val="21"/>
                      <w:szCs w:val="21"/>
                      <w:lang w:val="en-US" w:eastAsia="zh-CN"/>
                    </w:rPr>
                    <w:t>本项目位于云南元江产业园区甘庄片区</w:t>
                  </w:r>
                  <w:r>
                    <w:rPr>
                      <w:rFonts w:hint="eastAsia"/>
                      <w:color w:val="auto"/>
                      <w:sz w:val="21"/>
                      <w:szCs w:val="21"/>
                      <w:lang w:eastAsia="zh-CN"/>
                    </w:rPr>
                    <w:t>，</w:t>
                  </w:r>
                  <w:r>
                    <w:rPr>
                      <w:rFonts w:hint="eastAsia"/>
                      <w:color w:val="auto"/>
                      <w:sz w:val="21"/>
                      <w:szCs w:val="21"/>
                      <w:lang w:val="en-US" w:eastAsia="zh-CN"/>
                    </w:rPr>
                    <w:t>对本项目污染较大的项目主要为</w:t>
                  </w:r>
                  <w:r>
                    <w:rPr>
                      <w:rFonts w:hint="eastAsia" w:ascii="Times New Roman" w:hAnsi="Times New Roman" w:eastAsia="宋体" w:cs="Times New Roman"/>
                      <w:bCs/>
                      <w:color w:val="auto"/>
                      <w:sz w:val="21"/>
                      <w:szCs w:val="21"/>
                      <w:lang w:val="en-US" w:eastAsia="zh-CN"/>
                    </w:rPr>
                    <w:t>年产20万吨硅锰合金及尾气废渣综合利用项目</w:t>
                  </w:r>
                  <w:r>
                    <w:rPr>
                      <w:rFonts w:hint="eastAsia" w:cs="Times New Roman"/>
                      <w:bCs/>
                      <w:color w:val="auto"/>
                      <w:sz w:val="21"/>
                      <w:szCs w:val="21"/>
                      <w:lang w:val="en-US" w:eastAsia="zh-CN"/>
                    </w:rPr>
                    <w:t>，该</w:t>
                  </w:r>
                  <w:r>
                    <w:rPr>
                      <w:rFonts w:hint="eastAsia" w:ascii="Times New Roman" w:hAnsi="Times New Roman" w:eastAsia="宋体" w:cs="Times New Roman"/>
                      <w:bCs/>
                      <w:color w:val="auto"/>
                      <w:sz w:val="21"/>
                      <w:szCs w:val="21"/>
                      <w:lang w:val="en-US" w:eastAsia="zh-CN"/>
                    </w:rPr>
                    <w:t>项目已采取妥善的污染防治措施，产生的污染物均能达标排放，且本项目位于该项目卫生防护距离之</w:t>
                  </w:r>
                  <w:r>
                    <w:rPr>
                      <w:rFonts w:hint="eastAsia" w:ascii="Times New Roman" w:hAnsi="Times New Roman" w:eastAsia="宋体" w:cs="Times New Roman"/>
                      <w:bCs/>
                      <w:color w:val="auto"/>
                      <w:sz w:val="21"/>
                      <w:szCs w:val="21"/>
                      <w:highlight w:val="none"/>
                      <w:lang w:val="en-US" w:eastAsia="zh-CN"/>
                    </w:rPr>
                    <w:t>外</w:t>
                  </w:r>
                  <w:r>
                    <w:rPr>
                      <w:rFonts w:hint="eastAsia"/>
                      <w:color w:val="auto"/>
                      <w:highlight w:val="none"/>
                    </w:rPr>
                    <w:t>。</w:t>
                  </w:r>
                </w:p>
              </w:tc>
              <w:tc>
                <w:tcPr>
                  <w:tcW w:w="543" w:type="pct"/>
                  <w:vAlign w:val="center"/>
                </w:tcPr>
                <w:p w14:paraId="6763ADAF">
                  <w:pPr>
                    <w:pStyle w:val="9"/>
                    <w:jc w:val="center"/>
                    <w:rPr>
                      <w:rFonts w:hint="eastAsia" w:eastAsia="宋体"/>
                      <w:color w:val="auto"/>
                      <w:kern w:val="0"/>
                      <w:sz w:val="21"/>
                      <w:szCs w:val="21"/>
                      <w:lang w:val="en-US" w:eastAsia="zh-CN"/>
                    </w:rPr>
                  </w:pPr>
                  <w:r>
                    <w:rPr>
                      <w:rFonts w:hint="eastAsia"/>
                      <w:color w:val="auto"/>
                      <w:kern w:val="0"/>
                      <w:sz w:val="21"/>
                      <w:szCs w:val="21"/>
                      <w:lang w:val="en-US" w:eastAsia="zh-CN"/>
                    </w:rPr>
                    <w:t>符合</w:t>
                  </w:r>
                </w:p>
              </w:tc>
            </w:tr>
            <w:tr w14:paraId="2B4E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4B4BB215">
                  <w:pPr>
                    <w:autoSpaceDE w:val="0"/>
                    <w:autoSpaceDN w:val="0"/>
                    <w:adjustRightInd w:val="0"/>
                    <w:snapToGrid w:val="0"/>
                    <w:jc w:val="center"/>
                    <w:rPr>
                      <w:rFonts w:hint="eastAsia"/>
                      <w:color w:val="auto"/>
                      <w:kern w:val="0"/>
                      <w:sz w:val="21"/>
                      <w:szCs w:val="21"/>
                    </w:rPr>
                  </w:pPr>
                </w:p>
              </w:tc>
              <w:tc>
                <w:tcPr>
                  <w:tcW w:w="466" w:type="pct"/>
                  <w:vMerge w:val="continue"/>
                  <w:vAlign w:val="center"/>
                </w:tcPr>
                <w:p w14:paraId="2BE08C7B">
                  <w:pPr>
                    <w:autoSpaceDE w:val="0"/>
                    <w:autoSpaceDN w:val="0"/>
                    <w:adjustRightInd w:val="0"/>
                    <w:snapToGrid w:val="0"/>
                    <w:jc w:val="center"/>
                    <w:rPr>
                      <w:rFonts w:hint="eastAsia"/>
                      <w:color w:val="auto"/>
                      <w:kern w:val="0"/>
                      <w:sz w:val="21"/>
                      <w:szCs w:val="21"/>
                    </w:rPr>
                  </w:pPr>
                </w:p>
              </w:tc>
              <w:tc>
                <w:tcPr>
                  <w:tcW w:w="1640" w:type="pct"/>
                  <w:vAlign w:val="center"/>
                </w:tcPr>
                <w:p w14:paraId="1CD9293A">
                  <w:pPr>
                    <w:autoSpaceDE w:val="0"/>
                    <w:autoSpaceDN w:val="0"/>
                    <w:adjustRightInd w:val="0"/>
                    <w:snapToGrid w:val="0"/>
                    <w:jc w:val="left"/>
                    <w:rPr>
                      <w:rFonts w:hint="eastAsia"/>
                      <w:color w:val="auto"/>
                      <w:kern w:val="0"/>
                      <w:sz w:val="21"/>
                      <w:szCs w:val="21"/>
                    </w:rPr>
                  </w:pPr>
                  <w:r>
                    <w:rPr>
                      <w:rFonts w:hint="eastAsia"/>
                      <w:color w:val="auto"/>
                      <w:kern w:val="0"/>
                      <w:sz w:val="21"/>
                      <w:szCs w:val="21"/>
                    </w:rPr>
                    <w:t xml:space="preserve">2、厂区不应选择有害废弃物以及粉尘、有害气体、放射性物质和其他扩散性污染源不能有效清除的地址。 </w:t>
                  </w:r>
                </w:p>
              </w:tc>
              <w:tc>
                <w:tcPr>
                  <w:tcW w:w="1977" w:type="pct"/>
                  <w:vAlign w:val="center"/>
                </w:tcPr>
                <w:p w14:paraId="5E9EA2F5">
                  <w:pPr>
                    <w:pStyle w:val="9"/>
                    <w:jc w:val="both"/>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项目区域不存在</w:t>
                  </w:r>
                  <w:r>
                    <w:rPr>
                      <w:rFonts w:hint="eastAsia"/>
                      <w:color w:val="auto"/>
                      <w:kern w:val="0"/>
                      <w:sz w:val="21"/>
                      <w:szCs w:val="21"/>
                    </w:rPr>
                    <w:t>有害废弃物</w:t>
                  </w:r>
                  <w:r>
                    <w:rPr>
                      <w:rFonts w:hint="eastAsia"/>
                      <w:color w:val="auto"/>
                      <w:kern w:val="0"/>
                      <w:sz w:val="21"/>
                      <w:szCs w:val="21"/>
                      <w:lang w:eastAsia="zh-CN"/>
                    </w:rPr>
                    <w:t>、</w:t>
                  </w:r>
                  <w:r>
                    <w:rPr>
                      <w:rFonts w:hint="eastAsia"/>
                      <w:color w:val="auto"/>
                      <w:kern w:val="0"/>
                      <w:sz w:val="21"/>
                      <w:szCs w:val="21"/>
                    </w:rPr>
                    <w:t>有害气体</w:t>
                  </w:r>
                  <w:r>
                    <w:rPr>
                      <w:rFonts w:hint="eastAsia"/>
                      <w:color w:val="auto"/>
                      <w:kern w:val="0"/>
                      <w:sz w:val="21"/>
                      <w:szCs w:val="21"/>
                      <w:lang w:eastAsia="zh-CN"/>
                    </w:rPr>
                    <w:t>、</w:t>
                  </w:r>
                  <w:r>
                    <w:rPr>
                      <w:rFonts w:hint="eastAsia"/>
                      <w:color w:val="auto"/>
                      <w:kern w:val="0"/>
                      <w:sz w:val="21"/>
                      <w:szCs w:val="21"/>
                    </w:rPr>
                    <w:t>放射性物质和其他扩散性污染源</w:t>
                  </w:r>
                  <w:r>
                    <w:rPr>
                      <w:rFonts w:hint="eastAsia"/>
                      <w:color w:val="auto"/>
                      <w:kern w:val="0"/>
                      <w:sz w:val="21"/>
                      <w:szCs w:val="21"/>
                      <w:lang w:eastAsia="zh-CN"/>
                    </w:rPr>
                    <w:t>。</w:t>
                  </w:r>
                </w:p>
              </w:tc>
              <w:tc>
                <w:tcPr>
                  <w:tcW w:w="543" w:type="pct"/>
                  <w:vAlign w:val="center"/>
                </w:tcPr>
                <w:p w14:paraId="78F21AEA">
                  <w:pPr>
                    <w:pStyle w:val="9"/>
                    <w:jc w:val="center"/>
                    <w:rPr>
                      <w:rFonts w:hint="eastAsia" w:eastAsia="宋体"/>
                      <w:color w:val="auto"/>
                      <w:kern w:val="0"/>
                      <w:sz w:val="21"/>
                      <w:szCs w:val="21"/>
                      <w:lang w:val="en-US" w:eastAsia="zh-CN"/>
                    </w:rPr>
                  </w:pPr>
                  <w:r>
                    <w:rPr>
                      <w:rFonts w:hint="eastAsia"/>
                      <w:color w:val="auto"/>
                      <w:kern w:val="0"/>
                      <w:sz w:val="21"/>
                      <w:szCs w:val="21"/>
                      <w:lang w:val="en-US" w:eastAsia="zh-CN"/>
                    </w:rPr>
                    <w:t>符合</w:t>
                  </w:r>
                </w:p>
              </w:tc>
            </w:tr>
            <w:tr w14:paraId="123F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4D5FE732">
                  <w:pPr>
                    <w:autoSpaceDE w:val="0"/>
                    <w:autoSpaceDN w:val="0"/>
                    <w:adjustRightInd w:val="0"/>
                    <w:snapToGrid w:val="0"/>
                    <w:jc w:val="center"/>
                    <w:rPr>
                      <w:rFonts w:hint="eastAsia"/>
                      <w:color w:val="auto"/>
                      <w:kern w:val="0"/>
                      <w:sz w:val="21"/>
                      <w:szCs w:val="21"/>
                    </w:rPr>
                  </w:pPr>
                </w:p>
              </w:tc>
              <w:tc>
                <w:tcPr>
                  <w:tcW w:w="466" w:type="pct"/>
                  <w:vMerge w:val="continue"/>
                  <w:vAlign w:val="center"/>
                </w:tcPr>
                <w:p w14:paraId="56277FD0">
                  <w:pPr>
                    <w:autoSpaceDE w:val="0"/>
                    <w:autoSpaceDN w:val="0"/>
                    <w:adjustRightInd w:val="0"/>
                    <w:snapToGrid w:val="0"/>
                    <w:jc w:val="center"/>
                    <w:rPr>
                      <w:rFonts w:hint="eastAsia"/>
                      <w:color w:val="auto"/>
                      <w:kern w:val="0"/>
                      <w:sz w:val="21"/>
                      <w:szCs w:val="21"/>
                    </w:rPr>
                  </w:pPr>
                </w:p>
              </w:tc>
              <w:tc>
                <w:tcPr>
                  <w:tcW w:w="1640" w:type="pct"/>
                  <w:vAlign w:val="center"/>
                </w:tcPr>
                <w:p w14:paraId="10ED5CC0">
                  <w:pPr>
                    <w:autoSpaceDE w:val="0"/>
                    <w:autoSpaceDN w:val="0"/>
                    <w:adjustRightInd w:val="0"/>
                    <w:snapToGrid w:val="0"/>
                    <w:jc w:val="left"/>
                    <w:rPr>
                      <w:rFonts w:hint="eastAsia"/>
                      <w:color w:val="auto"/>
                      <w:kern w:val="0"/>
                      <w:sz w:val="21"/>
                      <w:szCs w:val="21"/>
                    </w:rPr>
                  </w:pPr>
                  <w:r>
                    <w:rPr>
                      <w:rFonts w:hint="eastAsia"/>
                      <w:color w:val="auto"/>
                      <w:kern w:val="0"/>
                      <w:sz w:val="21"/>
                      <w:szCs w:val="21"/>
                    </w:rPr>
                    <w:t>3、厂区不</w:t>
                  </w:r>
                  <w:r>
                    <w:rPr>
                      <w:rFonts w:hint="eastAsia"/>
                      <w:color w:val="auto"/>
                      <w:kern w:val="0"/>
                      <w:sz w:val="21"/>
                      <w:szCs w:val="21"/>
                      <w:lang w:eastAsia="zh-CN"/>
                    </w:rPr>
                    <w:t>宜选</w:t>
                  </w:r>
                  <w:r>
                    <w:rPr>
                      <w:rFonts w:hint="eastAsia"/>
                      <w:color w:val="auto"/>
                      <w:kern w:val="0"/>
                      <w:sz w:val="21"/>
                      <w:szCs w:val="21"/>
                    </w:rPr>
                    <w:t xml:space="preserve">择易发生洪涝灾害的地区，难以避开时应设计必要的防范措施。 </w:t>
                  </w:r>
                </w:p>
              </w:tc>
              <w:tc>
                <w:tcPr>
                  <w:tcW w:w="1977" w:type="pct"/>
                  <w:vAlign w:val="center"/>
                </w:tcPr>
                <w:p w14:paraId="0556B67A">
                  <w:pPr>
                    <w:pStyle w:val="9"/>
                    <w:jc w:val="both"/>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本项目选址不属于洪涝灾害地区。</w:t>
                  </w:r>
                </w:p>
              </w:tc>
              <w:tc>
                <w:tcPr>
                  <w:tcW w:w="543" w:type="pct"/>
                  <w:vAlign w:val="center"/>
                </w:tcPr>
                <w:p w14:paraId="4EFE6BEA">
                  <w:pPr>
                    <w:pStyle w:val="9"/>
                    <w:jc w:val="center"/>
                    <w:rPr>
                      <w:rFonts w:hint="eastAsia" w:eastAsia="宋体"/>
                      <w:color w:val="auto"/>
                      <w:kern w:val="0"/>
                      <w:sz w:val="21"/>
                      <w:szCs w:val="21"/>
                      <w:lang w:val="en-US" w:eastAsia="zh-CN"/>
                    </w:rPr>
                  </w:pPr>
                  <w:r>
                    <w:rPr>
                      <w:rFonts w:hint="eastAsia"/>
                      <w:color w:val="auto"/>
                      <w:kern w:val="0"/>
                      <w:sz w:val="21"/>
                      <w:szCs w:val="21"/>
                      <w:lang w:val="en-US" w:eastAsia="zh-CN"/>
                    </w:rPr>
                    <w:t>符合</w:t>
                  </w:r>
                </w:p>
              </w:tc>
            </w:tr>
            <w:tr w14:paraId="7479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5EDDCB08">
                  <w:pPr>
                    <w:autoSpaceDE w:val="0"/>
                    <w:autoSpaceDN w:val="0"/>
                    <w:adjustRightInd w:val="0"/>
                    <w:snapToGrid w:val="0"/>
                    <w:jc w:val="center"/>
                    <w:rPr>
                      <w:rFonts w:hint="eastAsia"/>
                      <w:color w:val="auto"/>
                      <w:kern w:val="0"/>
                      <w:sz w:val="21"/>
                      <w:szCs w:val="21"/>
                    </w:rPr>
                  </w:pPr>
                </w:p>
              </w:tc>
              <w:tc>
                <w:tcPr>
                  <w:tcW w:w="466" w:type="pct"/>
                  <w:vMerge w:val="continue"/>
                  <w:vAlign w:val="center"/>
                </w:tcPr>
                <w:p w14:paraId="249A85D6">
                  <w:pPr>
                    <w:autoSpaceDE w:val="0"/>
                    <w:autoSpaceDN w:val="0"/>
                    <w:adjustRightInd w:val="0"/>
                    <w:snapToGrid w:val="0"/>
                    <w:jc w:val="center"/>
                    <w:rPr>
                      <w:rFonts w:hint="eastAsia"/>
                      <w:color w:val="auto"/>
                      <w:kern w:val="0"/>
                      <w:sz w:val="21"/>
                      <w:szCs w:val="21"/>
                    </w:rPr>
                  </w:pPr>
                </w:p>
              </w:tc>
              <w:tc>
                <w:tcPr>
                  <w:tcW w:w="1640" w:type="pct"/>
                  <w:vAlign w:val="center"/>
                </w:tcPr>
                <w:p w14:paraId="3552204B">
                  <w:pPr>
                    <w:autoSpaceDE w:val="0"/>
                    <w:autoSpaceDN w:val="0"/>
                    <w:adjustRightInd w:val="0"/>
                    <w:snapToGrid w:val="0"/>
                    <w:jc w:val="left"/>
                    <w:rPr>
                      <w:rFonts w:hint="eastAsia"/>
                      <w:color w:val="auto"/>
                      <w:kern w:val="0"/>
                      <w:sz w:val="21"/>
                      <w:szCs w:val="21"/>
                    </w:rPr>
                  </w:pPr>
                  <w:r>
                    <w:rPr>
                      <w:rFonts w:hint="eastAsia"/>
                      <w:color w:val="auto"/>
                      <w:kern w:val="0"/>
                      <w:sz w:val="21"/>
                      <w:szCs w:val="21"/>
                    </w:rPr>
                    <w:t>4、厂区周围不宜有虫害大量孳生的潜在场所，难以避开时应设计必要的防范措施。</w:t>
                  </w:r>
                </w:p>
              </w:tc>
              <w:tc>
                <w:tcPr>
                  <w:tcW w:w="1977" w:type="pct"/>
                  <w:vAlign w:val="center"/>
                </w:tcPr>
                <w:p w14:paraId="243C1ADC">
                  <w:pPr>
                    <w:pStyle w:val="9"/>
                    <w:jc w:val="both"/>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本项目选址不属于</w:t>
                  </w:r>
                  <w:r>
                    <w:rPr>
                      <w:rFonts w:hint="eastAsia"/>
                      <w:color w:val="auto"/>
                      <w:kern w:val="0"/>
                      <w:sz w:val="21"/>
                      <w:szCs w:val="21"/>
                    </w:rPr>
                    <w:t>有虫害大量孳生的潜在场所</w:t>
                  </w:r>
                  <w:r>
                    <w:rPr>
                      <w:rFonts w:hint="eastAsia"/>
                      <w:color w:val="auto"/>
                      <w:kern w:val="0"/>
                      <w:sz w:val="21"/>
                      <w:szCs w:val="21"/>
                      <w:lang w:eastAsia="zh-CN"/>
                    </w:rPr>
                    <w:t>。</w:t>
                  </w:r>
                </w:p>
              </w:tc>
              <w:tc>
                <w:tcPr>
                  <w:tcW w:w="543" w:type="pct"/>
                  <w:vAlign w:val="center"/>
                </w:tcPr>
                <w:p w14:paraId="357631E1">
                  <w:pPr>
                    <w:pStyle w:val="9"/>
                    <w:jc w:val="center"/>
                    <w:rPr>
                      <w:rFonts w:hint="eastAsia" w:eastAsia="宋体"/>
                      <w:color w:val="auto"/>
                      <w:kern w:val="0"/>
                      <w:sz w:val="21"/>
                      <w:szCs w:val="21"/>
                      <w:lang w:val="en-US" w:eastAsia="zh-CN"/>
                    </w:rPr>
                  </w:pPr>
                  <w:r>
                    <w:rPr>
                      <w:rFonts w:hint="eastAsia"/>
                      <w:color w:val="auto"/>
                      <w:kern w:val="0"/>
                      <w:sz w:val="21"/>
                      <w:szCs w:val="21"/>
                      <w:lang w:val="en-US" w:eastAsia="zh-CN"/>
                    </w:rPr>
                    <w:t>符合</w:t>
                  </w:r>
                </w:p>
              </w:tc>
            </w:tr>
            <w:tr w14:paraId="6598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1ED5516B">
                  <w:pPr>
                    <w:autoSpaceDE w:val="0"/>
                    <w:autoSpaceDN w:val="0"/>
                    <w:adjustRightInd w:val="0"/>
                    <w:snapToGrid w:val="0"/>
                    <w:jc w:val="center"/>
                    <w:rPr>
                      <w:color w:val="auto"/>
                      <w:kern w:val="0"/>
                      <w:sz w:val="21"/>
                      <w:szCs w:val="21"/>
                    </w:rPr>
                  </w:pPr>
                </w:p>
              </w:tc>
              <w:tc>
                <w:tcPr>
                  <w:tcW w:w="466" w:type="pct"/>
                  <w:vMerge w:val="restart"/>
                  <w:vAlign w:val="center"/>
                </w:tcPr>
                <w:p w14:paraId="09A9103B">
                  <w:pPr>
                    <w:autoSpaceDE w:val="0"/>
                    <w:autoSpaceDN w:val="0"/>
                    <w:adjustRightInd w:val="0"/>
                    <w:snapToGrid w:val="0"/>
                    <w:jc w:val="center"/>
                    <w:rPr>
                      <w:color w:val="auto"/>
                      <w:kern w:val="0"/>
                      <w:sz w:val="21"/>
                      <w:szCs w:val="21"/>
                    </w:rPr>
                  </w:pPr>
                  <w:r>
                    <w:rPr>
                      <w:rFonts w:hint="eastAsia"/>
                      <w:color w:val="auto"/>
                      <w:kern w:val="0"/>
                      <w:sz w:val="21"/>
                      <w:szCs w:val="21"/>
                    </w:rPr>
                    <w:t>厂环境</w:t>
                  </w:r>
                </w:p>
              </w:tc>
              <w:tc>
                <w:tcPr>
                  <w:tcW w:w="1640" w:type="pct"/>
                  <w:vAlign w:val="center"/>
                </w:tcPr>
                <w:p w14:paraId="13CA539B">
                  <w:pPr>
                    <w:autoSpaceDE w:val="0"/>
                    <w:autoSpaceDN w:val="0"/>
                    <w:adjustRightInd w:val="0"/>
                    <w:snapToGrid w:val="0"/>
                    <w:jc w:val="left"/>
                    <w:rPr>
                      <w:color w:val="auto"/>
                      <w:kern w:val="0"/>
                      <w:sz w:val="21"/>
                      <w:szCs w:val="21"/>
                    </w:rPr>
                  </w:pPr>
                  <w:r>
                    <w:rPr>
                      <w:rFonts w:hint="eastAsia"/>
                      <w:color w:val="auto"/>
                      <w:kern w:val="0"/>
                      <w:sz w:val="21"/>
                      <w:szCs w:val="21"/>
                    </w:rPr>
                    <w:t xml:space="preserve">1、应考虑环境给食品生产带来的潜在污染风险，并采取适当的措施将其降至最低水平。 </w:t>
                  </w:r>
                </w:p>
              </w:tc>
              <w:tc>
                <w:tcPr>
                  <w:tcW w:w="1977" w:type="pct"/>
                  <w:vAlign w:val="center"/>
                </w:tcPr>
                <w:p w14:paraId="598C4931">
                  <w:pPr>
                    <w:autoSpaceDE w:val="0"/>
                    <w:autoSpaceDN w:val="0"/>
                    <w:adjustRightInd w:val="0"/>
                    <w:snapToGrid w:val="0"/>
                    <w:jc w:val="left"/>
                    <w:rPr>
                      <w:rFonts w:hint="default" w:eastAsia="宋体"/>
                      <w:color w:val="auto"/>
                      <w:kern w:val="0"/>
                      <w:sz w:val="21"/>
                      <w:szCs w:val="21"/>
                      <w:lang w:val="en-US" w:eastAsia="zh-CN"/>
                    </w:rPr>
                  </w:pPr>
                  <w:r>
                    <w:rPr>
                      <w:rFonts w:hint="eastAsia"/>
                      <w:color w:val="auto"/>
                      <w:kern w:val="0"/>
                      <w:sz w:val="21"/>
                      <w:szCs w:val="21"/>
                      <w:lang w:val="en-US" w:eastAsia="zh-CN"/>
                    </w:rPr>
                    <w:t>项目工作人员保持良好的卫生习惯、进入车间必须穿戴工作服、进入车间前严格按要求进行消毒等措施，可将</w:t>
                  </w:r>
                  <w:r>
                    <w:rPr>
                      <w:rFonts w:hint="eastAsia"/>
                      <w:color w:val="auto"/>
                      <w:kern w:val="0"/>
                      <w:sz w:val="21"/>
                      <w:szCs w:val="21"/>
                    </w:rPr>
                    <w:t>环境给食品生产带来的潜在污染风险</w:t>
                  </w:r>
                  <w:r>
                    <w:rPr>
                      <w:rFonts w:hint="eastAsia"/>
                      <w:color w:val="auto"/>
                      <w:kern w:val="0"/>
                      <w:sz w:val="21"/>
                      <w:szCs w:val="21"/>
                      <w:lang w:val="en-US" w:eastAsia="zh-CN"/>
                    </w:rPr>
                    <w:t>降至最低水平。</w:t>
                  </w:r>
                </w:p>
              </w:tc>
              <w:tc>
                <w:tcPr>
                  <w:tcW w:w="543" w:type="pct"/>
                  <w:vAlign w:val="center"/>
                </w:tcPr>
                <w:p w14:paraId="14A21B30">
                  <w:pPr>
                    <w:autoSpaceDE w:val="0"/>
                    <w:autoSpaceDN w:val="0"/>
                    <w:adjustRightInd w:val="0"/>
                    <w:snapToGrid w:val="0"/>
                    <w:jc w:val="center"/>
                    <w:rPr>
                      <w:rFonts w:hint="default"/>
                      <w:color w:val="auto"/>
                      <w:kern w:val="0"/>
                      <w:sz w:val="21"/>
                      <w:szCs w:val="21"/>
                      <w:lang w:val="en-US" w:eastAsia="zh-CN"/>
                    </w:rPr>
                  </w:pPr>
                  <w:r>
                    <w:rPr>
                      <w:rFonts w:hint="eastAsia"/>
                      <w:color w:val="auto"/>
                      <w:kern w:val="0"/>
                      <w:sz w:val="21"/>
                      <w:szCs w:val="21"/>
                      <w:lang w:val="en-US" w:eastAsia="zh-CN"/>
                    </w:rPr>
                    <w:t>符合</w:t>
                  </w:r>
                </w:p>
              </w:tc>
            </w:tr>
            <w:tr w14:paraId="5F58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21A0E80F">
                  <w:pPr>
                    <w:autoSpaceDE w:val="0"/>
                    <w:autoSpaceDN w:val="0"/>
                    <w:adjustRightInd w:val="0"/>
                    <w:snapToGrid w:val="0"/>
                    <w:jc w:val="center"/>
                    <w:rPr>
                      <w:color w:val="auto"/>
                      <w:kern w:val="0"/>
                      <w:sz w:val="21"/>
                      <w:szCs w:val="21"/>
                    </w:rPr>
                  </w:pPr>
                </w:p>
              </w:tc>
              <w:tc>
                <w:tcPr>
                  <w:tcW w:w="466" w:type="pct"/>
                  <w:vMerge w:val="continue"/>
                  <w:vAlign w:val="center"/>
                </w:tcPr>
                <w:p w14:paraId="327D0E8F">
                  <w:pPr>
                    <w:autoSpaceDE w:val="0"/>
                    <w:autoSpaceDN w:val="0"/>
                    <w:adjustRightInd w:val="0"/>
                    <w:snapToGrid w:val="0"/>
                    <w:jc w:val="center"/>
                    <w:rPr>
                      <w:rFonts w:hint="eastAsia"/>
                      <w:color w:val="auto"/>
                      <w:kern w:val="0"/>
                      <w:sz w:val="21"/>
                      <w:szCs w:val="21"/>
                    </w:rPr>
                  </w:pPr>
                </w:p>
              </w:tc>
              <w:tc>
                <w:tcPr>
                  <w:tcW w:w="1640" w:type="pct"/>
                  <w:vAlign w:val="center"/>
                </w:tcPr>
                <w:p w14:paraId="5DB92598">
                  <w:pPr>
                    <w:autoSpaceDE w:val="0"/>
                    <w:autoSpaceDN w:val="0"/>
                    <w:adjustRightInd w:val="0"/>
                    <w:snapToGrid w:val="0"/>
                    <w:jc w:val="left"/>
                    <w:rPr>
                      <w:rFonts w:hint="eastAsia"/>
                      <w:color w:val="auto"/>
                      <w:kern w:val="0"/>
                      <w:sz w:val="21"/>
                      <w:szCs w:val="21"/>
                    </w:rPr>
                  </w:pPr>
                  <w:r>
                    <w:rPr>
                      <w:rFonts w:hint="eastAsia"/>
                      <w:color w:val="auto"/>
                      <w:kern w:val="0"/>
                      <w:sz w:val="21"/>
                      <w:szCs w:val="21"/>
                    </w:rPr>
                    <w:t xml:space="preserve">2、厂区应合理布局，各功能区域划分明显，并有适当的分离或分隔措施，防止交叉污染。  </w:t>
                  </w:r>
                </w:p>
              </w:tc>
              <w:tc>
                <w:tcPr>
                  <w:tcW w:w="1977" w:type="pct"/>
                  <w:vAlign w:val="center"/>
                </w:tcPr>
                <w:p w14:paraId="15CCD9E9">
                  <w:pPr>
                    <w:autoSpaceDE w:val="0"/>
                    <w:autoSpaceDN w:val="0"/>
                    <w:adjustRightInd w:val="0"/>
                    <w:snapToGrid w:val="0"/>
                    <w:jc w:val="left"/>
                    <w:rPr>
                      <w:rFonts w:hint="eastAsia"/>
                      <w:color w:val="auto"/>
                      <w:kern w:val="0"/>
                      <w:sz w:val="21"/>
                      <w:szCs w:val="21"/>
                      <w:lang w:val="en-US" w:eastAsia="zh-CN"/>
                    </w:rPr>
                  </w:pPr>
                  <w:r>
                    <w:rPr>
                      <w:rFonts w:hint="eastAsia" w:ascii="Times New Roman" w:hAnsi="Times New Roman" w:eastAsia="宋体" w:cs="Times New Roman"/>
                      <w:color w:val="auto"/>
                      <w:kern w:val="0"/>
                      <w:sz w:val="21"/>
                      <w:szCs w:val="21"/>
                    </w:rPr>
                    <w:t>厂区合理布局，各功能区域划分明显，采取了适当的分隔措施，防止了交叉污染。</w:t>
                  </w:r>
                </w:p>
              </w:tc>
              <w:tc>
                <w:tcPr>
                  <w:tcW w:w="543" w:type="pct"/>
                  <w:vAlign w:val="center"/>
                </w:tcPr>
                <w:p w14:paraId="488912F1">
                  <w:pPr>
                    <w:autoSpaceDE w:val="0"/>
                    <w:autoSpaceDN w:val="0"/>
                    <w:adjustRightInd w:val="0"/>
                    <w:snapToGrid w:val="0"/>
                    <w:jc w:val="center"/>
                    <w:rPr>
                      <w:rFonts w:hint="default"/>
                      <w:color w:val="auto"/>
                      <w:kern w:val="0"/>
                      <w:sz w:val="21"/>
                      <w:szCs w:val="21"/>
                      <w:lang w:val="en-US" w:eastAsia="zh-CN"/>
                    </w:rPr>
                  </w:pPr>
                  <w:r>
                    <w:rPr>
                      <w:rFonts w:hint="eastAsia"/>
                      <w:color w:val="auto"/>
                      <w:kern w:val="0"/>
                      <w:sz w:val="21"/>
                      <w:szCs w:val="21"/>
                      <w:lang w:val="en-US" w:eastAsia="zh-CN"/>
                    </w:rPr>
                    <w:t>符合</w:t>
                  </w:r>
                </w:p>
              </w:tc>
            </w:tr>
            <w:tr w14:paraId="09DA2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4EE6A092">
                  <w:pPr>
                    <w:autoSpaceDE w:val="0"/>
                    <w:autoSpaceDN w:val="0"/>
                    <w:adjustRightInd w:val="0"/>
                    <w:snapToGrid w:val="0"/>
                    <w:jc w:val="center"/>
                    <w:rPr>
                      <w:color w:val="auto"/>
                      <w:kern w:val="0"/>
                      <w:sz w:val="21"/>
                      <w:szCs w:val="21"/>
                    </w:rPr>
                  </w:pPr>
                </w:p>
              </w:tc>
              <w:tc>
                <w:tcPr>
                  <w:tcW w:w="466" w:type="pct"/>
                  <w:vMerge w:val="continue"/>
                  <w:vAlign w:val="center"/>
                </w:tcPr>
                <w:p w14:paraId="4B9FDD57">
                  <w:pPr>
                    <w:autoSpaceDE w:val="0"/>
                    <w:autoSpaceDN w:val="0"/>
                    <w:adjustRightInd w:val="0"/>
                    <w:snapToGrid w:val="0"/>
                    <w:jc w:val="center"/>
                    <w:rPr>
                      <w:rFonts w:hint="eastAsia"/>
                      <w:color w:val="auto"/>
                      <w:kern w:val="0"/>
                      <w:sz w:val="21"/>
                      <w:szCs w:val="21"/>
                    </w:rPr>
                  </w:pPr>
                </w:p>
              </w:tc>
              <w:tc>
                <w:tcPr>
                  <w:tcW w:w="1640" w:type="pct"/>
                  <w:vAlign w:val="center"/>
                </w:tcPr>
                <w:p w14:paraId="3554EAFA">
                  <w:pPr>
                    <w:autoSpaceDE w:val="0"/>
                    <w:autoSpaceDN w:val="0"/>
                    <w:adjustRightInd w:val="0"/>
                    <w:snapToGrid w:val="0"/>
                    <w:jc w:val="left"/>
                    <w:rPr>
                      <w:rFonts w:hint="eastAsia"/>
                      <w:color w:val="auto"/>
                      <w:kern w:val="0"/>
                      <w:sz w:val="21"/>
                      <w:szCs w:val="21"/>
                    </w:rPr>
                  </w:pPr>
                  <w:r>
                    <w:rPr>
                      <w:rFonts w:hint="eastAsia"/>
                      <w:color w:val="auto"/>
                      <w:kern w:val="0"/>
                      <w:sz w:val="21"/>
                      <w:szCs w:val="21"/>
                    </w:rPr>
                    <w:t xml:space="preserve">3、厂区内的道路应铺设混凝土、沥青、或者其他硬质材料；空地应采取必要措施，如铺设水泥、地砖或铺设草坪等方式，保持环境清洁，防止正常天气下扬尘和积水等现象的发生。 </w:t>
                  </w:r>
                </w:p>
              </w:tc>
              <w:tc>
                <w:tcPr>
                  <w:tcW w:w="1977" w:type="pct"/>
                  <w:vAlign w:val="center"/>
                </w:tcPr>
                <w:p w14:paraId="6A0F579C">
                  <w:pPr>
                    <w:autoSpaceDE w:val="0"/>
                    <w:autoSpaceDN w:val="0"/>
                    <w:adjustRightInd w:val="0"/>
                    <w:snapToGrid w:val="0"/>
                    <w:jc w:val="both"/>
                    <w:rPr>
                      <w:rFonts w:hint="eastAsia"/>
                      <w:color w:val="auto"/>
                      <w:kern w:val="0"/>
                      <w:sz w:val="21"/>
                      <w:szCs w:val="21"/>
                      <w:lang w:val="en-US" w:eastAsia="zh-CN"/>
                    </w:rPr>
                  </w:pPr>
                  <w:r>
                    <w:rPr>
                      <w:rFonts w:hint="eastAsia"/>
                      <w:color w:val="auto"/>
                    </w:rPr>
                    <w:t>厂区内道路和空地已采用混凝土硬化</w:t>
                  </w: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rPr>
                    <w:t>能保持</w:t>
                  </w:r>
                  <w:r>
                    <w:rPr>
                      <w:rFonts w:hint="eastAsia" w:cs="Times New Roman"/>
                      <w:color w:val="auto"/>
                      <w:kern w:val="0"/>
                      <w:sz w:val="21"/>
                      <w:szCs w:val="21"/>
                      <w:lang w:val="en-US" w:eastAsia="zh-CN"/>
                    </w:rPr>
                    <w:t>厂区</w:t>
                  </w:r>
                  <w:r>
                    <w:rPr>
                      <w:rFonts w:hint="eastAsia" w:ascii="Times New Roman" w:hAnsi="Times New Roman" w:eastAsia="宋体" w:cs="Times New Roman"/>
                      <w:color w:val="auto"/>
                      <w:kern w:val="0"/>
                      <w:sz w:val="21"/>
                      <w:szCs w:val="21"/>
                    </w:rPr>
                    <w:t>环境清洁，</w:t>
                  </w:r>
                  <w:r>
                    <w:rPr>
                      <w:rFonts w:hint="eastAsia" w:ascii="Times New Roman" w:hAnsi="Times New Roman" w:eastAsia="宋体" w:cs="Times New Roman"/>
                      <w:color w:val="auto"/>
                      <w:kern w:val="0"/>
                      <w:sz w:val="21"/>
                      <w:szCs w:val="21"/>
                      <w:lang w:val="en-US" w:eastAsia="zh-CN"/>
                    </w:rPr>
                    <w:t>且项目厂房均进行封闭处理，可有效的</w:t>
                  </w:r>
                  <w:r>
                    <w:rPr>
                      <w:rFonts w:hint="eastAsia" w:ascii="Times New Roman" w:hAnsi="Times New Roman" w:eastAsia="宋体" w:cs="Times New Roman"/>
                      <w:color w:val="auto"/>
                      <w:kern w:val="0"/>
                      <w:sz w:val="21"/>
                      <w:szCs w:val="21"/>
                    </w:rPr>
                    <w:t>防止正常天气下扬尘和积水等现象的发生。</w:t>
                  </w:r>
                </w:p>
              </w:tc>
              <w:tc>
                <w:tcPr>
                  <w:tcW w:w="543" w:type="pct"/>
                  <w:vAlign w:val="center"/>
                </w:tcPr>
                <w:p w14:paraId="44113352">
                  <w:pPr>
                    <w:autoSpaceDE w:val="0"/>
                    <w:autoSpaceDN w:val="0"/>
                    <w:adjustRightInd w:val="0"/>
                    <w:snapToGrid w:val="0"/>
                    <w:jc w:val="center"/>
                    <w:rPr>
                      <w:rFonts w:hint="default"/>
                      <w:color w:val="auto"/>
                      <w:kern w:val="0"/>
                      <w:sz w:val="21"/>
                      <w:szCs w:val="21"/>
                      <w:lang w:val="en-US" w:eastAsia="zh-CN"/>
                    </w:rPr>
                  </w:pPr>
                  <w:r>
                    <w:rPr>
                      <w:rFonts w:hint="eastAsia"/>
                      <w:color w:val="auto"/>
                      <w:kern w:val="0"/>
                      <w:sz w:val="21"/>
                      <w:szCs w:val="21"/>
                      <w:lang w:val="en-US" w:eastAsia="zh-CN"/>
                    </w:rPr>
                    <w:t>符合</w:t>
                  </w:r>
                </w:p>
              </w:tc>
            </w:tr>
            <w:tr w14:paraId="1FCA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4437E0FD">
                  <w:pPr>
                    <w:autoSpaceDE w:val="0"/>
                    <w:autoSpaceDN w:val="0"/>
                    <w:adjustRightInd w:val="0"/>
                    <w:snapToGrid w:val="0"/>
                    <w:jc w:val="center"/>
                    <w:rPr>
                      <w:color w:val="auto"/>
                      <w:kern w:val="0"/>
                      <w:sz w:val="21"/>
                      <w:szCs w:val="21"/>
                    </w:rPr>
                  </w:pPr>
                </w:p>
              </w:tc>
              <w:tc>
                <w:tcPr>
                  <w:tcW w:w="466" w:type="pct"/>
                  <w:vMerge w:val="continue"/>
                  <w:vAlign w:val="center"/>
                </w:tcPr>
                <w:p w14:paraId="4ADBBD93">
                  <w:pPr>
                    <w:autoSpaceDE w:val="0"/>
                    <w:autoSpaceDN w:val="0"/>
                    <w:adjustRightInd w:val="0"/>
                    <w:snapToGrid w:val="0"/>
                    <w:jc w:val="center"/>
                    <w:rPr>
                      <w:rFonts w:hint="eastAsia"/>
                      <w:color w:val="auto"/>
                      <w:kern w:val="0"/>
                      <w:sz w:val="21"/>
                      <w:szCs w:val="21"/>
                    </w:rPr>
                  </w:pPr>
                </w:p>
              </w:tc>
              <w:tc>
                <w:tcPr>
                  <w:tcW w:w="1640" w:type="pct"/>
                  <w:vAlign w:val="center"/>
                </w:tcPr>
                <w:p w14:paraId="2AB485CE">
                  <w:pPr>
                    <w:autoSpaceDE w:val="0"/>
                    <w:autoSpaceDN w:val="0"/>
                    <w:adjustRightInd w:val="0"/>
                    <w:snapToGrid w:val="0"/>
                    <w:jc w:val="left"/>
                    <w:rPr>
                      <w:rFonts w:hint="eastAsia"/>
                      <w:color w:val="auto"/>
                      <w:kern w:val="0"/>
                      <w:sz w:val="21"/>
                      <w:szCs w:val="21"/>
                    </w:rPr>
                  </w:pPr>
                  <w:r>
                    <w:rPr>
                      <w:rFonts w:hint="eastAsia"/>
                      <w:color w:val="auto"/>
                      <w:kern w:val="0"/>
                      <w:sz w:val="21"/>
                      <w:szCs w:val="21"/>
                    </w:rPr>
                    <w:t xml:space="preserve">4、厂区绿化应与生产车间保持适当距离，植被应定期维护，以防止虫害的孳生。 </w:t>
                  </w:r>
                </w:p>
              </w:tc>
              <w:tc>
                <w:tcPr>
                  <w:tcW w:w="1977" w:type="pct"/>
                  <w:vAlign w:val="center"/>
                </w:tcPr>
                <w:p w14:paraId="544F1313">
                  <w:pPr>
                    <w:autoSpaceDE w:val="0"/>
                    <w:autoSpaceDN w:val="0"/>
                    <w:adjustRightInd w:val="0"/>
                    <w:snapToGrid w:val="0"/>
                    <w:jc w:val="left"/>
                    <w:rPr>
                      <w:rFonts w:hint="default"/>
                      <w:color w:val="auto"/>
                      <w:kern w:val="0"/>
                      <w:sz w:val="21"/>
                      <w:szCs w:val="21"/>
                      <w:lang w:val="en-US" w:eastAsia="zh-CN"/>
                    </w:rPr>
                  </w:pPr>
                  <w:r>
                    <w:rPr>
                      <w:rFonts w:hint="eastAsia"/>
                      <w:color w:val="auto"/>
                      <w:kern w:val="0"/>
                      <w:sz w:val="21"/>
                      <w:szCs w:val="21"/>
                      <w:lang w:val="en-US" w:eastAsia="zh-CN"/>
                    </w:rPr>
                    <w:t>项目厂房外围均有绿化区，由厂房阻隔，可有效的防止</w:t>
                  </w:r>
                  <w:r>
                    <w:rPr>
                      <w:rFonts w:hint="eastAsia"/>
                      <w:color w:val="auto"/>
                      <w:kern w:val="0"/>
                      <w:sz w:val="21"/>
                      <w:szCs w:val="21"/>
                    </w:rPr>
                    <w:t>虫害的孳生。</w:t>
                  </w:r>
                </w:p>
              </w:tc>
              <w:tc>
                <w:tcPr>
                  <w:tcW w:w="543" w:type="pct"/>
                  <w:vAlign w:val="center"/>
                </w:tcPr>
                <w:p w14:paraId="216AE80B">
                  <w:pPr>
                    <w:autoSpaceDE w:val="0"/>
                    <w:autoSpaceDN w:val="0"/>
                    <w:adjustRightInd w:val="0"/>
                    <w:snapToGrid w:val="0"/>
                    <w:jc w:val="center"/>
                    <w:rPr>
                      <w:rFonts w:hint="default"/>
                      <w:color w:val="auto"/>
                      <w:kern w:val="0"/>
                      <w:sz w:val="21"/>
                      <w:szCs w:val="21"/>
                      <w:lang w:val="en-US" w:eastAsia="zh-CN"/>
                    </w:rPr>
                  </w:pPr>
                  <w:r>
                    <w:rPr>
                      <w:rFonts w:hint="eastAsia"/>
                      <w:color w:val="auto"/>
                      <w:kern w:val="0"/>
                      <w:sz w:val="21"/>
                      <w:szCs w:val="21"/>
                      <w:lang w:val="en-US" w:eastAsia="zh-CN"/>
                    </w:rPr>
                    <w:t>符合</w:t>
                  </w:r>
                </w:p>
              </w:tc>
            </w:tr>
            <w:tr w14:paraId="08F4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69CA6F09">
                  <w:pPr>
                    <w:autoSpaceDE w:val="0"/>
                    <w:autoSpaceDN w:val="0"/>
                    <w:adjustRightInd w:val="0"/>
                    <w:snapToGrid w:val="0"/>
                    <w:jc w:val="center"/>
                    <w:rPr>
                      <w:color w:val="auto"/>
                      <w:kern w:val="0"/>
                      <w:sz w:val="21"/>
                      <w:szCs w:val="21"/>
                    </w:rPr>
                  </w:pPr>
                </w:p>
              </w:tc>
              <w:tc>
                <w:tcPr>
                  <w:tcW w:w="466" w:type="pct"/>
                  <w:vMerge w:val="continue"/>
                  <w:vAlign w:val="center"/>
                </w:tcPr>
                <w:p w14:paraId="13F1CBBD">
                  <w:pPr>
                    <w:autoSpaceDE w:val="0"/>
                    <w:autoSpaceDN w:val="0"/>
                    <w:adjustRightInd w:val="0"/>
                    <w:snapToGrid w:val="0"/>
                    <w:jc w:val="center"/>
                    <w:rPr>
                      <w:rFonts w:hint="eastAsia"/>
                      <w:color w:val="auto"/>
                      <w:kern w:val="0"/>
                      <w:sz w:val="21"/>
                      <w:szCs w:val="21"/>
                    </w:rPr>
                  </w:pPr>
                </w:p>
              </w:tc>
              <w:tc>
                <w:tcPr>
                  <w:tcW w:w="1640" w:type="pct"/>
                  <w:vAlign w:val="center"/>
                </w:tcPr>
                <w:p w14:paraId="2A791B23">
                  <w:pPr>
                    <w:autoSpaceDE w:val="0"/>
                    <w:autoSpaceDN w:val="0"/>
                    <w:adjustRightInd w:val="0"/>
                    <w:snapToGrid w:val="0"/>
                    <w:jc w:val="left"/>
                    <w:rPr>
                      <w:rFonts w:hint="eastAsia"/>
                      <w:color w:val="auto"/>
                      <w:kern w:val="0"/>
                      <w:sz w:val="21"/>
                      <w:szCs w:val="21"/>
                    </w:rPr>
                  </w:pPr>
                  <w:r>
                    <w:rPr>
                      <w:rFonts w:hint="eastAsia"/>
                      <w:color w:val="auto"/>
                      <w:kern w:val="0"/>
                      <w:sz w:val="21"/>
                      <w:szCs w:val="21"/>
                    </w:rPr>
                    <w:t xml:space="preserve">5、厂区应有适当的排水系统。 </w:t>
                  </w:r>
                </w:p>
              </w:tc>
              <w:tc>
                <w:tcPr>
                  <w:tcW w:w="1977" w:type="pct"/>
                  <w:vAlign w:val="center"/>
                </w:tcPr>
                <w:p w14:paraId="69FC3AA6">
                  <w:pPr>
                    <w:autoSpaceDE w:val="0"/>
                    <w:autoSpaceDN w:val="0"/>
                    <w:adjustRightInd w:val="0"/>
                    <w:snapToGrid w:val="0"/>
                    <w:jc w:val="left"/>
                    <w:rPr>
                      <w:rFonts w:hint="default"/>
                      <w:color w:val="auto"/>
                      <w:kern w:val="0"/>
                      <w:sz w:val="21"/>
                      <w:szCs w:val="21"/>
                      <w:lang w:val="en-US" w:eastAsia="zh-CN"/>
                    </w:rPr>
                  </w:pPr>
                  <w:r>
                    <w:rPr>
                      <w:rFonts w:hint="eastAsia"/>
                      <w:color w:val="auto"/>
                      <w:kern w:val="0"/>
                      <w:sz w:val="21"/>
                      <w:szCs w:val="21"/>
                      <w:lang w:val="en-US" w:eastAsia="zh-CN"/>
                    </w:rPr>
                    <w:t>项目采取雨污分流，污水经处理达标后接入园区污水管网。</w:t>
                  </w:r>
                </w:p>
              </w:tc>
              <w:tc>
                <w:tcPr>
                  <w:tcW w:w="543" w:type="pct"/>
                  <w:vAlign w:val="center"/>
                </w:tcPr>
                <w:p w14:paraId="0EB8234D">
                  <w:pPr>
                    <w:autoSpaceDE w:val="0"/>
                    <w:autoSpaceDN w:val="0"/>
                    <w:adjustRightInd w:val="0"/>
                    <w:snapToGrid w:val="0"/>
                    <w:jc w:val="center"/>
                    <w:rPr>
                      <w:rFonts w:hint="default"/>
                      <w:color w:val="auto"/>
                      <w:kern w:val="0"/>
                      <w:sz w:val="21"/>
                      <w:szCs w:val="21"/>
                      <w:lang w:val="en-US" w:eastAsia="zh-CN"/>
                    </w:rPr>
                  </w:pPr>
                  <w:r>
                    <w:rPr>
                      <w:rFonts w:hint="eastAsia"/>
                      <w:color w:val="auto"/>
                      <w:kern w:val="0"/>
                      <w:sz w:val="21"/>
                      <w:szCs w:val="21"/>
                      <w:lang w:val="en-US" w:eastAsia="zh-CN"/>
                    </w:rPr>
                    <w:t>符合</w:t>
                  </w:r>
                </w:p>
              </w:tc>
            </w:tr>
            <w:tr w14:paraId="48AE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2980F257">
                  <w:pPr>
                    <w:autoSpaceDE w:val="0"/>
                    <w:autoSpaceDN w:val="0"/>
                    <w:adjustRightInd w:val="0"/>
                    <w:snapToGrid w:val="0"/>
                    <w:jc w:val="center"/>
                    <w:rPr>
                      <w:color w:val="auto"/>
                      <w:kern w:val="0"/>
                      <w:sz w:val="21"/>
                      <w:szCs w:val="21"/>
                    </w:rPr>
                  </w:pPr>
                </w:p>
              </w:tc>
              <w:tc>
                <w:tcPr>
                  <w:tcW w:w="466" w:type="pct"/>
                  <w:vMerge w:val="continue"/>
                  <w:vAlign w:val="center"/>
                </w:tcPr>
                <w:p w14:paraId="3E852DF9">
                  <w:pPr>
                    <w:autoSpaceDE w:val="0"/>
                    <w:autoSpaceDN w:val="0"/>
                    <w:adjustRightInd w:val="0"/>
                    <w:snapToGrid w:val="0"/>
                    <w:jc w:val="center"/>
                    <w:rPr>
                      <w:rFonts w:hint="eastAsia"/>
                      <w:color w:val="auto"/>
                      <w:kern w:val="0"/>
                      <w:sz w:val="21"/>
                      <w:szCs w:val="21"/>
                    </w:rPr>
                  </w:pPr>
                </w:p>
              </w:tc>
              <w:tc>
                <w:tcPr>
                  <w:tcW w:w="1640" w:type="pct"/>
                  <w:vAlign w:val="center"/>
                </w:tcPr>
                <w:p w14:paraId="41C57ABD">
                  <w:pPr>
                    <w:autoSpaceDE w:val="0"/>
                    <w:autoSpaceDN w:val="0"/>
                    <w:adjustRightInd w:val="0"/>
                    <w:snapToGrid w:val="0"/>
                    <w:jc w:val="left"/>
                    <w:rPr>
                      <w:rFonts w:hint="eastAsia"/>
                      <w:color w:val="auto"/>
                      <w:kern w:val="0"/>
                      <w:sz w:val="21"/>
                      <w:szCs w:val="21"/>
                    </w:rPr>
                  </w:pPr>
                  <w:r>
                    <w:rPr>
                      <w:rFonts w:hint="eastAsia"/>
                      <w:color w:val="auto"/>
                      <w:kern w:val="0"/>
                      <w:sz w:val="21"/>
                      <w:szCs w:val="21"/>
                    </w:rPr>
                    <w:t>6、宿舍、食堂、职工娱乐设施等生活区应与生产区保持适当距离或分隔。</w:t>
                  </w:r>
                </w:p>
              </w:tc>
              <w:tc>
                <w:tcPr>
                  <w:tcW w:w="1977" w:type="pct"/>
                  <w:vAlign w:val="center"/>
                </w:tcPr>
                <w:p w14:paraId="57C906E0">
                  <w:pPr>
                    <w:autoSpaceDE w:val="0"/>
                    <w:autoSpaceDN w:val="0"/>
                    <w:adjustRightInd w:val="0"/>
                    <w:snapToGrid w:val="0"/>
                    <w:jc w:val="left"/>
                    <w:rPr>
                      <w:rFonts w:hint="default" w:eastAsia="宋体"/>
                      <w:color w:val="auto"/>
                      <w:kern w:val="0"/>
                      <w:sz w:val="21"/>
                      <w:szCs w:val="21"/>
                      <w:lang w:val="en-US" w:eastAsia="zh-CN"/>
                    </w:rPr>
                  </w:pPr>
                  <w:r>
                    <w:rPr>
                      <w:rFonts w:hint="eastAsia"/>
                      <w:color w:val="auto"/>
                      <w:kern w:val="0"/>
                      <w:sz w:val="21"/>
                      <w:szCs w:val="21"/>
                      <w:lang w:val="en-US" w:eastAsia="zh-CN"/>
                    </w:rPr>
                    <w:t>项目</w:t>
                  </w:r>
                  <w:r>
                    <w:rPr>
                      <w:color w:val="auto"/>
                      <w:szCs w:val="21"/>
                    </w:rPr>
                    <w:t>办公室</w:t>
                  </w:r>
                  <w:r>
                    <w:rPr>
                      <w:rFonts w:hint="eastAsia"/>
                      <w:color w:val="auto"/>
                      <w:szCs w:val="21"/>
                      <w:lang w:val="en-US" w:eastAsia="zh-CN"/>
                    </w:rPr>
                    <w:t>及</w:t>
                  </w:r>
                  <w:r>
                    <w:rPr>
                      <w:color w:val="auto"/>
                      <w:szCs w:val="21"/>
                    </w:rPr>
                    <w:t>宿舍</w:t>
                  </w:r>
                  <w:r>
                    <w:rPr>
                      <w:rFonts w:hint="eastAsia"/>
                      <w:color w:val="auto"/>
                      <w:szCs w:val="21"/>
                      <w:lang w:val="en-US" w:eastAsia="zh-CN"/>
                    </w:rPr>
                    <w:t>均</w:t>
                  </w:r>
                  <w:r>
                    <w:rPr>
                      <w:color w:val="auto"/>
                      <w:szCs w:val="21"/>
                    </w:rPr>
                    <w:t>租用园区管理委员会</w:t>
                  </w:r>
                  <w:r>
                    <w:rPr>
                      <w:rFonts w:hint="eastAsia"/>
                      <w:color w:val="auto"/>
                      <w:szCs w:val="21"/>
                      <w:lang w:val="en-US" w:eastAsia="zh-CN"/>
                    </w:rPr>
                    <w:t>已建</w:t>
                  </w:r>
                  <w:r>
                    <w:rPr>
                      <w:color w:val="auto"/>
                      <w:szCs w:val="21"/>
                    </w:rPr>
                    <w:t>的综合楼中的</w:t>
                  </w:r>
                  <w:r>
                    <w:rPr>
                      <w:rFonts w:hint="eastAsia"/>
                      <w:color w:val="auto"/>
                      <w:szCs w:val="21"/>
                      <w:lang w:val="en-US" w:eastAsia="zh-CN"/>
                    </w:rPr>
                    <w:t>房间，与项目生产厂房进行有效的分隔。</w:t>
                  </w:r>
                </w:p>
              </w:tc>
              <w:tc>
                <w:tcPr>
                  <w:tcW w:w="543" w:type="pct"/>
                  <w:vAlign w:val="center"/>
                </w:tcPr>
                <w:p w14:paraId="44686873">
                  <w:pPr>
                    <w:autoSpaceDE w:val="0"/>
                    <w:autoSpaceDN w:val="0"/>
                    <w:adjustRightInd w:val="0"/>
                    <w:snapToGrid w:val="0"/>
                    <w:jc w:val="center"/>
                    <w:rPr>
                      <w:rFonts w:hint="default"/>
                      <w:color w:val="auto"/>
                      <w:kern w:val="0"/>
                      <w:sz w:val="21"/>
                      <w:szCs w:val="21"/>
                      <w:lang w:val="en-US" w:eastAsia="zh-CN"/>
                    </w:rPr>
                  </w:pPr>
                  <w:r>
                    <w:rPr>
                      <w:rFonts w:hint="eastAsia"/>
                      <w:color w:val="auto"/>
                      <w:kern w:val="0"/>
                      <w:sz w:val="21"/>
                      <w:szCs w:val="21"/>
                      <w:lang w:val="en-US" w:eastAsia="zh-CN"/>
                    </w:rPr>
                    <w:t>符合</w:t>
                  </w:r>
                </w:p>
              </w:tc>
            </w:tr>
            <w:tr w14:paraId="1E98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restart"/>
                  <w:vAlign w:val="center"/>
                </w:tcPr>
                <w:p w14:paraId="43B7030E">
                  <w:pPr>
                    <w:autoSpaceDE w:val="0"/>
                    <w:autoSpaceDN w:val="0"/>
                    <w:adjustRightInd w:val="0"/>
                    <w:snapToGrid w:val="0"/>
                    <w:jc w:val="center"/>
                    <w:rPr>
                      <w:color w:val="auto"/>
                      <w:kern w:val="0"/>
                      <w:sz w:val="21"/>
                      <w:szCs w:val="21"/>
                    </w:rPr>
                  </w:pPr>
                  <w:r>
                    <w:rPr>
                      <w:rFonts w:hint="eastAsia"/>
                      <w:color w:val="auto"/>
                      <w:kern w:val="0"/>
                      <w:sz w:val="21"/>
                      <w:szCs w:val="21"/>
                    </w:rPr>
                    <w:t>卫生管理</w:t>
                  </w:r>
                </w:p>
              </w:tc>
              <w:tc>
                <w:tcPr>
                  <w:tcW w:w="466" w:type="pct"/>
                  <w:vMerge w:val="restart"/>
                  <w:vAlign w:val="center"/>
                </w:tcPr>
                <w:p w14:paraId="034A4D4A">
                  <w:pPr>
                    <w:autoSpaceDE w:val="0"/>
                    <w:autoSpaceDN w:val="0"/>
                    <w:adjustRightInd w:val="0"/>
                    <w:snapToGrid w:val="0"/>
                    <w:jc w:val="center"/>
                    <w:rPr>
                      <w:color w:val="auto"/>
                      <w:kern w:val="0"/>
                      <w:sz w:val="21"/>
                      <w:szCs w:val="21"/>
                    </w:rPr>
                  </w:pPr>
                  <w:r>
                    <w:rPr>
                      <w:rFonts w:hint="eastAsia"/>
                      <w:color w:val="auto"/>
                      <w:kern w:val="0"/>
                      <w:sz w:val="21"/>
                      <w:szCs w:val="21"/>
                    </w:rPr>
                    <w:t>厂房及设施卫生管理</w:t>
                  </w:r>
                </w:p>
                <w:p w14:paraId="7DEB28A4">
                  <w:pPr>
                    <w:autoSpaceDE w:val="0"/>
                    <w:autoSpaceDN w:val="0"/>
                    <w:adjustRightInd w:val="0"/>
                    <w:snapToGrid w:val="0"/>
                    <w:jc w:val="center"/>
                    <w:rPr>
                      <w:color w:val="auto"/>
                      <w:kern w:val="0"/>
                      <w:sz w:val="21"/>
                      <w:szCs w:val="21"/>
                    </w:rPr>
                  </w:pPr>
                </w:p>
              </w:tc>
              <w:tc>
                <w:tcPr>
                  <w:tcW w:w="1640" w:type="pct"/>
                  <w:vAlign w:val="center"/>
                </w:tcPr>
                <w:p w14:paraId="407D61A3">
                  <w:pPr>
                    <w:autoSpaceDE w:val="0"/>
                    <w:autoSpaceDN w:val="0"/>
                    <w:adjustRightInd w:val="0"/>
                    <w:snapToGrid w:val="0"/>
                    <w:jc w:val="left"/>
                    <w:rPr>
                      <w:rFonts w:hint="eastAsia" w:eastAsia="宋体"/>
                      <w:color w:val="auto"/>
                      <w:kern w:val="0"/>
                      <w:sz w:val="21"/>
                      <w:szCs w:val="21"/>
                      <w:lang w:eastAsia="zh-CN"/>
                    </w:rPr>
                  </w:pPr>
                  <w:r>
                    <w:rPr>
                      <w:rFonts w:hint="eastAsia"/>
                      <w:color w:val="auto"/>
                      <w:kern w:val="0"/>
                      <w:sz w:val="21"/>
                      <w:szCs w:val="21"/>
                    </w:rPr>
                    <w:t xml:space="preserve">1、厂房内各项设施应保持清洁，出现问题及时维修或更新；厂房地面、屋顶、天花板及墙壁有破损时，应及时修补。 </w:t>
                  </w:r>
                </w:p>
              </w:tc>
              <w:tc>
                <w:tcPr>
                  <w:tcW w:w="1977" w:type="pct"/>
                  <w:vAlign w:val="center"/>
                </w:tcPr>
                <w:p w14:paraId="2CF1D591">
                  <w:pPr>
                    <w:autoSpaceDE w:val="0"/>
                    <w:autoSpaceDN w:val="0"/>
                    <w:adjustRightInd w:val="0"/>
                    <w:snapToGrid w:val="0"/>
                    <w:jc w:val="left"/>
                    <w:rPr>
                      <w:rFonts w:hint="default" w:eastAsia="宋体"/>
                      <w:color w:val="auto"/>
                      <w:kern w:val="0"/>
                      <w:sz w:val="21"/>
                      <w:szCs w:val="21"/>
                      <w:lang w:val="en-US" w:eastAsia="zh-CN"/>
                    </w:rPr>
                  </w:pPr>
                  <w:r>
                    <w:rPr>
                      <w:rFonts w:hint="eastAsia"/>
                      <w:color w:val="auto"/>
                      <w:kern w:val="0"/>
                      <w:sz w:val="21"/>
                      <w:szCs w:val="21"/>
                      <w:lang w:val="en-US" w:eastAsia="zh-CN"/>
                    </w:rPr>
                    <w:t>项目按要求进行生产车间的清洁、生产设备的维修及更新、厂房地面、屋顶及天花板的修补。</w:t>
                  </w:r>
                </w:p>
              </w:tc>
              <w:tc>
                <w:tcPr>
                  <w:tcW w:w="543" w:type="pct"/>
                  <w:vAlign w:val="center"/>
                </w:tcPr>
                <w:p w14:paraId="54E72F8B">
                  <w:pPr>
                    <w:autoSpaceDE w:val="0"/>
                    <w:autoSpaceDN w:val="0"/>
                    <w:adjustRightInd w:val="0"/>
                    <w:snapToGrid w:val="0"/>
                    <w:jc w:val="center"/>
                    <w:rPr>
                      <w:rFonts w:hint="default"/>
                      <w:color w:val="auto"/>
                      <w:kern w:val="0"/>
                      <w:sz w:val="21"/>
                      <w:szCs w:val="21"/>
                      <w:lang w:val="en-US" w:eastAsia="zh-CN"/>
                    </w:rPr>
                  </w:pPr>
                  <w:r>
                    <w:rPr>
                      <w:rFonts w:hint="eastAsia"/>
                      <w:color w:val="auto"/>
                      <w:kern w:val="0"/>
                      <w:sz w:val="21"/>
                      <w:szCs w:val="21"/>
                      <w:lang w:val="en-US" w:eastAsia="zh-CN"/>
                    </w:rPr>
                    <w:t>符合</w:t>
                  </w:r>
                </w:p>
              </w:tc>
            </w:tr>
            <w:tr w14:paraId="76FF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12292235">
                  <w:pPr>
                    <w:autoSpaceDE w:val="0"/>
                    <w:autoSpaceDN w:val="0"/>
                    <w:adjustRightInd w:val="0"/>
                    <w:snapToGrid w:val="0"/>
                    <w:jc w:val="center"/>
                    <w:rPr>
                      <w:rFonts w:hint="eastAsia"/>
                      <w:color w:val="auto"/>
                      <w:kern w:val="0"/>
                      <w:sz w:val="21"/>
                      <w:szCs w:val="21"/>
                    </w:rPr>
                  </w:pPr>
                </w:p>
              </w:tc>
              <w:tc>
                <w:tcPr>
                  <w:tcW w:w="466" w:type="pct"/>
                  <w:vMerge w:val="continue"/>
                  <w:vAlign w:val="center"/>
                </w:tcPr>
                <w:p w14:paraId="71E36AFC">
                  <w:pPr>
                    <w:autoSpaceDE w:val="0"/>
                    <w:autoSpaceDN w:val="0"/>
                    <w:adjustRightInd w:val="0"/>
                    <w:snapToGrid w:val="0"/>
                    <w:jc w:val="center"/>
                    <w:rPr>
                      <w:color w:val="auto"/>
                      <w:kern w:val="0"/>
                      <w:sz w:val="21"/>
                      <w:szCs w:val="21"/>
                    </w:rPr>
                  </w:pPr>
                </w:p>
              </w:tc>
              <w:tc>
                <w:tcPr>
                  <w:tcW w:w="1640" w:type="pct"/>
                  <w:vAlign w:val="center"/>
                </w:tcPr>
                <w:p w14:paraId="22BFCB75">
                  <w:pPr>
                    <w:autoSpaceDE w:val="0"/>
                    <w:autoSpaceDN w:val="0"/>
                    <w:adjustRightInd w:val="0"/>
                    <w:snapToGrid w:val="0"/>
                    <w:jc w:val="left"/>
                    <w:rPr>
                      <w:rFonts w:hint="eastAsia"/>
                      <w:color w:val="auto"/>
                      <w:kern w:val="0"/>
                      <w:sz w:val="21"/>
                      <w:szCs w:val="21"/>
                    </w:rPr>
                  </w:pPr>
                  <w:r>
                    <w:rPr>
                      <w:rFonts w:hint="eastAsia"/>
                      <w:color w:val="auto"/>
                      <w:kern w:val="0"/>
                      <w:sz w:val="21"/>
                      <w:szCs w:val="21"/>
                    </w:rPr>
                    <w:t>2、生产、包装、贮存等设备及工器具、生产用管道、裸露食品接触表面等应定期清洁消毒</w:t>
                  </w:r>
                  <w:r>
                    <w:rPr>
                      <w:rFonts w:hint="eastAsia"/>
                      <w:color w:val="auto"/>
                      <w:kern w:val="0"/>
                      <w:sz w:val="21"/>
                      <w:szCs w:val="21"/>
                      <w:lang w:eastAsia="zh-CN"/>
                    </w:rPr>
                    <w:t>。</w:t>
                  </w:r>
                </w:p>
              </w:tc>
              <w:tc>
                <w:tcPr>
                  <w:tcW w:w="1977" w:type="pct"/>
                  <w:vAlign w:val="center"/>
                </w:tcPr>
                <w:p w14:paraId="62CE301D">
                  <w:pPr>
                    <w:autoSpaceDE w:val="0"/>
                    <w:autoSpaceDN w:val="0"/>
                    <w:adjustRightInd w:val="0"/>
                    <w:snapToGrid w:val="0"/>
                    <w:jc w:val="left"/>
                    <w:rPr>
                      <w:rFonts w:hint="eastAsia"/>
                      <w:color w:val="auto"/>
                      <w:kern w:val="0"/>
                      <w:sz w:val="21"/>
                      <w:szCs w:val="21"/>
                      <w:lang w:val="en-US" w:eastAsia="zh-CN"/>
                    </w:rPr>
                  </w:pPr>
                  <w:r>
                    <w:rPr>
                      <w:rFonts w:hint="eastAsia"/>
                      <w:color w:val="auto"/>
                      <w:kern w:val="0"/>
                      <w:sz w:val="21"/>
                      <w:szCs w:val="21"/>
                      <w:lang w:val="en-US" w:eastAsia="zh-CN"/>
                    </w:rPr>
                    <w:t>项目</w:t>
                  </w:r>
                  <w:r>
                    <w:rPr>
                      <w:rFonts w:hint="eastAsia"/>
                      <w:color w:val="auto"/>
                      <w:kern w:val="0"/>
                      <w:sz w:val="21"/>
                      <w:szCs w:val="21"/>
                    </w:rPr>
                    <w:t>生产、包装、贮存等设备及工器具、生产用管道、裸露食品接触表面等</w:t>
                  </w:r>
                  <w:r>
                    <w:rPr>
                      <w:rFonts w:hint="eastAsia"/>
                      <w:color w:val="auto"/>
                      <w:kern w:val="0"/>
                      <w:sz w:val="21"/>
                      <w:szCs w:val="21"/>
                      <w:lang w:val="en-US" w:eastAsia="zh-CN"/>
                    </w:rPr>
                    <w:t>已按要求进行</w:t>
                  </w:r>
                  <w:r>
                    <w:rPr>
                      <w:rFonts w:hint="eastAsia"/>
                      <w:color w:val="auto"/>
                      <w:kern w:val="0"/>
                      <w:sz w:val="21"/>
                      <w:szCs w:val="21"/>
                    </w:rPr>
                    <w:t>定期清洁消毒</w:t>
                  </w:r>
                  <w:r>
                    <w:rPr>
                      <w:rFonts w:hint="eastAsia"/>
                      <w:color w:val="auto"/>
                      <w:kern w:val="0"/>
                      <w:sz w:val="21"/>
                      <w:szCs w:val="21"/>
                      <w:lang w:eastAsia="zh-CN"/>
                    </w:rPr>
                    <w:t>。</w:t>
                  </w:r>
                </w:p>
              </w:tc>
              <w:tc>
                <w:tcPr>
                  <w:tcW w:w="543" w:type="pct"/>
                  <w:vAlign w:val="center"/>
                </w:tcPr>
                <w:p w14:paraId="2173152B">
                  <w:pPr>
                    <w:autoSpaceDE w:val="0"/>
                    <w:autoSpaceDN w:val="0"/>
                    <w:adjustRightInd w:val="0"/>
                    <w:snapToGrid w:val="0"/>
                    <w:jc w:val="center"/>
                    <w:rPr>
                      <w:rFonts w:hint="default"/>
                      <w:color w:val="auto"/>
                      <w:kern w:val="0"/>
                      <w:sz w:val="21"/>
                      <w:szCs w:val="21"/>
                      <w:lang w:val="en-US" w:eastAsia="zh-CN"/>
                    </w:rPr>
                  </w:pPr>
                  <w:r>
                    <w:rPr>
                      <w:rFonts w:hint="eastAsia"/>
                      <w:color w:val="auto"/>
                      <w:kern w:val="0"/>
                      <w:sz w:val="21"/>
                      <w:szCs w:val="21"/>
                      <w:lang w:val="en-US" w:eastAsia="zh-CN"/>
                    </w:rPr>
                    <w:t>符合</w:t>
                  </w:r>
                </w:p>
              </w:tc>
            </w:tr>
            <w:tr w14:paraId="6746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76CA4BD3">
                  <w:pPr>
                    <w:autoSpaceDE w:val="0"/>
                    <w:autoSpaceDN w:val="0"/>
                    <w:adjustRightInd w:val="0"/>
                    <w:snapToGrid w:val="0"/>
                    <w:jc w:val="center"/>
                    <w:rPr>
                      <w:color w:val="auto"/>
                      <w:kern w:val="0"/>
                      <w:sz w:val="21"/>
                      <w:szCs w:val="21"/>
                    </w:rPr>
                  </w:pPr>
                </w:p>
              </w:tc>
              <w:tc>
                <w:tcPr>
                  <w:tcW w:w="466" w:type="pct"/>
                  <w:vMerge w:val="restart"/>
                  <w:vAlign w:val="center"/>
                </w:tcPr>
                <w:p w14:paraId="72B3E95C">
                  <w:pPr>
                    <w:autoSpaceDE w:val="0"/>
                    <w:autoSpaceDN w:val="0"/>
                    <w:adjustRightInd w:val="0"/>
                    <w:snapToGrid w:val="0"/>
                    <w:jc w:val="center"/>
                    <w:rPr>
                      <w:color w:val="auto"/>
                      <w:kern w:val="0"/>
                      <w:sz w:val="21"/>
                      <w:szCs w:val="21"/>
                    </w:rPr>
                  </w:pPr>
                  <w:r>
                    <w:rPr>
                      <w:rFonts w:hint="eastAsia"/>
                      <w:color w:val="auto"/>
                      <w:kern w:val="0"/>
                      <w:sz w:val="21"/>
                      <w:szCs w:val="21"/>
                    </w:rPr>
                    <w:t>工作服管理</w:t>
                  </w:r>
                </w:p>
                <w:p w14:paraId="6DE9D164">
                  <w:pPr>
                    <w:autoSpaceDE w:val="0"/>
                    <w:autoSpaceDN w:val="0"/>
                    <w:adjustRightInd w:val="0"/>
                    <w:snapToGrid w:val="0"/>
                    <w:jc w:val="center"/>
                    <w:rPr>
                      <w:color w:val="auto"/>
                      <w:kern w:val="0"/>
                      <w:sz w:val="21"/>
                      <w:szCs w:val="21"/>
                    </w:rPr>
                  </w:pPr>
                </w:p>
              </w:tc>
              <w:tc>
                <w:tcPr>
                  <w:tcW w:w="1640" w:type="pct"/>
                  <w:vAlign w:val="center"/>
                </w:tcPr>
                <w:p w14:paraId="55C745E2">
                  <w:pPr>
                    <w:autoSpaceDE w:val="0"/>
                    <w:autoSpaceDN w:val="0"/>
                    <w:adjustRightInd w:val="0"/>
                    <w:snapToGrid w:val="0"/>
                    <w:jc w:val="left"/>
                    <w:rPr>
                      <w:color w:val="auto"/>
                      <w:kern w:val="0"/>
                      <w:sz w:val="21"/>
                      <w:szCs w:val="21"/>
                    </w:rPr>
                  </w:pPr>
                  <w:r>
                    <w:rPr>
                      <w:rFonts w:hint="eastAsia"/>
                      <w:color w:val="auto"/>
                      <w:kern w:val="0"/>
                      <w:sz w:val="21"/>
                      <w:szCs w:val="21"/>
                    </w:rPr>
                    <w:t xml:space="preserve">1、进入作业区域应穿着工作服。 </w:t>
                  </w:r>
                </w:p>
              </w:tc>
              <w:tc>
                <w:tcPr>
                  <w:tcW w:w="1977" w:type="pct"/>
                  <w:vAlign w:val="center"/>
                </w:tcPr>
                <w:p w14:paraId="70F449C9">
                  <w:pPr>
                    <w:numPr>
                      <w:ilvl w:val="0"/>
                      <w:numId w:val="0"/>
                    </w:numP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员工进入生产车间按要求穿着工作服。</w:t>
                  </w:r>
                </w:p>
              </w:tc>
              <w:tc>
                <w:tcPr>
                  <w:tcW w:w="543" w:type="pct"/>
                  <w:vAlign w:val="center"/>
                </w:tcPr>
                <w:p w14:paraId="3375C142">
                  <w:pPr>
                    <w:numPr>
                      <w:ilvl w:val="0"/>
                      <w:numId w:val="0"/>
                    </w:numPr>
                    <w:jc w:val="center"/>
                    <w:rPr>
                      <w:rFonts w:hint="eastAsia" w:eastAsia="宋体"/>
                      <w:color w:val="auto"/>
                      <w:kern w:val="0"/>
                      <w:sz w:val="21"/>
                      <w:szCs w:val="21"/>
                      <w:lang w:val="en-US" w:eastAsia="zh-CN"/>
                    </w:rPr>
                  </w:pPr>
                  <w:r>
                    <w:rPr>
                      <w:rFonts w:hint="eastAsia"/>
                      <w:color w:val="auto"/>
                      <w:kern w:val="0"/>
                      <w:sz w:val="21"/>
                      <w:szCs w:val="21"/>
                      <w:lang w:val="en-US" w:eastAsia="zh-CN"/>
                    </w:rPr>
                    <w:t>符合</w:t>
                  </w:r>
                </w:p>
              </w:tc>
            </w:tr>
            <w:tr w14:paraId="2DA1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5CC71D8D">
                  <w:pPr>
                    <w:autoSpaceDE w:val="0"/>
                    <w:autoSpaceDN w:val="0"/>
                    <w:adjustRightInd w:val="0"/>
                    <w:snapToGrid w:val="0"/>
                    <w:jc w:val="center"/>
                    <w:rPr>
                      <w:color w:val="auto"/>
                      <w:kern w:val="0"/>
                      <w:sz w:val="21"/>
                      <w:szCs w:val="21"/>
                    </w:rPr>
                  </w:pPr>
                </w:p>
              </w:tc>
              <w:tc>
                <w:tcPr>
                  <w:tcW w:w="466" w:type="pct"/>
                  <w:vMerge w:val="continue"/>
                  <w:vAlign w:val="center"/>
                </w:tcPr>
                <w:p w14:paraId="30BB53C6">
                  <w:pPr>
                    <w:autoSpaceDE w:val="0"/>
                    <w:autoSpaceDN w:val="0"/>
                    <w:adjustRightInd w:val="0"/>
                    <w:snapToGrid w:val="0"/>
                    <w:jc w:val="center"/>
                    <w:rPr>
                      <w:color w:val="auto"/>
                      <w:kern w:val="0"/>
                      <w:sz w:val="21"/>
                      <w:szCs w:val="21"/>
                    </w:rPr>
                  </w:pPr>
                </w:p>
              </w:tc>
              <w:tc>
                <w:tcPr>
                  <w:tcW w:w="1640" w:type="pct"/>
                  <w:vAlign w:val="center"/>
                </w:tcPr>
                <w:p w14:paraId="38ED2B37">
                  <w:pPr>
                    <w:autoSpaceDE w:val="0"/>
                    <w:autoSpaceDN w:val="0"/>
                    <w:adjustRightInd w:val="0"/>
                    <w:snapToGrid w:val="0"/>
                    <w:jc w:val="left"/>
                    <w:rPr>
                      <w:rFonts w:hint="eastAsia"/>
                      <w:color w:val="auto"/>
                      <w:kern w:val="0"/>
                      <w:sz w:val="21"/>
                      <w:szCs w:val="21"/>
                    </w:rPr>
                  </w:pPr>
                  <w:r>
                    <w:rPr>
                      <w:rFonts w:hint="eastAsia"/>
                      <w:color w:val="auto"/>
                      <w:kern w:val="0"/>
                      <w:sz w:val="21"/>
                      <w:szCs w:val="21"/>
                    </w:rPr>
                    <w:t xml:space="preserve">2、应根据食品的特点及生产工艺的要求配备专用工作服，如衣、裤、鞋靴、帽和发网等，必要时还配备口罩、围裙、套袖、手套等。  </w:t>
                  </w:r>
                </w:p>
              </w:tc>
              <w:tc>
                <w:tcPr>
                  <w:tcW w:w="1977" w:type="pct"/>
                  <w:vAlign w:val="center"/>
                </w:tcPr>
                <w:p w14:paraId="65702555">
                  <w:pPr>
                    <w:numPr>
                      <w:ilvl w:val="0"/>
                      <w:numId w:val="0"/>
                    </w:numPr>
                    <w:rPr>
                      <w:rFonts w:hint="eastAsia" w:eastAsia="宋体"/>
                      <w:color w:val="auto"/>
                      <w:kern w:val="0"/>
                      <w:sz w:val="21"/>
                      <w:szCs w:val="21"/>
                      <w:lang w:eastAsia="zh-CN"/>
                    </w:rPr>
                  </w:pPr>
                  <w:r>
                    <w:rPr>
                      <w:rFonts w:hint="eastAsia"/>
                      <w:color w:val="auto"/>
                      <w:kern w:val="0"/>
                      <w:sz w:val="21"/>
                      <w:szCs w:val="21"/>
                      <w:lang w:val="en-US" w:eastAsia="zh-CN"/>
                    </w:rPr>
                    <w:t>项目已</w:t>
                  </w:r>
                  <w:r>
                    <w:rPr>
                      <w:rFonts w:hint="eastAsia"/>
                      <w:color w:val="auto"/>
                      <w:kern w:val="0"/>
                      <w:sz w:val="21"/>
                      <w:szCs w:val="21"/>
                    </w:rPr>
                    <w:t>根据食品的特点及生产工艺的要求配备</w:t>
                  </w:r>
                  <w:r>
                    <w:rPr>
                      <w:rFonts w:hint="eastAsia"/>
                      <w:color w:val="auto"/>
                      <w:kern w:val="0"/>
                      <w:sz w:val="21"/>
                      <w:szCs w:val="21"/>
                      <w:lang w:val="en-US" w:eastAsia="zh-CN"/>
                    </w:rPr>
                    <w:t>相应的</w:t>
                  </w:r>
                  <w:r>
                    <w:rPr>
                      <w:rFonts w:hint="eastAsia"/>
                      <w:color w:val="auto"/>
                      <w:kern w:val="0"/>
                      <w:sz w:val="21"/>
                      <w:szCs w:val="21"/>
                    </w:rPr>
                    <w:t>专用工作服</w:t>
                  </w:r>
                  <w:r>
                    <w:rPr>
                      <w:rFonts w:hint="eastAsia"/>
                      <w:color w:val="auto"/>
                      <w:kern w:val="0"/>
                      <w:sz w:val="21"/>
                      <w:szCs w:val="21"/>
                      <w:lang w:eastAsia="zh-CN"/>
                    </w:rPr>
                    <w:t>。</w:t>
                  </w:r>
                </w:p>
              </w:tc>
              <w:tc>
                <w:tcPr>
                  <w:tcW w:w="543" w:type="pct"/>
                  <w:vAlign w:val="center"/>
                </w:tcPr>
                <w:p w14:paraId="78904A21">
                  <w:pPr>
                    <w:numPr>
                      <w:ilvl w:val="0"/>
                      <w:numId w:val="0"/>
                    </w:numPr>
                    <w:jc w:val="center"/>
                    <w:rPr>
                      <w:rFonts w:hint="eastAsia" w:eastAsia="宋体"/>
                      <w:color w:val="auto"/>
                      <w:kern w:val="0"/>
                      <w:sz w:val="21"/>
                      <w:szCs w:val="21"/>
                      <w:lang w:val="en-US" w:eastAsia="zh-CN"/>
                    </w:rPr>
                  </w:pPr>
                  <w:r>
                    <w:rPr>
                      <w:rFonts w:hint="eastAsia"/>
                      <w:color w:val="auto"/>
                      <w:kern w:val="0"/>
                      <w:sz w:val="21"/>
                      <w:szCs w:val="21"/>
                      <w:lang w:val="en-US" w:eastAsia="zh-CN"/>
                    </w:rPr>
                    <w:t>符合</w:t>
                  </w:r>
                </w:p>
              </w:tc>
            </w:tr>
            <w:tr w14:paraId="1C40D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1D3705A8">
                  <w:pPr>
                    <w:autoSpaceDE w:val="0"/>
                    <w:autoSpaceDN w:val="0"/>
                    <w:adjustRightInd w:val="0"/>
                    <w:snapToGrid w:val="0"/>
                    <w:jc w:val="center"/>
                    <w:rPr>
                      <w:color w:val="auto"/>
                      <w:kern w:val="0"/>
                      <w:sz w:val="21"/>
                      <w:szCs w:val="21"/>
                    </w:rPr>
                  </w:pPr>
                </w:p>
              </w:tc>
              <w:tc>
                <w:tcPr>
                  <w:tcW w:w="466" w:type="pct"/>
                  <w:vMerge w:val="continue"/>
                  <w:vAlign w:val="center"/>
                </w:tcPr>
                <w:p w14:paraId="0E4B0BF6">
                  <w:pPr>
                    <w:autoSpaceDE w:val="0"/>
                    <w:autoSpaceDN w:val="0"/>
                    <w:adjustRightInd w:val="0"/>
                    <w:snapToGrid w:val="0"/>
                    <w:jc w:val="center"/>
                    <w:rPr>
                      <w:color w:val="auto"/>
                      <w:kern w:val="0"/>
                      <w:sz w:val="21"/>
                      <w:szCs w:val="21"/>
                    </w:rPr>
                  </w:pPr>
                </w:p>
              </w:tc>
              <w:tc>
                <w:tcPr>
                  <w:tcW w:w="1640" w:type="pct"/>
                  <w:vAlign w:val="center"/>
                </w:tcPr>
                <w:p w14:paraId="71D66FDA">
                  <w:pPr>
                    <w:autoSpaceDE w:val="0"/>
                    <w:autoSpaceDN w:val="0"/>
                    <w:adjustRightInd w:val="0"/>
                    <w:snapToGrid w:val="0"/>
                    <w:jc w:val="left"/>
                    <w:rPr>
                      <w:rFonts w:hint="eastAsia"/>
                      <w:color w:val="auto"/>
                      <w:kern w:val="0"/>
                      <w:sz w:val="21"/>
                      <w:szCs w:val="21"/>
                    </w:rPr>
                  </w:pPr>
                  <w:r>
                    <w:rPr>
                      <w:rFonts w:hint="eastAsia"/>
                      <w:color w:val="auto"/>
                      <w:kern w:val="0"/>
                      <w:sz w:val="21"/>
                      <w:szCs w:val="21"/>
                    </w:rPr>
                    <w:t xml:space="preserve">3、 应制定工作服的清洗保洁制度，必要时应及时更换；生产中应注意保持工作服干净完好。 </w:t>
                  </w:r>
                </w:p>
              </w:tc>
              <w:tc>
                <w:tcPr>
                  <w:tcW w:w="1977" w:type="pct"/>
                  <w:vAlign w:val="center"/>
                </w:tcPr>
                <w:p w14:paraId="67941D56">
                  <w:pPr>
                    <w:numPr>
                      <w:ilvl w:val="0"/>
                      <w:numId w:val="0"/>
                    </w:numPr>
                    <w:rPr>
                      <w:rFonts w:hint="eastAsia"/>
                      <w:color w:val="auto"/>
                      <w:kern w:val="0"/>
                      <w:sz w:val="21"/>
                      <w:szCs w:val="21"/>
                    </w:rPr>
                  </w:pPr>
                  <w:r>
                    <w:rPr>
                      <w:rFonts w:hint="eastAsia"/>
                      <w:color w:val="auto"/>
                      <w:kern w:val="0"/>
                      <w:sz w:val="21"/>
                      <w:szCs w:val="21"/>
                      <w:lang w:val="en-US" w:eastAsia="zh-CN"/>
                    </w:rPr>
                    <w:t>项目按要求</w:t>
                  </w:r>
                  <w:r>
                    <w:rPr>
                      <w:rFonts w:hint="eastAsia"/>
                      <w:color w:val="auto"/>
                      <w:kern w:val="0"/>
                      <w:sz w:val="21"/>
                      <w:szCs w:val="21"/>
                    </w:rPr>
                    <w:t>制定工作服的清洗保洁制度，必要时应及时更换；生产中应注意保持工作服干净完好。</w:t>
                  </w:r>
                </w:p>
              </w:tc>
              <w:tc>
                <w:tcPr>
                  <w:tcW w:w="543" w:type="pct"/>
                  <w:vAlign w:val="center"/>
                </w:tcPr>
                <w:p w14:paraId="1D874975">
                  <w:pPr>
                    <w:numPr>
                      <w:ilvl w:val="0"/>
                      <w:numId w:val="0"/>
                    </w:numPr>
                    <w:jc w:val="center"/>
                    <w:rPr>
                      <w:rFonts w:hint="eastAsia" w:eastAsia="宋体"/>
                      <w:color w:val="auto"/>
                      <w:kern w:val="0"/>
                      <w:sz w:val="21"/>
                      <w:szCs w:val="21"/>
                      <w:lang w:val="en-US" w:eastAsia="zh-CN"/>
                    </w:rPr>
                  </w:pPr>
                  <w:r>
                    <w:rPr>
                      <w:rFonts w:hint="eastAsia"/>
                      <w:color w:val="auto"/>
                      <w:kern w:val="0"/>
                      <w:sz w:val="21"/>
                      <w:szCs w:val="21"/>
                      <w:lang w:val="en-US" w:eastAsia="zh-CN"/>
                    </w:rPr>
                    <w:t>符合</w:t>
                  </w:r>
                </w:p>
              </w:tc>
            </w:tr>
            <w:tr w14:paraId="2837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14:paraId="65CBE28A">
                  <w:pPr>
                    <w:autoSpaceDE w:val="0"/>
                    <w:autoSpaceDN w:val="0"/>
                    <w:adjustRightInd w:val="0"/>
                    <w:snapToGrid w:val="0"/>
                    <w:jc w:val="center"/>
                    <w:rPr>
                      <w:color w:val="auto"/>
                      <w:kern w:val="0"/>
                      <w:sz w:val="21"/>
                      <w:szCs w:val="21"/>
                    </w:rPr>
                  </w:pPr>
                </w:p>
              </w:tc>
              <w:tc>
                <w:tcPr>
                  <w:tcW w:w="466" w:type="pct"/>
                  <w:vMerge w:val="continue"/>
                  <w:vAlign w:val="center"/>
                </w:tcPr>
                <w:p w14:paraId="602A26D3">
                  <w:pPr>
                    <w:autoSpaceDE w:val="0"/>
                    <w:autoSpaceDN w:val="0"/>
                    <w:adjustRightInd w:val="0"/>
                    <w:snapToGrid w:val="0"/>
                    <w:jc w:val="center"/>
                    <w:rPr>
                      <w:color w:val="auto"/>
                      <w:kern w:val="0"/>
                      <w:sz w:val="21"/>
                      <w:szCs w:val="21"/>
                    </w:rPr>
                  </w:pPr>
                </w:p>
              </w:tc>
              <w:tc>
                <w:tcPr>
                  <w:tcW w:w="1640" w:type="pct"/>
                  <w:vAlign w:val="center"/>
                </w:tcPr>
                <w:p w14:paraId="53D3AC54">
                  <w:pPr>
                    <w:autoSpaceDE w:val="0"/>
                    <w:autoSpaceDN w:val="0"/>
                    <w:adjustRightInd w:val="0"/>
                    <w:snapToGrid w:val="0"/>
                    <w:jc w:val="left"/>
                    <w:rPr>
                      <w:rFonts w:hint="eastAsia"/>
                      <w:color w:val="auto"/>
                      <w:kern w:val="0"/>
                      <w:sz w:val="21"/>
                      <w:szCs w:val="21"/>
                    </w:rPr>
                  </w:pPr>
                  <w:r>
                    <w:rPr>
                      <w:rFonts w:hint="eastAsia"/>
                      <w:color w:val="auto"/>
                      <w:kern w:val="0"/>
                      <w:sz w:val="21"/>
                      <w:szCs w:val="21"/>
                    </w:rPr>
                    <w:t>4、工作服的设计、选材和制作应适应不同作业区的要求，降低交叉污染食品的风险；应合理选择工作服口袋的位置、使用的连接扣件等，降低内容物或扣件掉落污染食品的风险。</w:t>
                  </w:r>
                </w:p>
              </w:tc>
              <w:tc>
                <w:tcPr>
                  <w:tcW w:w="1977" w:type="pct"/>
                  <w:vAlign w:val="center"/>
                </w:tcPr>
                <w:p w14:paraId="275F8FE7">
                  <w:pPr>
                    <w:numPr>
                      <w:ilvl w:val="0"/>
                      <w:numId w:val="0"/>
                    </w:numPr>
                    <w:rPr>
                      <w:rFonts w:hint="eastAsia" w:eastAsia="宋体"/>
                      <w:color w:val="auto"/>
                      <w:kern w:val="0"/>
                      <w:sz w:val="21"/>
                      <w:szCs w:val="21"/>
                      <w:lang w:val="en-US" w:eastAsia="zh-CN"/>
                    </w:rPr>
                  </w:pPr>
                  <w:r>
                    <w:rPr>
                      <w:rFonts w:hint="eastAsia"/>
                      <w:color w:val="auto"/>
                      <w:kern w:val="0"/>
                      <w:sz w:val="21"/>
                      <w:szCs w:val="21"/>
                      <w:lang w:val="en-US" w:eastAsia="zh-CN"/>
                    </w:rPr>
                    <w:t>项目已按要求设计工作服，降低</w:t>
                  </w:r>
                  <w:r>
                    <w:rPr>
                      <w:rFonts w:hint="eastAsia"/>
                      <w:color w:val="auto"/>
                      <w:kern w:val="0"/>
                      <w:sz w:val="21"/>
                      <w:szCs w:val="21"/>
                    </w:rPr>
                    <w:t>交叉污染食品的风险</w:t>
                  </w:r>
                  <w:r>
                    <w:rPr>
                      <w:rFonts w:hint="eastAsia"/>
                      <w:color w:val="auto"/>
                      <w:kern w:val="0"/>
                      <w:sz w:val="21"/>
                      <w:szCs w:val="21"/>
                      <w:lang w:val="en-US" w:eastAsia="zh-CN"/>
                    </w:rPr>
                    <w:t>及</w:t>
                  </w:r>
                  <w:r>
                    <w:rPr>
                      <w:rFonts w:hint="eastAsia"/>
                      <w:color w:val="auto"/>
                      <w:kern w:val="0"/>
                      <w:sz w:val="21"/>
                      <w:szCs w:val="21"/>
                    </w:rPr>
                    <w:t>内容物或扣件掉落污染食品的风险。</w:t>
                  </w:r>
                </w:p>
              </w:tc>
              <w:tc>
                <w:tcPr>
                  <w:tcW w:w="543" w:type="pct"/>
                  <w:vAlign w:val="center"/>
                </w:tcPr>
                <w:p w14:paraId="011DD24A">
                  <w:pPr>
                    <w:numPr>
                      <w:ilvl w:val="0"/>
                      <w:numId w:val="0"/>
                    </w:numPr>
                    <w:jc w:val="center"/>
                    <w:rPr>
                      <w:rFonts w:hint="eastAsia" w:eastAsia="宋体"/>
                      <w:color w:val="auto"/>
                      <w:kern w:val="0"/>
                      <w:sz w:val="21"/>
                      <w:szCs w:val="21"/>
                      <w:lang w:val="en-US" w:eastAsia="zh-CN"/>
                    </w:rPr>
                  </w:pPr>
                  <w:r>
                    <w:rPr>
                      <w:rFonts w:hint="eastAsia"/>
                      <w:color w:val="auto"/>
                      <w:kern w:val="0"/>
                      <w:sz w:val="21"/>
                      <w:szCs w:val="21"/>
                      <w:lang w:val="en-US" w:eastAsia="zh-CN"/>
                    </w:rPr>
                    <w:t>符合</w:t>
                  </w:r>
                </w:p>
              </w:tc>
            </w:tr>
            <w:tr w14:paraId="7F11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372" w:type="pct"/>
                  <w:vMerge w:val="continue"/>
                  <w:vAlign w:val="center"/>
                </w:tcPr>
                <w:p w14:paraId="5C115143">
                  <w:pPr>
                    <w:autoSpaceDE w:val="0"/>
                    <w:autoSpaceDN w:val="0"/>
                    <w:adjustRightInd w:val="0"/>
                    <w:snapToGrid w:val="0"/>
                    <w:jc w:val="center"/>
                    <w:rPr>
                      <w:color w:val="auto"/>
                      <w:kern w:val="0"/>
                      <w:sz w:val="21"/>
                      <w:szCs w:val="21"/>
                    </w:rPr>
                  </w:pPr>
                </w:p>
              </w:tc>
              <w:tc>
                <w:tcPr>
                  <w:tcW w:w="466" w:type="pct"/>
                  <w:vMerge w:val="restart"/>
                  <w:vAlign w:val="center"/>
                </w:tcPr>
                <w:p w14:paraId="702079BC">
                  <w:pPr>
                    <w:autoSpaceDE w:val="0"/>
                    <w:autoSpaceDN w:val="0"/>
                    <w:adjustRightInd w:val="0"/>
                    <w:snapToGrid w:val="0"/>
                    <w:jc w:val="center"/>
                    <w:rPr>
                      <w:color w:val="auto"/>
                      <w:kern w:val="0"/>
                      <w:sz w:val="21"/>
                      <w:szCs w:val="21"/>
                    </w:rPr>
                  </w:pPr>
                  <w:r>
                    <w:rPr>
                      <w:rFonts w:hint="eastAsia"/>
                      <w:color w:val="auto"/>
                      <w:kern w:val="0"/>
                      <w:sz w:val="21"/>
                      <w:szCs w:val="21"/>
                    </w:rPr>
                    <w:t>废弃物处理</w:t>
                  </w:r>
                </w:p>
                <w:p w14:paraId="5F72E158">
                  <w:pPr>
                    <w:autoSpaceDE w:val="0"/>
                    <w:autoSpaceDN w:val="0"/>
                    <w:adjustRightInd w:val="0"/>
                    <w:snapToGrid w:val="0"/>
                    <w:jc w:val="center"/>
                    <w:rPr>
                      <w:color w:val="auto"/>
                      <w:kern w:val="0"/>
                      <w:sz w:val="21"/>
                      <w:szCs w:val="21"/>
                    </w:rPr>
                  </w:pPr>
                </w:p>
              </w:tc>
              <w:tc>
                <w:tcPr>
                  <w:tcW w:w="1640" w:type="pct"/>
                  <w:vAlign w:val="center"/>
                </w:tcPr>
                <w:p w14:paraId="6B6F2169">
                  <w:pPr>
                    <w:autoSpaceDE w:val="0"/>
                    <w:autoSpaceDN w:val="0"/>
                    <w:adjustRightInd w:val="0"/>
                    <w:snapToGrid w:val="0"/>
                    <w:jc w:val="left"/>
                    <w:rPr>
                      <w:color w:val="auto"/>
                      <w:kern w:val="0"/>
                      <w:sz w:val="21"/>
                      <w:szCs w:val="21"/>
                    </w:rPr>
                  </w:pPr>
                  <w:r>
                    <w:rPr>
                      <w:rFonts w:hint="eastAsia"/>
                      <w:color w:val="auto"/>
                      <w:kern w:val="0"/>
                      <w:sz w:val="21"/>
                      <w:szCs w:val="21"/>
                    </w:rPr>
                    <w:t>1、应制定废弃物存放和清除制度，有特殊要求的废弃</w:t>
                  </w:r>
                  <w:r>
                    <w:rPr>
                      <w:rFonts w:hint="eastAsia"/>
                      <w:color w:val="auto"/>
                      <w:kern w:val="0"/>
                      <w:sz w:val="21"/>
                      <w:szCs w:val="21"/>
                      <w:lang w:eastAsia="zh-CN"/>
                    </w:rPr>
                    <w:t>物及</w:t>
                  </w:r>
                  <w:r>
                    <w:rPr>
                      <w:rFonts w:hint="eastAsia"/>
                      <w:color w:val="auto"/>
                      <w:kern w:val="0"/>
                      <w:sz w:val="21"/>
                      <w:szCs w:val="21"/>
                    </w:rPr>
                    <w:t xml:space="preserve">其处理方式应符合有关规定。废弃物应定期清除；易腐败的废弃物应尽快清除；必要时应及时清除废弃物。 </w:t>
                  </w:r>
                </w:p>
              </w:tc>
              <w:tc>
                <w:tcPr>
                  <w:tcW w:w="1977" w:type="pct"/>
                  <w:vAlign w:val="center"/>
                </w:tcPr>
                <w:p w14:paraId="028F28F8">
                  <w:pPr>
                    <w:autoSpaceDE w:val="0"/>
                    <w:autoSpaceDN w:val="0"/>
                    <w:adjustRightInd w:val="0"/>
                    <w:snapToGrid w:val="0"/>
                    <w:jc w:val="left"/>
                    <w:rPr>
                      <w:rFonts w:hint="default" w:eastAsia="宋体"/>
                      <w:color w:val="auto"/>
                      <w:kern w:val="0"/>
                      <w:sz w:val="21"/>
                      <w:szCs w:val="21"/>
                      <w:lang w:val="en-US" w:eastAsia="zh-CN"/>
                    </w:rPr>
                  </w:pPr>
                  <w:r>
                    <w:rPr>
                      <w:rFonts w:hint="eastAsia"/>
                      <w:color w:val="auto"/>
                      <w:kern w:val="0"/>
                      <w:sz w:val="21"/>
                      <w:szCs w:val="21"/>
                      <w:lang w:val="en-US" w:eastAsia="zh-CN"/>
                    </w:rPr>
                    <w:t>项目产生的废果、废果皮等废弃物不在厂区内堆存，可做到日产日清；其他废弃物按要求进行定期清除。</w:t>
                  </w:r>
                </w:p>
              </w:tc>
              <w:tc>
                <w:tcPr>
                  <w:tcW w:w="543" w:type="pct"/>
                  <w:vAlign w:val="center"/>
                </w:tcPr>
                <w:p w14:paraId="03DD3741">
                  <w:pPr>
                    <w:autoSpaceDE w:val="0"/>
                    <w:autoSpaceDN w:val="0"/>
                    <w:adjustRightInd w:val="0"/>
                    <w:snapToGrid w:val="0"/>
                    <w:jc w:val="center"/>
                    <w:rPr>
                      <w:rFonts w:hint="eastAsia" w:eastAsia="宋体"/>
                      <w:color w:val="auto"/>
                      <w:kern w:val="0"/>
                      <w:sz w:val="21"/>
                      <w:szCs w:val="21"/>
                      <w:lang w:val="en-US" w:eastAsia="zh-CN"/>
                    </w:rPr>
                  </w:pPr>
                  <w:r>
                    <w:rPr>
                      <w:rFonts w:hint="eastAsia"/>
                      <w:color w:val="auto"/>
                      <w:kern w:val="0"/>
                      <w:sz w:val="21"/>
                      <w:szCs w:val="21"/>
                      <w:lang w:val="en-US" w:eastAsia="zh-CN"/>
                    </w:rPr>
                    <w:t>符合</w:t>
                  </w:r>
                </w:p>
              </w:tc>
            </w:tr>
            <w:tr w14:paraId="6D9D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372" w:type="pct"/>
                  <w:vMerge w:val="continue"/>
                  <w:vAlign w:val="center"/>
                </w:tcPr>
                <w:p w14:paraId="79A933C8">
                  <w:pPr>
                    <w:autoSpaceDE w:val="0"/>
                    <w:autoSpaceDN w:val="0"/>
                    <w:adjustRightInd w:val="0"/>
                    <w:snapToGrid w:val="0"/>
                    <w:jc w:val="center"/>
                    <w:rPr>
                      <w:color w:val="auto"/>
                      <w:kern w:val="0"/>
                      <w:sz w:val="21"/>
                      <w:szCs w:val="21"/>
                    </w:rPr>
                  </w:pPr>
                </w:p>
              </w:tc>
              <w:tc>
                <w:tcPr>
                  <w:tcW w:w="466" w:type="pct"/>
                  <w:vMerge w:val="continue"/>
                  <w:vAlign w:val="center"/>
                </w:tcPr>
                <w:p w14:paraId="5993E8EA">
                  <w:pPr>
                    <w:autoSpaceDE w:val="0"/>
                    <w:autoSpaceDN w:val="0"/>
                    <w:adjustRightInd w:val="0"/>
                    <w:snapToGrid w:val="0"/>
                    <w:jc w:val="center"/>
                    <w:rPr>
                      <w:color w:val="auto"/>
                      <w:kern w:val="0"/>
                      <w:sz w:val="21"/>
                      <w:szCs w:val="21"/>
                    </w:rPr>
                  </w:pPr>
                </w:p>
              </w:tc>
              <w:tc>
                <w:tcPr>
                  <w:tcW w:w="1640" w:type="pct"/>
                  <w:vAlign w:val="center"/>
                </w:tcPr>
                <w:p w14:paraId="2DA880FC">
                  <w:pPr>
                    <w:autoSpaceDE w:val="0"/>
                    <w:autoSpaceDN w:val="0"/>
                    <w:adjustRightInd w:val="0"/>
                    <w:snapToGrid w:val="0"/>
                    <w:jc w:val="left"/>
                    <w:rPr>
                      <w:rFonts w:hint="eastAsia"/>
                      <w:color w:val="auto"/>
                      <w:kern w:val="0"/>
                      <w:sz w:val="21"/>
                      <w:szCs w:val="21"/>
                    </w:rPr>
                  </w:pPr>
                  <w:r>
                    <w:rPr>
                      <w:rFonts w:hint="eastAsia"/>
                      <w:color w:val="auto"/>
                      <w:kern w:val="0"/>
                      <w:sz w:val="21"/>
                      <w:szCs w:val="21"/>
                    </w:rPr>
                    <w:t>2、车间外废弃物放置场所应与食品加工场所隔离防止污染；应防止不良气味或有害有毒气体溢出； 应防止虫害孳生。</w:t>
                  </w:r>
                </w:p>
              </w:tc>
              <w:tc>
                <w:tcPr>
                  <w:tcW w:w="1977" w:type="pct"/>
                  <w:vAlign w:val="center"/>
                </w:tcPr>
                <w:p w14:paraId="2A2BFFA1">
                  <w:pPr>
                    <w:autoSpaceDE w:val="0"/>
                    <w:autoSpaceDN w:val="0"/>
                    <w:adjustRightInd w:val="0"/>
                    <w:snapToGrid w:val="0"/>
                    <w:jc w:val="left"/>
                    <w:rPr>
                      <w:rFonts w:hint="default" w:eastAsia="宋体"/>
                      <w:color w:val="auto"/>
                      <w:kern w:val="0"/>
                      <w:sz w:val="21"/>
                      <w:szCs w:val="21"/>
                      <w:lang w:val="en-US" w:eastAsia="zh-CN"/>
                    </w:rPr>
                  </w:pPr>
                  <w:r>
                    <w:rPr>
                      <w:rFonts w:hint="eastAsia"/>
                      <w:color w:val="auto"/>
                      <w:kern w:val="0"/>
                      <w:sz w:val="21"/>
                      <w:szCs w:val="21"/>
                      <w:lang w:val="en-US" w:eastAsia="zh-CN"/>
                    </w:rPr>
                    <w:t>项目</w:t>
                  </w:r>
                  <w:r>
                    <w:rPr>
                      <w:rFonts w:hint="eastAsia"/>
                      <w:color w:val="auto"/>
                      <w:kern w:val="0"/>
                      <w:sz w:val="21"/>
                      <w:szCs w:val="21"/>
                    </w:rPr>
                    <w:t>车间外废弃物放置场所</w:t>
                  </w:r>
                  <w:r>
                    <w:rPr>
                      <w:rFonts w:hint="eastAsia"/>
                      <w:color w:val="auto"/>
                      <w:kern w:val="0"/>
                      <w:sz w:val="21"/>
                      <w:szCs w:val="21"/>
                      <w:lang w:val="en-US" w:eastAsia="zh-CN"/>
                    </w:rPr>
                    <w:t>已</w:t>
                  </w:r>
                  <w:r>
                    <w:rPr>
                      <w:rFonts w:hint="eastAsia"/>
                      <w:color w:val="auto"/>
                      <w:kern w:val="0"/>
                      <w:sz w:val="21"/>
                      <w:szCs w:val="21"/>
                    </w:rPr>
                    <w:t>与食品加工场所隔离防止污染；</w:t>
                  </w:r>
                  <w:r>
                    <w:rPr>
                      <w:rFonts w:hint="eastAsia"/>
                      <w:color w:val="auto"/>
                      <w:kern w:val="0"/>
                      <w:sz w:val="21"/>
                      <w:szCs w:val="21"/>
                      <w:lang w:val="en-US" w:eastAsia="zh-CN"/>
                    </w:rPr>
                    <w:t>可有效的</w:t>
                  </w:r>
                  <w:r>
                    <w:rPr>
                      <w:rFonts w:hint="eastAsia"/>
                      <w:color w:val="auto"/>
                      <w:kern w:val="0"/>
                      <w:sz w:val="21"/>
                      <w:szCs w:val="21"/>
                    </w:rPr>
                    <w:t>防止不良气味或有害有毒气体溢出；</w:t>
                  </w:r>
                  <w:r>
                    <w:rPr>
                      <w:rFonts w:hint="eastAsia"/>
                      <w:color w:val="auto"/>
                      <w:kern w:val="0"/>
                      <w:sz w:val="21"/>
                      <w:szCs w:val="21"/>
                      <w:lang w:val="en-US" w:eastAsia="zh-CN"/>
                    </w:rPr>
                    <w:t>同时加强采取</w:t>
                  </w:r>
                  <w:r>
                    <w:rPr>
                      <w:rFonts w:hint="eastAsia"/>
                      <w:color w:val="auto"/>
                      <w:kern w:val="0"/>
                      <w:sz w:val="21"/>
                      <w:szCs w:val="21"/>
                    </w:rPr>
                    <w:t>防止虫害孳生</w:t>
                  </w:r>
                  <w:r>
                    <w:rPr>
                      <w:rFonts w:hint="eastAsia"/>
                      <w:color w:val="auto"/>
                      <w:kern w:val="0"/>
                      <w:sz w:val="21"/>
                      <w:szCs w:val="21"/>
                      <w:lang w:val="en-US" w:eastAsia="zh-CN"/>
                    </w:rPr>
                    <w:t>的措施。</w:t>
                  </w:r>
                </w:p>
              </w:tc>
              <w:tc>
                <w:tcPr>
                  <w:tcW w:w="543" w:type="pct"/>
                  <w:vAlign w:val="center"/>
                </w:tcPr>
                <w:p w14:paraId="57F8796D">
                  <w:pPr>
                    <w:autoSpaceDE w:val="0"/>
                    <w:autoSpaceDN w:val="0"/>
                    <w:adjustRightInd w:val="0"/>
                    <w:snapToGrid w:val="0"/>
                    <w:jc w:val="center"/>
                    <w:rPr>
                      <w:rFonts w:hint="eastAsia" w:eastAsia="宋体"/>
                      <w:color w:val="auto"/>
                      <w:kern w:val="0"/>
                      <w:sz w:val="21"/>
                      <w:szCs w:val="21"/>
                      <w:lang w:val="en-US" w:eastAsia="zh-CN"/>
                    </w:rPr>
                  </w:pPr>
                  <w:r>
                    <w:rPr>
                      <w:rFonts w:hint="eastAsia"/>
                      <w:color w:val="auto"/>
                      <w:kern w:val="0"/>
                      <w:sz w:val="21"/>
                      <w:szCs w:val="21"/>
                      <w:lang w:val="en-US" w:eastAsia="zh-CN"/>
                    </w:rPr>
                    <w:t>符合</w:t>
                  </w:r>
                </w:p>
              </w:tc>
            </w:tr>
          </w:tbl>
          <w:p w14:paraId="376DD4D2">
            <w:pPr>
              <w:autoSpaceDE w:val="0"/>
              <w:autoSpaceDN w:val="0"/>
              <w:spacing w:line="360" w:lineRule="auto"/>
              <w:ind w:firstLine="480" w:firstLineChars="200"/>
              <w:rPr>
                <w:rFonts w:hint="eastAsia"/>
                <w:b w:val="0"/>
                <w:bCs/>
                <w:color w:val="auto"/>
                <w:kern w:val="0"/>
                <w:sz w:val="24"/>
                <w:szCs w:val="24"/>
                <w:lang w:val="en-US" w:eastAsia="zh-CN"/>
              </w:rPr>
            </w:pPr>
            <w:r>
              <w:rPr>
                <w:rFonts w:hint="eastAsia"/>
                <w:b w:val="0"/>
                <w:bCs/>
                <w:color w:val="auto"/>
                <w:kern w:val="0"/>
                <w:sz w:val="24"/>
                <w:szCs w:val="24"/>
                <w:lang w:val="en-US" w:eastAsia="zh-CN"/>
              </w:rPr>
              <w:t>根据上表，本项目的建设与</w:t>
            </w:r>
            <w:r>
              <w:rPr>
                <w:rFonts w:hint="eastAsia"/>
                <w:b w:val="0"/>
                <w:bCs/>
                <w:color w:val="auto"/>
                <w:kern w:val="0"/>
                <w:sz w:val="24"/>
                <w:szCs w:val="24"/>
              </w:rPr>
              <w:t>《食品生产通用卫生规范》（GB14881-2013）</w:t>
            </w:r>
            <w:r>
              <w:rPr>
                <w:rFonts w:hint="eastAsia"/>
                <w:b w:val="0"/>
                <w:bCs/>
                <w:color w:val="auto"/>
                <w:kern w:val="0"/>
                <w:sz w:val="24"/>
                <w:szCs w:val="24"/>
                <w:lang w:val="en-US" w:eastAsia="zh-CN"/>
              </w:rPr>
              <w:t>要求相符。</w:t>
            </w:r>
          </w:p>
          <w:p w14:paraId="616B97B5">
            <w:pPr>
              <w:autoSpaceDE w:val="0"/>
              <w:autoSpaceDN w:val="0"/>
              <w:spacing w:line="360" w:lineRule="auto"/>
              <w:rPr>
                <w:rFonts w:hint="default"/>
                <w:b/>
                <w:bCs w:val="0"/>
                <w:color w:val="auto"/>
                <w:kern w:val="0"/>
                <w:sz w:val="24"/>
                <w:szCs w:val="24"/>
                <w:lang w:val="en-US" w:eastAsia="zh-CN"/>
              </w:rPr>
            </w:pPr>
            <w:r>
              <w:rPr>
                <w:rFonts w:hint="eastAsia"/>
                <w:b/>
                <w:bCs w:val="0"/>
                <w:color w:val="auto"/>
                <w:kern w:val="0"/>
                <w:sz w:val="24"/>
                <w:szCs w:val="24"/>
                <w:lang w:val="en-US" w:eastAsia="zh-CN"/>
              </w:rPr>
              <w:t>14、环境相容性分析</w:t>
            </w:r>
          </w:p>
          <w:p w14:paraId="542BF18E">
            <w:pPr>
              <w:pStyle w:val="21"/>
              <w:widowControl/>
              <w:snapToGrid w:val="0"/>
              <w:spacing w:before="0" w:after="0" w:line="360" w:lineRule="auto"/>
              <w:ind w:firstLine="480" w:firstLineChars="200"/>
              <w:jc w:val="both"/>
              <w:rPr>
                <w:color w:val="auto"/>
                <w:sz w:val="24"/>
                <w:szCs w:val="24"/>
              </w:rPr>
            </w:pPr>
            <w:r>
              <w:rPr>
                <w:color w:val="auto"/>
                <w:sz w:val="24"/>
                <w:szCs w:val="24"/>
              </w:rPr>
              <w:t>项目用地所在地交通便利，</w:t>
            </w:r>
            <w:r>
              <w:rPr>
                <w:rFonts w:hint="default" w:ascii="Times New Roman" w:hAnsi="Times New Roman" w:cs="Times New Roman"/>
                <w:color w:val="auto"/>
                <w:sz w:val="24"/>
                <w:szCs w:val="24"/>
              </w:rPr>
              <w:t>项目区500m范围内</w:t>
            </w:r>
            <w:r>
              <w:rPr>
                <w:color w:val="auto"/>
                <w:sz w:val="24"/>
                <w:szCs w:val="24"/>
              </w:rPr>
              <w:t>无居民。项目位于</w:t>
            </w:r>
            <w:r>
              <w:rPr>
                <w:rFonts w:hint="eastAsia"/>
                <w:bCs/>
                <w:color w:val="auto"/>
                <w:sz w:val="24"/>
                <w:lang w:val="en-US" w:eastAsia="zh-CN"/>
              </w:rPr>
              <w:t>云南元江产业园区甘庄片区</w:t>
            </w:r>
            <w:r>
              <w:rPr>
                <w:color w:val="auto"/>
                <w:sz w:val="24"/>
                <w:szCs w:val="24"/>
              </w:rPr>
              <w:t>，根据调查，</w:t>
            </w:r>
            <w:r>
              <w:rPr>
                <w:rFonts w:hint="eastAsia"/>
                <w:color w:val="auto"/>
                <w:sz w:val="24"/>
                <w:szCs w:val="24"/>
              </w:rPr>
              <w:t>项目周边</w:t>
            </w:r>
            <w:r>
              <w:rPr>
                <w:color w:val="auto"/>
                <w:sz w:val="24"/>
                <w:szCs w:val="24"/>
              </w:rPr>
              <w:t>各企业污染源调查见</w:t>
            </w:r>
            <w:r>
              <w:rPr>
                <w:rFonts w:hint="eastAsia"/>
                <w:color w:val="auto"/>
                <w:sz w:val="24"/>
                <w:szCs w:val="24"/>
              </w:rPr>
              <w:t>下</w:t>
            </w:r>
            <w:r>
              <w:rPr>
                <w:color w:val="auto"/>
                <w:sz w:val="24"/>
                <w:szCs w:val="24"/>
              </w:rPr>
              <w:t>表。</w:t>
            </w:r>
          </w:p>
          <w:p w14:paraId="0AF59BAB">
            <w:pPr>
              <w:jc w:val="center"/>
              <w:rPr>
                <w:b/>
                <w:color w:val="auto"/>
                <w:sz w:val="24"/>
              </w:rPr>
            </w:pPr>
            <w:r>
              <w:rPr>
                <w:b/>
                <w:color w:val="auto"/>
                <w:sz w:val="21"/>
                <w:szCs w:val="21"/>
              </w:rPr>
              <w:t>表1-</w:t>
            </w:r>
            <w:r>
              <w:rPr>
                <w:rFonts w:hint="eastAsia"/>
                <w:b/>
                <w:color w:val="auto"/>
                <w:sz w:val="21"/>
                <w:szCs w:val="21"/>
                <w:lang w:val="en-US" w:eastAsia="zh-CN"/>
              </w:rPr>
              <w:t>13</w:t>
            </w:r>
            <w:r>
              <w:rPr>
                <w:b/>
                <w:color w:val="auto"/>
                <w:sz w:val="21"/>
                <w:szCs w:val="21"/>
              </w:rPr>
              <w:t xml:space="preserve"> </w:t>
            </w:r>
            <w:r>
              <w:rPr>
                <w:rFonts w:hint="eastAsia"/>
                <w:b/>
                <w:color w:val="auto"/>
                <w:sz w:val="21"/>
                <w:szCs w:val="21"/>
                <w:lang w:val="en-US" w:eastAsia="zh-CN"/>
              </w:rPr>
              <w:t xml:space="preserve"> </w:t>
            </w:r>
            <w:r>
              <w:rPr>
                <w:b/>
                <w:color w:val="auto"/>
                <w:sz w:val="21"/>
                <w:szCs w:val="21"/>
              </w:rPr>
              <w:t>与周边企业环境相符性分析</w:t>
            </w:r>
          </w:p>
          <w:tbl>
            <w:tblPr>
              <w:tblStyle w:val="22"/>
              <w:tblW w:w="7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290"/>
              <w:gridCol w:w="1015"/>
              <w:gridCol w:w="1525"/>
              <w:gridCol w:w="783"/>
              <w:gridCol w:w="2152"/>
            </w:tblGrid>
            <w:tr w14:paraId="01E7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66" w:type="dxa"/>
                  <w:noWrap w:val="0"/>
                  <w:vAlign w:val="center"/>
                </w:tcPr>
                <w:p w14:paraId="7397E84B">
                  <w:pPr>
                    <w:autoSpaceDE w:val="0"/>
                    <w:autoSpaceDN w:val="0"/>
                    <w:adjustRightInd w:val="0"/>
                    <w:snapToGrid w:val="0"/>
                    <w:jc w:val="center"/>
                    <w:rPr>
                      <w:b/>
                      <w:bCs/>
                      <w:color w:val="auto"/>
                      <w:kern w:val="0"/>
                      <w:sz w:val="21"/>
                      <w:szCs w:val="21"/>
                    </w:rPr>
                  </w:pPr>
                  <w:r>
                    <w:rPr>
                      <w:b/>
                      <w:bCs/>
                      <w:color w:val="auto"/>
                      <w:kern w:val="0"/>
                      <w:sz w:val="21"/>
                      <w:szCs w:val="21"/>
                    </w:rPr>
                    <w:t>序号</w:t>
                  </w:r>
                </w:p>
              </w:tc>
              <w:tc>
                <w:tcPr>
                  <w:tcW w:w="1290" w:type="dxa"/>
                  <w:noWrap w:val="0"/>
                  <w:vAlign w:val="center"/>
                </w:tcPr>
                <w:p w14:paraId="47AB1646">
                  <w:pPr>
                    <w:autoSpaceDE w:val="0"/>
                    <w:autoSpaceDN w:val="0"/>
                    <w:adjustRightInd w:val="0"/>
                    <w:snapToGrid w:val="0"/>
                    <w:jc w:val="center"/>
                    <w:rPr>
                      <w:b/>
                      <w:bCs/>
                      <w:color w:val="auto"/>
                      <w:kern w:val="0"/>
                      <w:sz w:val="21"/>
                      <w:szCs w:val="21"/>
                    </w:rPr>
                  </w:pPr>
                  <w:r>
                    <w:rPr>
                      <w:b/>
                      <w:bCs/>
                      <w:color w:val="auto"/>
                      <w:kern w:val="0"/>
                      <w:sz w:val="21"/>
                      <w:szCs w:val="21"/>
                    </w:rPr>
                    <w:t>企业名称</w:t>
                  </w:r>
                </w:p>
              </w:tc>
              <w:tc>
                <w:tcPr>
                  <w:tcW w:w="1015" w:type="dxa"/>
                  <w:noWrap w:val="0"/>
                  <w:vAlign w:val="center"/>
                </w:tcPr>
                <w:p w14:paraId="2EC57115">
                  <w:pPr>
                    <w:autoSpaceDE w:val="0"/>
                    <w:autoSpaceDN w:val="0"/>
                    <w:adjustRightInd w:val="0"/>
                    <w:snapToGrid w:val="0"/>
                    <w:jc w:val="center"/>
                    <w:rPr>
                      <w:b/>
                      <w:bCs/>
                      <w:color w:val="auto"/>
                      <w:kern w:val="0"/>
                      <w:sz w:val="21"/>
                      <w:szCs w:val="21"/>
                    </w:rPr>
                  </w:pPr>
                  <w:r>
                    <w:rPr>
                      <w:b/>
                      <w:bCs/>
                      <w:color w:val="auto"/>
                      <w:kern w:val="0"/>
                      <w:sz w:val="21"/>
                      <w:szCs w:val="21"/>
                    </w:rPr>
                    <w:t>行业类别</w:t>
                  </w:r>
                </w:p>
              </w:tc>
              <w:tc>
                <w:tcPr>
                  <w:tcW w:w="1525" w:type="dxa"/>
                  <w:noWrap w:val="0"/>
                  <w:vAlign w:val="center"/>
                </w:tcPr>
                <w:p w14:paraId="435DC136">
                  <w:pPr>
                    <w:autoSpaceDE w:val="0"/>
                    <w:autoSpaceDN w:val="0"/>
                    <w:adjustRightInd w:val="0"/>
                    <w:snapToGrid w:val="0"/>
                    <w:jc w:val="center"/>
                    <w:rPr>
                      <w:b/>
                      <w:bCs/>
                      <w:color w:val="auto"/>
                      <w:kern w:val="0"/>
                      <w:sz w:val="21"/>
                      <w:szCs w:val="21"/>
                    </w:rPr>
                  </w:pPr>
                  <w:r>
                    <w:rPr>
                      <w:b/>
                      <w:bCs/>
                      <w:color w:val="auto"/>
                      <w:kern w:val="0"/>
                      <w:sz w:val="21"/>
                      <w:szCs w:val="21"/>
                    </w:rPr>
                    <w:t>与项目生产车间位置关系</w:t>
                  </w:r>
                </w:p>
              </w:tc>
              <w:tc>
                <w:tcPr>
                  <w:tcW w:w="783" w:type="dxa"/>
                  <w:noWrap w:val="0"/>
                  <w:vAlign w:val="center"/>
                </w:tcPr>
                <w:p w14:paraId="0363329E">
                  <w:pPr>
                    <w:autoSpaceDE w:val="0"/>
                    <w:autoSpaceDN w:val="0"/>
                    <w:adjustRightInd w:val="0"/>
                    <w:snapToGrid w:val="0"/>
                    <w:jc w:val="center"/>
                    <w:rPr>
                      <w:b/>
                      <w:bCs/>
                      <w:color w:val="auto"/>
                      <w:kern w:val="0"/>
                      <w:sz w:val="21"/>
                      <w:szCs w:val="21"/>
                    </w:rPr>
                  </w:pPr>
                  <w:r>
                    <w:rPr>
                      <w:b/>
                      <w:bCs/>
                      <w:color w:val="auto"/>
                      <w:kern w:val="0"/>
                      <w:sz w:val="21"/>
                      <w:szCs w:val="21"/>
                    </w:rPr>
                    <w:t>距离</w:t>
                  </w:r>
                  <w:r>
                    <w:rPr>
                      <w:rFonts w:hint="eastAsia"/>
                      <w:b/>
                      <w:bCs/>
                      <w:color w:val="auto"/>
                      <w:kern w:val="0"/>
                      <w:sz w:val="21"/>
                      <w:szCs w:val="21"/>
                    </w:rPr>
                    <w:t>/</w:t>
                  </w:r>
                  <w:r>
                    <w:rPr>
                      <w:b/>
                      <w:bCs/>
                      <w:color w:val="auto"/>
                      <w:kern w:val="0"/>
                      <w:sz w:val="21"/>
                      <w:szCs w:val="21"/>
                    </w:rPr>
                    <w:t>m</w:t>
                  </w:r>
                </w:p>
              </w:tc>
              <w:tc>
                <w:tcPr>
                  <w:tcW w:w="2152" w:type="dxa"/>
                  <w:noWrap w:val="0"/>
                  <w:vAlign w:val="center"/>
                </w:tcPr>
                <w:p w14:paraId="44A9C708">
                  <w:pPr>
                    <w:autoSpaceDE w:val="0"/>
                    <w:autoSpaceDN w:val="0"/>
                    <w:adjustRightInd w:val="0"/>
                    <w:snapToGrid w:val="0"/>
                    <w:jc w:val="center"/>
                    <w:rPr>
                      <w:b/>
                      <w:bCs/>
                      <w:color w:val="auto"/>
                      <w:kern w:val="0"/>
                      <w:sz w:val="21"/>
                      <w:szCs w:val="21"/>
                    </w:rPr>
                  </w:pPr>
                  <w:r>
                    <w:rPr>
                      <w:b/>
                      <w:bCs/>
                      <w:color w:val="auto"/>
                      <w:kern w:val="0"/>
                      <w:sz w:val="21"/>
                      <w:szCs w:val="21"/>
                    </w:rPr>
                    <w:t>主要污染物</w:t>
                  </w:r>
                </w:p>
              </w:tc>
            </w:tr>
            <w:tr w14:paraId="0BC38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66" w:type="dxa"/>
                  <w:noWrap w:val="0"/>
                  <w:vAlign w:val="center"/>
                </w:tcPr>
                <w:p w14:paraId="470EE398">
                  <w:pPr>
                    <w:autoSpaceDE w:val="0"/>
                    <w:autoSpaceDN w:val="0"/>
                    <w:adjustRightInd w:val="0"/>
                    <w:snapToGrid w:val="0"/>
                    <w:jc w:val="center"/>
                    <w:rPr>
                      <w:color w:val="auto"/>
                      <w:kern w:val="0"/>
                      <w:sz w:val="21"/>
                      <w:szCs w:val="21"/>
                      <w:highlight w:val="none"/>
                    </w:rPr>
                  </w:pPr>
                  <w:r>
                    <w:rPr>
                      <w:color w:val="auto"/>
                      <w:kern w:val="0"/>
                      <w:sz w:val="21"/>
                      <w:szCs w:val="21"/>
                      <w:highlight w:val="none"/>
                    </w:rPr>
                    <w:t>1</w:t>
                  </w:r>
                </w:p>
              </w:tc>
              <w:tc>
                <w:tcPr>
                  <w:tcW w:w="1290" w:type="dxa"/>
                  <w:noWrap w:val="0"/>
                  <w:vAlign w:val="center"/>
                </w:tcPr>
                <w:p w14:paraId="7EB83762">
                  <w:pPr>
                    <w:autoSpaceDE w:val="0"/>
                    <w:autoSpaceDN w:val="0"/>
                    <w:adjustRightInd w:val="0"/>
                    <w:snapToGrid w:val="0"/>
                    <w:jc w:val="center"/>
                    <w:rPr>
                      <w:color w:val="auto"/>
                      <w:kern w:val="0"/>
                      <w:sz w:val="21"/>
                      <w:szCs w:val="21"/>
                      <w:highlight w:val="none"/>
                    </w:rPr>
                  </w:pPr>
                  <w:r>
                    <w:rPr>
                      <w:color w:val="auto"/>
                      <w:sz w:val="21"/>
                      <w:szCs w:val="21"/>
                      <w:highlight w:val="none"/>
                    </w:rPr>
                    <w:t>云南康福茶</w:t>
                  </w:r>
                  <w:r>
                    <w:rPr>
                      <w:rFonts w:hint="eastAsia"/>
                      <w:color w:val="auto"/>
                      <w:sz w:val="21"/>
                      <w:szCs w:val="21"/>
                      <w:highlight w:val="none"/>
                    </w:rPr>
                    <w:t>业</w:t>
                  </w:r>
                  <w:r>
                    <w:rPr>
                      <w:color w:val="auto"/>
                      <w:sz w:val="21"/>
                      <w:szCs w:val="21"/>
                      <w:highlight w:val="none"/>
                    </w:rPr>
                    <w:t>有限公司</w:t>
                  </w:r>
                </w:p>
              </w:tc>
              <w:tc>
                <w:tcPr>
                  <w:tcW w:w="1015" w:type="dxa"/>
                  <w:noWrap w:val="0"/>
                  <w:vAlign w:val="center"/>
                </w:tcPr>
                <w:p w14:paraId="111D755D">
                  <w:pPr>
                    <w:autoSpaceDE w:val="0"/>
                    <w:autoSpaceDN w:val="0"/>
                    <w:adjustRightInd w:val="0"/>
                    <w:snapToGrid w:val="0"/>
                    <w:jc w:val="center"/>
                    <w:rPr>
                      <w:color w:val="auto"/>
                      <w:kern w:val="0"/>
                      <w:sz w:val="21"/>
                      <w:szCs w:val="21"/>
                      <w:highlight w:val="none"/>
                    </w:rPr>
                  </w:pPr>
                  <w:r>
                    <w:rPr>
                      <w:color w:val="auto"/>
                      <w:kern w:val="0"/>
                      <w:sz w:val="21"/>
                      <w:szCs w:val="21"/>
                      <w:highlight w:val="none"/>
                    </w:rPr>
                    <w:t>酒、饮料制造业</w:t>
                  </w:r>
                </w:p>
              </w:tc>
              <w:tc>
                <w:tcPr>
                  <w:tcW w:w="1525" w:type="dxa"/>
                  <w:noWrap w:val="0"/>
                  <w:vAlign w:val="center"/>
                </w:tcPr>
                <w:p w14:paraId="0D04279A">
                  <w:pPr>
                    <w:autoSpaceDE w:val="0"/>
                    <w:autoSpaceDN w:val="0"/>
                    <w:adjustRightInd w:val="0"/>
                    <w:snapToGrid w:val="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南侧</w:t>
                  </w:r>
                </w:p>
              </w:tc>
              <w:tc>
                <w:tcPr>
                  <w:tcW w:w="783" w:type="dxa"/>
                  <w:noWrap w:val="0"/>
                  <w:vAlign w:val="center"/>
                </w:tcPr>
                <w:p w14:paraId="7EA1D8C7">
                  <w:pPr>
                    <w:autoSpaceDE w:val="0"/>
                    <w:autoSpaceDN w:val="0"/>
                    <w:adjustRightInd w:val="0"/>
                    <w:snapToGrid w:val="0"/>
                    <w:jc w:val="center"/>
                    <w:rPr>
                      <w:rFonts w:hint="default" w:eastAsia="宋体"/>
                      <w:color w:val="auto"/>
                      <w:kern w:val="0"/>
                      <w:sz w:val="21"/>
                      <w:szCs w:val="21"/>
                      <w:highlight w:val="none"/>
                      <w:lang w:val="en-US" w:eastAsia="zh-CN"/>
                    </w:rPr>
                  </w:pPr>
                  <w:r>
                    <w:rPr>
                      <w:rFonts w:hint="eastAsia" w:eastAsia="宋体"/>
                      <w:color w:val="auto"/>
                      <w:kern w:val="0"/>
                      <w:sz w:val="21"/>
                      <w:szCs w:val="21"/>
                      <w:highlight w:val="none"/>
                      <w:lang w:val="en-US" w:eastAsia="zh-CN"/>
                    </w:rPr>
                    <w:t>12</w:t>
                  </w:r>
                </w:p>
              </w:tc>
              <w:tc>
                <w:tcPr>
                  <w:tcW w:w="2152" w:type="dxa"/>
                  <w:noWrap w:val="0"/>
                  <w:vAlign w:val="center"/>
                </w:tcPr>
                <w:p w14:paraId="4400E904">
                  <w:pPr>
                    <w:autoSpaceDE w:val="0"/>
                    <w:autoSpaceDN w:val="0"/>
                    <w:adjustRightInd w:val="0"/>
                    <w:snapToGrid w:val="0"/>
                    <w:jc w:val="center"/>
                    <w:rPr>
                      <w:color w:val="auto"/>
                      <w:kern w:val="0"/>
                      <w:sz w:val="21"/>
                      <w:szCs w:val="21"/>
                      <w:highlight w:val="none"/>
                    </w:rPr>
                  </w:pPr>
                  <w:r>
                    <w:rPr>
                      <w:color w:val="auto"/>
                      <w:kern w:val="0"/>
                      <w:sz w:val="21"/>
                      <w:szCs w:val="21"/>
                      <w:highlight w:val="none"/>
                    </w:rPr>
                    <w:t>颗粒物、</w:t>
                  </w:r>
                  <w:r>
                    <w:rPr>
                      <w:rFonts w:hint="eastAsia"/>
                      <w:color w:val="auto"/>
                      <w:kern w:val="0"/>
                      <w:sz w:val="21"/>
                      <w:szCs w:val="21"/>
                      <w:highlight w:val="none"/>
                    </w:rPr>
                    <w:t>SO</w:t>
                  </w:r>
                  <w:r>
                    <w:rPr>
                      <w:rFonts w:hint="eastAsia"/>
                      <w:color w:val="auto"/>
                      <w:kern w:val="0"/>
                      <w:sz w:val="21"/>
                      <w:szCs w:val="21"/>
                      <w:highlight w:val="none"/>
                      <w:vertAlign w:val="subscript"/>
                    </w:rPr>
                    <w:t>2</w:t>
                  </w:r>
                  <w:r>
                    <w:rPr>
                      <w:rFonts w:hint="eastAsia"/>
                      <w:color w:val="auto"/>
                      <w:kern w:val="0"/>
                      <w:sz w:val="21"/>
                      <w:szCs w:val="21"/>
                      <w:highlight w:val="none"/>
                    </w:rPr>
                    <w:t>、</w:t>
                  </w:r>
                  <w:r>
                    <w:rPr>
                      <w:color w:val="auto"/>
                      <w:sz w:val="21"/>
                      <w:szCs w:val="21"/>
                      <w:highlight w:val="none"/>
                    </w:rPr>
                    <w:t>NOx</w:t>
                  </w:r>
                  <w:r>
                    <w:rPr>
                      <w:rFonts w:hint="eastAsia"/>
                      <w:color w:val="auto"/>
                      <w:sz w:val="21"/>
                      <w:szCs w:val="21"/>
                      <w:highlight w:val="none"/>
                    </w:rPr>
                    <w:t>、</w:t>
                  </w:r>
                  <w:r>
                    <w:rPr>
                      <w:rFonts w:hint="eastAsia"/>
                      <w:bCs/>
                      <w:color w:val="auto"/>
                      <w:sz w:val="21"/>
                      <w:szCs w:val="21"/>
                      <w:highlight w:val="none"/>
                    </w:rPr>
                    <w:t>异味、生产废水、生活污水、噪声、生产及生活固废</w:t>
                  </w:r>
                </w:p>
              </w:tc>
            </w:tr>
            <w:tr w14:paraId="4218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66" w:type="dxa"/>
                  <w:noWrap w:val="0"/>
                  <w:vAlign w:val="center"/>
                </w:tcPr>
                <w:p w14:paraId="470B4E18">
                  <w:pPr>
                    <w:autoSpaceDE w:val="0"/>
                    <w:autoSpaceDN w:val="0"/>
                    <w:adjustRightInd w:val="0"/>
                    <w:snapToGri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w:t>
                  </w:r>
                </w:p>
              </w:tc>
              <w:tc>
                <w:tcPr>
                  <w:tcW w:w="1290" w:type="dxa"/>
                  <w:noWrap w:val="0"/>
                  <w:vAlign w:val="center"/>
                </w:tcPr>
                <w:p w14:paraId="78367587">
                  <w:pPr>
                    <w:autoSpaceDE w:val="0"/>
                    <w:autoSpaceDN w:val="0"/>
                    <w:adjustRightInd w:val="0"/>
                    <w:snapToGrid w:val="0"/>
                    <w:jc w:val="center"/>
                    <w:rPr>
                      <w:color w:val="auto"/>
                      <w:sz w:val="21"/>
                      <w:szCs w:val="21"/>
                      <w:highlight w:val="none"/>
                    </w:rPr>
                  </w:pPr>
                  <w:r>
                    <w:rPr>
                      <w:rFonts w:hint="eastAsia"/>
                      <w:color w:val="auto"/>
                      <w:sz w:val="21"/>
                      <w:szCs w:val="21"/>
                      <w:highlight w:val="none"/>
                    </w:rPr>
                    <w:t>云南蓝力智能装备制造有限公司</w:t>
                  </w:r>
                </w:p>
              </w:tc>
              <w:tc>
                <w:tcPr>
                  <w:tcW w:w="1015" w:type="dxa"/>
                  <w:noWrap w:val="0"/>
                  <w:vAlign w:val="center"/>
                </w:tcPr>
                <w:p w14:paraId="70431A18">
                  <w:pPr>
                    <w:autoSpaceDE w:val="0"/>
                    <w:autoSpaceDN w:val="0"/>
                    <w:adjustRightInd w:val="0"/>
                    <w:snapToGri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特种设备制造</w:t>
                  </w:r>
                </w:p>
              </w:tc>
              <w:tc>
                <w:tcPr>
                  <w:tcW w:w="1525" w:type="dxa"/>
                  <w:noWrap w:val="0"/>
                  <w:vAlign w:val="center"/>
                </w:tcPr>
                <w:p w14:paraId="75A84C38">
                  <w:pPr>
                    <w:autoSpaceDE w:val="0"/>
                    <w:autoSpaceDN w:val="0"/>
                    <w:adjustRightInd w:val="0"/>
                    <w:snapToGri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北侧</w:t>
                  </w:r>
                </w:p>
              </w:tc>
              <w:tc>
                <w:tcPr>
                  <w:tcW w:w="783" w:type="dxa"/>
                  <w:noWrap w:val="0"/>
                  <w:vAlign w:val="center"/>
                </w:tcPr>
                <w:p w14:paraId="43980181">
                  <w:pPr>
                    <w:autoSpaceDE w:val="0"/>
                    <w:autoSpaceDN w:val="0"/>
                    <w:adjustRightInd w:val="0"/>
                    <w:snapToGrid w:val="0"/>
                    <w:jc w:val="center"/>
                    <w:rPr>
                      <w:rFonts w:hint="default" w:eastAsia="宋体"/>
                      <w:color w:val="auto"/>
                      <w:kern w:val="0"/>
                      <w:sz w:val="21"/>
                      <w:szCs w:val="21"/>
                      <w:highlight w:val="none"/>
                      <w:lang w:val="en-US" w:eastAsia="zh-CN"/>
                    </w:rPr>
                  </w:pPr>
                  <w:r>
                    <w:rPr>
                      <w:rFonts w:hint="eastAsia" w:eastAsia="宋体"/>
                      <w:color w:val="auto"/>
                      <w:kern w:val="0"/>
                      <w:sz w:val="21"/>
                      <w:szCs w:val="21"/>
                      <w:highlight w:val="none"/>
                      <w:lang w:val="en-US" w:eastAsia="zh-CN"/>
                    </w:rPr>
                    <w:t>78</w:t>
                  </w:r>
                </w:p>
              </w:tc>
              <w:tc>
                <w:tcPr>
                  <w:tcW w:w="2152" w:type="dxa"/>
                  <w:noWrap w:val="0"/>
                  <w:vAlign w:val="center"/>
                </w:tcPr>
                <w:p w14:paraId="28020DF9">
                  <w:pPr>
                    <w:autoSpaceDE w:val="0"/>
                    <w:autoSpaceDN w:val="0"/>
                    <w:adjustRightInd w:val="0"/>
                    <w:snapToGrid w:val="0"/>
                    <w:jc w:val="center"/>
                    <w:rPr>
                      <w:rFonts w:hint="eastAsia" w:eastAsia="宋体"/>
                      <w:color w:val="auto"/>
                      <w:kern w:val="0"/>
                      <w:sz w:val="21"/>
                      <w:szCs w:val="21"/>
                      <w:highlight w:val="none"/>
                      <w:lang w:val="en-US" w:eastAsia="zh-CN"/>
                    </w:rPr>
                  </w:pPr>
                  <w:r>
                    <w:rPr>
                      <w:rFonts w:hint="eastAsia"/>
                      <w:bCs/>
                      <w:color w:val="auto"/>
                      <w:sz w:val="21"/>
                      <w:szCs w:val="21"/>
                      <w:highlight w:val="none"/>
                      <w:lang w:val="en-US" w:eastAsia="zh-CN"/>
                    </w:rPr>
                    <w:t>主要污染物主要为颗粒物</w:t>
                  </w:r>
                  <w:r>
                    <w:rPr>
                      <w:rFonts w:hint="eastAsia"/>
                      <w:bCs/>
                      <w:color w:val="auto"/>
                      <w:szCs w:val="21"/>
                      <w:highlight w:val="none"/>
                    </w:rPr>
                    <w:t>、生活污水、噪声、生产及生活固废</w:t>
                  </w:r>
                  <w:r>
                    <w:rPr>
                      <w:rFonts w:hint="eastAsia"/>
                      <w:bCs/>
                      <w:color w:val="auto"/>
                      <w:szCs w:val="21"/>
                      <w:highlight w:val="none"/>
                      <w:lang w:val="en-US" w:eastAsia="zh-CN"/>
                    </w:rPr>
                    <w:t>等</w:t>
                  </w:r>
                </w:p>
              </w:tc>
            </w:tr>
            <w:tr w14:paraId="4394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66" w:type="dxa"/>
                  <w:noWrap w:val="0"/>
                  <w:vAlign w:val="center"/>
                </w:tcPr>
                <w:p w14:paraId="7134B661">
                  <w:pPr>
                    <w:autoSpaceDE w:val="0"/>
                    <w:autoSpaceDN w:val="0"/>
                    <w:adjustRightInd w:val="0"/>
                    <w:snapToGrid w:val="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3</w:t>
                  </w:r>
                </w:p>
              </w:tc>
              <w:tc>
                <w:tcPr>
                  <w:tcW w:w="1290" w:type="dxa"/>
                  <w:noWrap w:val="0"/>
                  <w:vAlign w:val="center"/>
                </w:tcPr>
                <w:p w14:paraId="5F72C1DB">
                  <w:pPr>
                    <w:autoSpaceDE w:val="0"/>
                    <w:autoSpaceDN w:val="0"/>
                    <w:adjustRightInd w:val="0"/>
                    <w:snapToGrid w:val="0"/>
                    <w:jc w:val="center"/>
                    <w:rPr>
                      <w:rFonts w:hint="eastAsia"/>
                      <w:color w:val="auto"/>
                      <w:sz w:val="21"/>
                      <w:szCs w:val="21"/>
                      <w:highlight w:val="none"/>
                    </w:rPr>
                  </w:pPr>
                  <w:r>
                    <w:rPr>
                      <w:rFonts w:hint="default" w:ascii="Times New Roman" w:hAnsi="Times New Roman" w:cs="Times New Roman"/>
                      <w:color w:val="auto"/>
                      <w:sz w:val="21"/>
                      <w:szCs w:val="21"/>
                      <w:highlight w:val="none"/>
                      <w:lang w:val="en-US" w:eastAsia="zh-CN"/>
                    </w:rPr>
                    <w:t>玉溪亿达铁合金有限公司</w:t>
                  </w:r>
                </w:p>
              </w:tc>
              <w:tc>
                <w:tcPr>
                  <w:tcW w:w="1015" w:type="dxa"/>
                  <w:noWrap w:val="0"/>
                  <w:vAlign w:val="center"/>
                </w:tcPr>
                <w:p w14:paraId="4B4674FA">
                  <w:pPr>
                    <w:autoSpaceDE w:val="0"/>
                    <w:autoSpaceDN w:val="0"/>
                    <w:adjustRightInd w:val="0"/>
                    <w:snapToGrid w:val="0"/>
                    <w:jc w:val="center"/>
                    <w:rPr>
                      <w:rFonts w:hint="eastAsia"/>
                      <w:color w:val="auto"/>
                      <w:sz w:val="21"/>
                      <w:szCs w:val="21"/>
                      <w:highlight w:val="none"/>
                    </w:rPr>
                  </w:pPr>
                  <w:r>
                    <w:rPr>
                      <w:rFonts w:hint="default" w:ascii="Times New Roman" w:hAnsi="Times New Roman" w:cs="Times New Roman"/>
                      <w:color w:val="auto"/>
                      <w:sz w:val="21"/>
                      <w:szCs w:val="21"/>
                      <w:highlight w:val="none"/>
                      <w:lang w:val="en-US" w:eastAsia="zh-CN"/>
                    </w:rPr>
                    <w:t>铁合金冶炼</w:t>
                  </w:r>
                  <w:r>
                    <w:rPr>
                      <w:rFonts w:hint="eastAsia" w:cs="Times New Roman"/>
                      <w:color w:val="auto"/>
                      <w:sz w:val="21"/>
                      <w:szCs w:val="21"/>
                      <w:highlight w:val="none"/>
                      <w:lang w:val="en-US" w:eastAsia="zh-CN"/>
                    </w:rPr>
                    <w:t>、</w:t>
                  </w:r>
                  <w:r>
                    <w:rPr>
                      <w:color w:val="auto"/>
                      <w:sz w:val="21"/>
                      <w:szCs w:val="21"/>
                      <w:highlight w:val="none"/>
                    </w:rPr>
                    <w:t>隔热和隔音材料制造</w:t>
                  </w:r>
                  <w:r>
                    <w:rPr>
                      <w:rFonts w:hint="eastAsia"/>
                      <w:color w:val="auto"/>
                      <w:sz w:val="21"/>
                      <w:szCs w:val="21"/>
                      <w:highlight w:val="none"/>
                      <w:lang w:eastAsia="zh-CN"/>
                    </w:rPr>
                    <w:t>（</w:t>
                  </w:r>
                  <w:r>
                    <w:rPr>
                      <w:rFonts w:hint="eastAsia"/>
                      <w:color w:val="auto"/>
                      <w:sz w:val="21"/>
                      <w:szCs w:val="21"/>
                      <w:highlight w:val="none"/>
                      <w:lang w:val="en-US" w:eastAsia="zh-CN"/>
                    </w:rPr>
                    <w:t>矿棉</w:t>
                  </w:r>
                  <w:r>
                    <w:rPr>
                      <w:rFonts w:hint="eastAsia"/>
                      <w:color w:val="auto"/>
                      <w:sz w:val="21"/>
                      <w:szCs w:val="21"/>
                      <w:highlight w:val="none"/>
                      <w:lang w:eastAsia="zh-CN"/>
                    </w:rPr>
                    <w:t>）</w:t>
                  </w:r>
                </w:p>
              </w:tc>
              <w:tc>
                <w:tcPr>
                  <w:tcW w:w="1525" w:type="dxa"/>
                  <w:noWrap w:val="0"/>
                  <w:vAlign w:val="center"/>
                </w:tcPr>
                <w:p w14:paraId="636009A1">
                  <w:pPr>
                    <w:autoSpaceDE w:val="0"/>
                    <w:autoSpaceDN w:val="0"/>
                    <w:adjustRightInd w:val="0"/>
                    <w:snapToGri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南侧</w:t>
                  </w:r>
                </w:p>
              </w:tc>
              <w:tc>
                <w:tcPr>
                  <w:tcW w:w="783" w:type="dxa"/>
                  <w:noWrap w:val="0"/>
                  <w:vAlign w:val="center"/>
                </w:tcPr>
                <w:p w14:paraId="0C4C0035">
                  <w:pPr>
                    <w:autoSpaceDE w:val="0"/>
                    <w:autoSpaceDN w:val="0"/>
                    <w:adjustRightInd w:val="0"/>
                    <w:snapToGrid w:val="0"/>
                    <w:jc w:val="center"/>
                    <w:rPr>
                      <w:rFonts w:hint="default" w:eastAsia="宋体"/>
                      <w:color w:val="auto"/>
                      <w:kern w:val="0"/>
                      <w:sz w:val="21"/>
                      <w:szCs w:val="21"/>
                      <w:highlight w:val="none"/>
                      <w:lang w:val="en-US" w:eastAsia="zh-CN"/>
                    </w:rPr>
                  </w:pPr>
                  <w:r>
                    <w:rPr>
                      <w:rFonts w:hint="eastAsia" w:eastAsia="宋体"/>
                      <w:color w:val="auto"/>
                      <w:kern w:val="0"/>
                      <w:sz w:val="21"/>
                      <w:szCs w:val="21"/>
                      <w:highlight w:val="none"/>
                      <w:lang w:val="en-US" w:eastAsia="zh-CN"/>
                    </w:rPr>
                    <w:t>155</w:t>
                  </w:r>
                </w:p>
              </w:tc>
              <w:tc>
                <w:tcPr>
                  <w:tcW w:w="2152" w:type="dxa"/>
                  <w:noWrap w:val="0"/>
                  <w:vAlign w:val="center"/>
                </w:tcPr>
                <w:p w14:paraId="47C08878">
                  <w:pPr>
                    <w:autoSpaceDE w:val="0"/>
                    <w:autoSpaceDN w:val="0"/>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主要污染物为</w:t>
                  </w:r>
                  <w:r>
                    <w:rPr>
                      <w:color w:val="auto"/>
                      <w:kern w:val="0"/>
                      <w:sz w:val="21"/>
                      <w:szCs w:val="21"/>
                      <w:highlight w:val="none"/>
                    </w:rPr>
                    <w:t>颗粒物、</w:t>
                  </w:r>
                  <w:r>
                    <w:rPr>
                      <w:rFonts w:hint="eastAsia"/>
                      <w:color w:val="auto"/>
                      <w:kern w:val="0"/>
                      <w:sz w:val="21"/>
                      <w:szCs w:val="21"/>
                      <w:highlight w:val="none"/>
                    </w:rPr>
                    <w:t>SO</w:t>
                  </w:r>
                  <w:r>
                    <w:rPr>
                      <w:rFonts w:hint="eastAsia"/>
                      <w:color w:val="auto"/>
                      <w:kern w:val="0"/>
                      <w:sz w:val="21"/>
                      <w:szCs w:val="21"/>
                      <w:highlight w:val="none"/>
                      <w:vertAlign w:val="subscript"/>
                    </w:rPr>
                    <w:t>2</w:t>
                  </w:r>
                  <w:r>
                    <w:rPr>
                      <w:rFonts w:hint="eastAsia"/>
                      <w:color w:val="auto"/>
                      <w:kern w:val="0"/>
                      <w:sz w:val="21"/>
                      <w:szCs w:val="21"/>
                      <w:highlight w:val="none"/>
                    </w:rPr>
                    <w:t>、</w:t>
                  </w:r>
                  <w:r>
                    <w:rPr>
                      <w:color w:val="auto"/>
                      <w:sz w:val="21"/>
                      <w:szCs w:val="21"/>
                      <w:highlight w:val="none"/>
                    </w:rPr>
                    <w:t>NOx</w:t>
                  </w:r>
                  <w:r>
                    <w:rPr>
                      <w:rFonts w:hint="eastAsia"/>
                      <w:color w:val="auto"/>
                      <w:sz w:val="21"/>
                      <w:szCs w:val="21"/>
                      <w:highlight w:val="none"/>
                    </w:rPr>
                    <w:t>、</w:t>
                  </w:r>
                  <w:r>
                    <w:rPr>
                      <w:rFonts w:hint="eastAsia"/>
                      <w:bCs/>
                      <w:color w:val="auto"/>
                      <w:sz w:val="21"/>
                      <w:szCs w:val="21"/>
                      <w:highlight w:val="none"/>
                      <w:lang w:val="en-US" w:eastAsia="zh-CN"/>
                    </w:rPr>
                    <w:t>氨</w:t>
                  </w:r>
                  <w:r>
                    <w:rPr>
                      <w:rFonts w:hint="eastAsia"/>
                      <w:bCs/>
                      <w:color w:val="auto"/>
                      <w:sz w:val="21"/>
                      <w:szCs w:val="21"/>
                      <w:highlight w:val="none"/>
                      <w:lang w:eastAsia="zh-CN"/>
                    </w:rPr>
                    <w:t>、</w:t>
                  </w:r>
                  <w:r>
                    <w:rPr>
                      <w:rFonts w:hint="eastAsia"/>
                      <w:bCs/>
                      <w:color w:val="auto"/>
                      <w:sz w:val="21"/>
                      <w:szCs w:val="21"/>
                      <w:highlight w:val="none"/>
                      <w:lang w:val="en-US" w:eastAsia="zh-CN"/>
                    </w:rPr>
                    <w:t>废水、噪声、生产固废及生活固废</w:t>
                  </w:r>
                </w:p>
              </w:tc>
            </w:tr>
          </w:tbl>
          <w:p w14:paraId="38ADD159">
            <w:pPr>
              <w:autoSpaceDE w:val="0"/>
              <w:autoSpaceDN w:val="0"/>
              <w:spacing w:line="360" w:lineRule="auto"/>
              <w:ind w:firstLine="480" w:firstLineChars="200"/>
              <w:rPr>
                <w:color w:val="auto"/>
                <w:sz w:val="24"/>
                <w:szCs w:val="24"/>
                <w:highlight w:val="none"/>
              </w:rPr>
            </w:pPr>
            <w:r>
              <w:rPr>
                <w:color w:val="auto"/>
                <w:sz w:val="24"/>
                <w:szCs w:val="24"/>
                <w:highlight w:val="none"/>
              </w:rPr>
              <w:t>从对项目周边企业情况调查可知，</w:t>
            </w:r>
            <w:r>
              <w:rPr>
                <w:rFonts w:hint="eastAsia"/>
                <w:color w:val="auto"/>
                <w:sz w:val="24"/>
                <w:szCs w:val="24"/>
                <w:highlight w:val="none"/>
                <w:lang w:val="en-US" w:eastAsia="zh-CN"/>
              </w:rPr>
              <w:t>本项目周边</w:t>
            </w:r>
            <w:r>
              <w:rPr>
                <w:color w:val="auto"/>
                <w:sz w:val="24"/>
                <w:szCs w:val="24"/>
                <w:highlight w:val="none"/>
              </w:rPr>
              <w:t>云南康福茶</w:t>
            </w:r>
            <w:r>
              <w:rPr>
                <w:rFonts w:hint="eastAsia"/>
                <w:color w:val="auto"/>
                <w:sz w:val="24"/>
                <w:szCs w:val="24"/>
                <w:highlight w:val="none"/>
              </w:rPr>
              <w:t>业</w:t>
            </w:r>
            <w:r>
              <w:rPr>
                <w:color w:val="auto"/>
                <w:sz w:val="24"/>
                <w:szCs w:val="24"/>
                <w:highlight w:val="none"/>
              </w:rPr>
              <w:t>有限公司</w:t>
            </w:r>
            <w:r>
              <w:rPr>
                <w:rFonts w:hint="eastAsia"/>
                <w:color w:val="auto"/>
                <w:sz w:val="24"/>
                <w:szCs w:val="24"/>
                <w:highlight w:val="none"/>
                <w:lang w:val="en-US" w:eastAsia="zh-CN"/>
              </w:rPr>
              <w:t>为食品制造、酒、饮料制造企业，与本项目排放的污染物相似；</w:t>
            </w:r>
            <w:r>
              <w:rPr>
                <w:rFonts w:hint="eastAsia"/>
                <w:color w:val="auto"/>
                <w:sz w:val="24"/>
                <w:szCs w:val="24"/>
                <w:highlight w:val="none"/>
              </w:rPr>
              <w:t>云南蓝力智能装备制造有限公司</w:t>
            </w:r>
            <w:r>
              <w:rPr>
                <w:rFonts w:hint="eastAsia"/>
                <w:color w:val="auto"/>
                <w:sz w:val="24"/>
                <w:szCs w:val="24"/>
                <w:highlight w:val="none"/>
                <w:lang w:val="en-US" w:eastAsia="zh-CN"/>
              </w:rPr>
              <w:t>为特种设备制造企业，主要排放的污染物为颗粒物；</w:t>
            </w:r>
            <w:r>
              <w:rPr>
                <w:rFonts w:hint="eastAsia" w:ascii="宋体" w:hAnsi="宋体" w:eastAsia="宋体" w:cs="宋体"/>
                <w:color w:val="auto"/>
                <w:kern w:val="0"/>
                <w:sz w:val="24"/>
                <w:szCs w:val="24"/>
                <w:highlight w:val="none"/>
                <w:lang w:val="en-US" w:eastAsia="zh-CN" w:bidi="ar"/>
              </w:rPr>
              <w:t>项目运营过程中不会对上述企业产生较大的不利影响，同时上述企业的运行</w:t>
            </w:r>
            <w:r>
              <w:rPr>
                <w:rFonts w:hint="eastAsia"/>
                <w:color w:val="auto"/>
                <w:sz w:val="24"/>
                <w:szCs w:val="24"/>
                <w:lang w:val="en-US" w:eastAsia="zh-CN"/>
              </w:rPr>
              <w:t>对本项目的影响也较小</w:t>
            </w:r>
            <w:r>
              <w:rPr>
                <w:rFonts w:hint="eastAsia" w:ascii="宋体" w:hAnsi="宋体" w:eastAsia="宋体" w:cs="宋体"/>
                <w:color w:val="auto"/>
                <w:kern w:val="0"/>
                <w:sz w:val="24"/>
                <w:szCs w:val="24"/>
                <w:highlight w:val="none"/>
                <w:lang w:val="en-US" w:eastAsia="zh-CN" w:bidi="ar"/>
              </w:rPr>
              <w:t>。</w:t>
            </w:r>
          </w:p>
          <w:p w14:paraId="2BC57F72">
            <w:pPr>
              <w:keepNext w:val="0"/>
              <w:keepLines w:val="0"/>
              <w:pageBreakBefore w:val="0"/>
              <w:widowControl w:val="0"/>
              <w:kinsoku/>
              <w:wordWrap/>
              <w:overflowPunct/>
              <w:topLinePunct w:val="0"/>
              <w:autoSpaceDE w:val="0"/>
              <w:autoSpaceDN w:val="0"/>
              <w:bidi w:val="0"/>
              <w:adjustRightInd/>
              <w:snapToGrid/>
              <w:spacing w:line="336" w:lineRule="auto"/>
              <w:ind w:firstLine="480" w:firstLineChars="200"/>
              <w:textAlignment w:val="auto"/>
              <w:rPr>
                <w:rFonts w:hint="default"/>
                <w:b w:val="0"/>
                <w:bCs/>
                <w:color w:val="auto"/>
                <w:kern w:val="0"/>
                <w:sz w:val="24"/>
                <w:szCs w:val="24"/>
                <w:highlight w:val="none"/>
                <w:lang w:val="en-US" w:eastAsia="zh-CN"/>
              </w:rPr>
            </w:pPr>
            <w:r>
              <w:rPr>
                <w:rFonts w:hint="eastAsia"/>
                <w:b w:val="0"/>
                <w:bCs/>
                <w:color w:val="auto"/>
                <w:kern w:val="0"/>
                <w:sz w:val="24"/>
                <w:szCs w:val="24"/>
                <w:highlight w:val="none"/>
                <w:lang w:val="en-US" w:eastAsia="zh-CN"/>
              </w:rPr>
              <w:t>对本项目影响较大的企业为</w:t>
            </w:r>
            <w:r>
              <w:rPr>
                <w:rFonts w:hint="default" w:ascii="Times New Roman" w:hAnsi="Times New Roman" w:eastAsia="宋体" w:cs="Times New Roman"/>
                <w:b w:val="0"/>
                <w:bCs/>
                <w:color w:val="auto"/>
                <w:kern w:val="0"/>
                <w:sz w:val="24"/>
                <w:szCs w:val="24"/>
                <w:highlight w:val="none"/>
                <w:lang w:val="en-US" w:eastAsia="zh-CN"/>
              </w:rPr>
              <w:t>玉溪亿达铁合金有限公司</w:t>
            </w:r>
            <w:r>
              <w:rPr>
                <w:rFonts w:hint="eastAsia" w:ascii="Times New Roman" w:hAnsi="Times New Roman" w:eastAsia="宋体" w:cs="Times New Roman"/>
                <w:b w:val="0"/>
                <w:bCs/>
                <w:color w:val="auto"/>
                <w:kern w:val="0"/>
                <w:sz w:val="24"/>
                <w:szCs w:val="24"/>
                <w:highlight w:val="none"/>
                <w:lang w:val="en-US" w:eastAsia="zh-CN"/>
              </w:rPr>
              <w:t>，</w:t>
            </w:r>
            <w:r>
              <w:rPr>
                <w:rFonts w:hint="eastAsia" w:cs="Times New Roman"/>
                <w:b w:val="0"/>
                <w:bCs/>
                <w:color w:val="auto"/>
                <w:kern w:val="0"/>
                <w:sz w:val="24"/>
                <w:szCs w:val="24"/>
                <w:highlight w:val="none"/>
                <w:lang w:val="en-US" w:eastAsia="zh-CN"/>
              </w:rPr>
              <w:t>该</w:t>
            </w:r>
            <w:r>
              <w:rPr>
                <w:rFonts w:hint="eastAsia" w:ascii="Times New Roman" w:hAnsi="Times New Roman" w:eastAsia="宋体" w:cs="Times New Roman"/>
                <w:b w:val="0"/>
                <w:bCs/>
                <w:color w:val="auto"/>
                <w:kern w:val="0"/>
                <w:sz w:val="24"/>
                <w:szCs w:val="24"/>
                <w:highlight w:val="none"/>
                <w:lang w:val="en-US" w:eastAsia="zh-CN"/>
              </w:rPr>
              <w:t>企业采取相应的措施治理后各污染物均可达标排放，且本项目不在</w:t>
            </w:r>
            <w:r>
              <w:rPr>
                <w:rFonts w:hint="default" w:ascii="Times New Roman" w:hAnsi="Times New Roman" w:cs="Times New Roman"/>
                <w:color w:val="auto"/>
                <w:sz w:val="24"/>
                <w:szCs w:val="24"/>
                <w:highlight w:val="none"/>
                <w:lang w:val="en-US" w:eastAsia="zh-CN"/>
              </w:rPr>
              <w:t>玉溪亿达铁合金有限公司</w:t>
            </w:r>
            <w:r>
              <w:rPr>
                <w:rFonts w:hint="eastAsia" w:ascii="Times New Roman" w:hAnsi="Times New Roman" w:eastAsia="宋体" w:cs="Times New Roman"/>
                <w:bCs/>
                <w:color w:val="auto"/>
                <w:sz w:val="24"/>
                <w:szCs w:val="24"/>
                <w:highlight w:val="none"/>
                <w:lang w:val="en-US" w:eastAsia="zh-CN"/>
              </w:rPr>
              <w:t>年产20万吨硅锰合金及尾气废渣综合利用项目的防护距离内，故</w:t>
            </w:r>
            <w:r>
              <w:rPr>
                <w:rFonts w:hint="default" w:ascii="Times New Roman" w:hAnsi="Times New Roman" w:cs="Times New Roman"/>
                <w:color w:val="auto"/>
                <w:sz w:val="24"/>
                <w:szCs w:val="24"/>
                <w:highlight w:val="none"/>
                <w:lang w:val="en-US" w:eastAsia="zh-CN"/>
              </w:rPr>
              <w:t>玉溪亿达铁合金有限公司</w:t>
            </w:r>
            <w:r>
              <w:rPr>
                <w:rFonts w:hint="eastAsia" w:ascii="Times New Roman" w:hAnsi="Times New Roman" w:cs="Times New Roman"/>
                <w:color w:val="auto"/>
                <w:sz w:val="24"/>
                <w:szCs w:val="24"/>
                <w:highlight w:val="none"/>
                <w:lang w:val="en-US" w:eastAsia="zh-CN"/>
              </w:rPr>
              <w:t>建设的项目对本项目的影响</w:t>
            </w:r>
            <w:r>
              <w:rPr>
                <w:rFonts w:hint="eastAsia" w:cs="Times New Roman"/>
                <w:color w:val="auto"/>
                <w:sz w:val="24"/>
                <w:szCs w:val="24"/>
                <w:highlight w:val="none"/>
                <w:lang w:val="en-US" w:eastAsia="zh-CN"/>
              </w:rPr>
              <w:t>较小</w:t>
            </w:r>
            <w:r>
              <w:rPr>
                <w:rFonts w:hint="eastAsia" w:ascii="Times New Roman" w:hAnsi="Times New Roman" w:cs="Times New Roman"/>
                <w:color w:val="auto"/>
                <w:sz w:val="24"/>
                <w:szCs w:val="24"/>
                <w:highlight w:val="none"/>
                <w:lang w:val="en-US" w:eastAsia="zh-CN"/>
              </w:rPr>
              <w:t>。</w:t>
            </w:r>
          </w:p>
          <w:p w14:paraId="36093F6A">
            <w:pPr>
              <w:keepNext w:val="0"/>
              <w:keepLines w:val="0"/>
              <w:pageBreakBefore w:val="0"/>
              <w:widowControl w:val="0"/>
              <w:kinsoku/>
              <w:wordWrap/>
              <w:overflowPunct/>
              <w:topLinePunct w:val="0"/>
              <w:autoSpaceDE w:val="0"/>
              <w:autoSpaceDN w:val="0"/>
              <w:bidi w:val="0"/>
              <w:adjustRightInd/>
              <w:snapToGrid/>
              <w:spacing w:line="336" w:lineRule="auto"/>
              <w:ind w:firstLine="480" w:firstLineChars="200"/>
              <w:textAlignment w:val="auto"/>
              <w:rPr>
                <w:rFonts w:hint="eastAsia"/>
                <w:b w:val="0"/>
                <w:bCs/>
                <w:color w:val="auto"/>
                <w:kern w:val="0"/>
                <w:sz w:val="24"/>
                <w:szCs w:val="24"/>
                <w:highlight w:val="none"/>
                <w:lang w:val="en-US" w:eastAsia="zh-CN"/>
              </w:rPr>
            </w:pPr>
            <w:r>
              <w:rPr>
                <w:rFonts w:hint="eastAsia"/>
                <w:b w:val="0"/>
                <w:bCs/>
                <w:color w:val="auto"/>
                <w:kern w:val="0"/>
                <w:sz w:val="24"/>
                <w:szCs w:val="24"/>
                <w:highlight w:val="none"/>
                <w:lang w:val="en-US" w:eastAsia="zh-CN"/>
              </w:rPr>
              <w:t>综上所述，本项目的建设与周边环境相容。</w:t>
            </w:r>
          </w:p>
          <w:p w14:paraId="21BB855B">
            <w:pPr>
              <w:autoSpaceDE w:val="0"/>
              <w:autoSpaceDN w:val="0"/>
              <w:spacing w:line="360" w:lineRule="auto"/>
              <w:rPr>
                <w:rFonts w:hint="default"/>
                <w:b/>
                <w:bCs w:val="0"/>
                <w:color w:val="auto"/>
                <w:kern w:val="0"/>
                <w:sz w:val="24"/>
                <w:szCs w:val="24"/>
                <w:lang w:val="en-US" w:eastAsia="zh-CN"/>
              </w:rPr>
            </w:pPr>
            <w:r>
              <w:rPr>
                <w:rFonts w:hint="eastAsia"/>
                <w:b/>
                <w:bCs w:val="0"/>
                <w:color w:val="auto"/>
                <w:kern w:val="0"/>
                <w:sz w:val="24"/>
                <w:szCs w:val="24"/>
                <w:lang w:val="en-US" w:eastAsia="zh-CN"/>
              </w:rPr>
              <w:t>15、选址合理性分析</w:t>
            </w:r>
          </w:p>
          <w:p w14:paraId="548E828A">
            <w:pPr>
              <w:pStyle w:val="33"/>
              <w:rPr>
                <w:rFonts w:hint="default"/>
                <w:b w:val="0"/>
                <w:bCs/>
                <w:color w:val="auto"/>
                <w:kern w:val="0"/>
                <w:sz w:val="24"/>
                <w:szCs w:val="24"/>
                <w:highlight w:val="none"/>
                <w:lang w:val="en-US" w:eastAsia="zh-CN"/>
              </w:rPr>
            </w:pPr>
            <w:r>
              <w:rPr>
                <w:rFonts w:hint="eastAsia"/>
                <w:b w:val="0"/>
                <w:bCs/>
                <w:color w:val="auto"/>
                <w:kern w:val="0"/>
                <w:sz w:val="24"/>
                <w:szCs w:val="24"/>
                <w:highlight w:val="none"/>
                <w:lang w:val="en-US" w:eastAsia="zh-CN"/>
              </w:rPr>
              <w:t>项目位于云南省玉溪市元江县甘庄街道工业园区干坝片区，属于技改项目。</w:t>
            </w:r>
            <w:r>
              <w:rPr>
                <w:rFonts w:hint="eastAsia"/>
                <w:bCs/>
                <w:color w:val="auto"/>
                <w:sz w:val="24"/>
                <w:szCs w:val="24"/>
                <w:highlight w:val="none"/>
                <w:lang w:val="en-US" w:eastAsia="zh-CN"/>
              </w:rPr>
              <w:t>根据云南元江产业园区管理委员会出具的《关于云南果研社农业科技发展有限公司果蔬深加工项目的情况说明》，同意本项目暂时保留在干坝厂区进行生产。项目选址</w:t>
            </w:r>
            <w:r>
              <w:rPr>
                <w:rFonts w:hint="eastAsia"/>
                <w:b w:val="0"/>
                <w:bCs/>
                <w:color w:val="auto"/>
                <w:kern w:val="0"/>
                <w:sz w:val="24"/>
                <w:szCs w:val="24"/>
                <w:highlight w:val="none"/>
                <w:lang w:val="en-US" w:eastAsia="zh-CN"/>
              </w:rPr>
              <w:t>不涉及生态红线、基本农田，不涉及饮用水水源保护区、特殊保护文物古迹、自然保护区、生态功能保护区、风景名胜区等需要特殊保护的地区。项目运营期通过采取相应有效的污染防治措施后，项目对环境的影响较小。从环境保护角度而言，项目选址可行。</w:t>
            </w:r>
          </w:p>
          <w:p w14:paraId="602929ED">
            <w:pPr>
              <w:pStyle w:val="31"/>
              <w:rPr>
                <w:rFonts w:hint="default"/>
                <w:color w:val="auto"/>
                <w:lang w:val="en-US" w:eastAsia="zh-CN"/>
              </w:rPr>
            </w:pPr>
          </w:p>
        </w:tc>
      </w:tr>
    </w:tbl>
    <w:p w14:paraId="250B37F8">
      <w:pPr>
        <w:spacing w:line="360" w:lineRule="auto"/>
        <w:outlineLvl w:val="9"/>
        <w:rPr>
          <w:rFonts w:eastAsia="黑体"/>
          <w:color w:val="auto"/>
          <w:sz w:val="30"/>
        </w:rPr>
        <w:sectPr>
          <w:footerReference r:id="rId6" w:type="default"/>
          <w:pgSz w:w="11906" w:h="16838"/>
          <w:pgMar w:top="1701" w:right="1531" w:bottom="1701" w:left="1531" w:header="851" w:footer="1077" w:gutter="0"/>
          <w:pgNumType w:fmt="numberInDash" w:start="1"/>
          <w:cols w:space="720" w:num="1"/>
          <w:docGrid w:linePitch="312" w:charSpace="0"/>
        </w:sectPr>
      </w:pPr>
    </w:p>
    <w:p w14:paraId="328A73E8">
      <w:pPr>
        <w:pStyle w:val="19"/>
        <w:jc w:val="center"/>
        <w:outlineLvl w:val="0"/>
        <w:rPr>
          <w:rFonts w:ascii="Times New Roman" w:hAnsi="Times New Roman" w:eastAsia="黑体" w:cs="Times New Roman"/>
          <w:snapToGrid w:val="0"/>
          <w:color w:val="auto"/>
          <w:sz w:val="30"/>
          <w:szCs w:val="30"/>
        </w:rPr>
      </w:pPr>
      <w:bookmarkStart w:id="5" w:name="_Toc15219"/>
      <w:r>
        <w:rPr>
          <w:rFonts w:ascii="Times New Roman" w:hAnsi="Times New Roman" w:eastAsia="黑体" w:cs="Times New Roman"/>
          <w:snapToGrid w:val="0"/>
          <w:color w:val="auto"/>
          <w:sz w:val="30"/>
          <w:szCs w:val="30"/>
        </w:rPr>
        <w:t>二、建设项目工程分析</w:t>
      </w:r>
      <w:bookmarkEnd w:id="5"/>
    </w:p>
    <w:tbl>
      <w:tblPr>
        <w:tblStyle w:val="22"/>
        <w:tblW w:w="4993"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5"/>
        <w:gridCol w:w="8273"/>
      </w:tblGrid>
      <w:tr w14:paraId="3994F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8" w:type="pct"/>
            <w:vAlign w:val="center"/>
          </w:tcPr>
          <w:p w14:paraId="102DBDD7">
            <w:pPr>
              <w:pStyle w:val="19"/>
              <w:adjustRightInd w:val="0"/>
              <w:snapToGrid w:val="0"/>
              <w:spacing w:before="0" w:beforeAutospacing="0" w:after="0" w:afterAutospacing="0"/>
              <w:jc w:val="center"/>
              <w:rPr>
                <w:rFonts w:ascii="Times New Roman" w:hAnsi="Times New Roman" w:cs="Times New Roman"/>
                <w:color w:val="auto"/>
                <w:sz w:val="24"/>
                <w:szCs w:val="24"/>
              </w:rPr>
            </w:pPr>
            <w:r>
              <w:rPr>
                <w:rFonts w:ascii="Times New Roman" w:hAnsi="Times New Roman" w:cs="Times New Roman"/>
                <w:color w:val="auto"/>
                <w:sz w:val="24"/>
                <w:szCs w:val="24"/>
              </w:rPr>
              <w:t>建设内容</w:t>
            </w:r>
          </w:p>
        </w:tc>
        <w:tc>
          <w:tcPr>
            <w:tcW w:w="4571" w:type="pct"/>
          </w:tcPr>
          <w:p w14:paraId="7E577248">
            <w:pPr>
              <w:adjustRightInd w:val="0"/>
              <w:snapToGrid w:val="0"/>
              <w:spacing w:line="360" w:lineRule="auto"/>
              <w:rPr>
                <w:b/>
                <w:bCs/>
                <w:color w:val="auto"/>
                <w:sz w:val="24"/>
              </w:rPr>
            </w:pPr>
            <w:r>
              <w:rPr>
                <w:b/>
                <w:bCs/>
                <w:color w:val="auto"/>
                <w:sz w:val="24"/>
              </w:rPr>
              <w:t>1</w:t>
            </w:r>
            <w:r>
              <w:rPr>
                <w:rFonts w:hint="eastAsia"/>
                <w:b/>
                <w:bCs/>
                <w:color w:val="auto"/>
                <w:sz w:val="24"/>
                <w:lang w:eastAsia="zh-CN"/>
              </w:rPr>
              <w:t>、</w:t>
            </w:r>
            <w:r>
              <w:rPr>
                <w:b/>
                <w:bCs/>
                <w:color w:val="auto"/>
                <w:sz w:val="24"/>
              </w:rPr>
              <w:t>项目由来</w:t>
            </w:r>
          </w:p>
          <w:p w14:paraId="568DC9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lang w:val="en-US" w:eastAsia="zh-CN"/>
              </w:rPr>
            </w:pPr>
            <w:r>
              <w:rPr>
                <w:color w:val="auto"/>
                <w:sz w:val="24"/>
              </w:rPr>
              <w:t>云南果研社农业科技发展有限公司</w:t>
            </w:r>
            <w:r>
              <w:rPr>
                <w:rFonts w:hint="eastAsia"/>
                <w:color w:val="auto"/>
                <w:sz w:val="24"/>
                <w:lang w:eastAsia="zh-CN"/>
              </w:rPr>
              <w:t>（</w:t>
            </w:r>
            <w:r>
              <w:rPr>
                <w:rFonts w:hint="eastAsia"/>
                <w:color w:val="auto"/>
                <w:sz w:val="24"/>
                <w:lang w:val="en-US" w:eastAsia="zh-CN"/>
              </w:rPr>
              <w:t>以下简称“建设单位”</w:t>
            </w:r>
            <w:r>
              <w:rPr>
                <w:rFonts w:hint="eastAsia"/>
                <w:color w:val="auto"/>
                <w:sz w:val="24"/>
                <w:lang w:eastAsia="zh-CN"/>
              </w:rPr>
              <w:t>）</w:t>
            </w:r>
            <w:r>
              <w:rPr>
                <w:rFonts w:hint="eastAsia"/>
                <w:color w:val="auto"/>
                <w:sz w:val="24"/>
                <w:lang w:val="en-US" w:eastAsia="zh-CN"/>
              </w:rPr>
              <w:t>位于</w:t>
            </w:r>
            <w:r>
              <w:rPr>
                <w:color w:val="auto"/>
                <w:sz w:val="24"/>
              </w:rPr>
              <w:t>玉溪市元江县甘庄街道工</w:t>
            </w:r>
            <w:r>
              <w:rPr>
                <w:color w:val="auto"/>
                <w:sz w:val="24"/>
                <w:szCs w:val="24"/>
              </w:rPr>
              <w:t>业园区干坝片区</w:t>
            </w:r>
            <w:r>
              <w:rPr>
                <w:rFonts w:hint="eastAsia"/>
                <w:color w:val="auto"/>
                <w:sz w:val="24"/>
                <w:szCs w:val="24"/>
                <w:lang w:eastAsia="zh-CN"/>
              </w:rPr>
              <w:t>，</w:t>
            </w:r>
            <w:r>
              <w:rPr>
                <w:rFonts w:hint="eastAsia"/>
                <w:color w:val="auto"/>
                <w:sz w:val="24"/>
                <w:lang w:val="en-US" w:eastAsia="zh-CN"/>
              </w:rPr>
              <w:t>属于云南元江产业园区甘庄片区。</w:t>
            </w:r>
          </w:p>
          <w:p w14:paraId="1428E5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Times New Roman"/>
                <w:color w:val="auto"/>
                <w:sz w:val="24"/>
                <w:lang w:val="en-US" w:eastAsia="zh-CN"/>
              </w:rPr>
            </w:pPr>
            <w:r>
              <w:rPr>
                <w:rFonts w:hint="eastAsia"/>
                <w:color w:val="auto"/>
                <w:sz w:val="24"/>
                <w:lang w:val="en-US" w:eastAsia="zh-CN"/>
              </w:rPr>
              <w:t>2022年2月，建设单位委托云南国策环保科技有限公司编制完成</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云南果研社农业科技发展有限公司速冻果蔬食品项目</w:t>
            </w:r>
            <w:r>
              <w:rPr>
                <w:rFonts w:hint="eastAsia" w:ascii="Times New Roman" w:hAnsi="Times New Roman" w:eastAsia="宋体" w:cs="Times New Roman"/>
                <w:color w:val="auto"/>
                <w:sz w:val="24"/>
                <w:lang w:val="en-US" w:eastAsia="zh-CN"/>
              </w:rPr>
              <w:t>环境影响报告表》</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并于2022年7月13日取得了</w:t>
            </w:r>
            <w:r>
              <w:rPr>
                <w:rFonts w:hint="eastAsia" w:ascii="Times New Roman" w:hAnsi="Times New Roman" w:cs="Times New Roman"/>
                <w:color w:val="auto"/>
                <w:sz w:val="24"/>
                <w:szCs w:val="24"/>
              </w:rPr>
              <w:t>玉溪市生态环境局</w:t>
            </w:r>
            <w:r>
              <w:rPr>
                <w:rFonts w:hint="eastAsia" w:ascii="Times New Roman" w:hAnsi="Times New Roman" w:cs="Times New Roman"/>
                <w:color w:val="auto"/>
                <w:sz w:val="24"/>
                <w:szCs w:val="24"/>
                <w:lang w:val="en-US" w:eastAsia="zh-CN"/>
              </w:rPr>
              <w:t>元江</w:t>
            </w:r>
            <w:r>
              <w:rPr>
                <w:rFonts w:hint="eastAsia" w:ascii="Times New Roman" w:hAnsi="Times New Roman" w:cs="Times New Roman"/>
                <w:color w:val="auto"/>
                <w:sz w:val="24"/>
                <w:szCs w:val="24"/>
              </w:rPr>
              <w:t>分局</w:t>
            </w:r>
            <w:r>
              <w:rPr>
                <w:rFonts w:hint="eastAsia" w:cs="Times New Roman"/>
                <w:color w:val="auto"/>
                <w:sz w:val="24"/>
                <w:szCs w:val="24"/>
                <w:lang w:val="en-US" w:eastAsia="zh-CN"/>
              </w:rPr>
              <w:t>出具的</w:t>
            </w:r>
            <w:r>
              <w:rPr>
                <w:rFonts w:hint="eastAsia" w:cs="Times New Roman"/>
                <w:color w:val="auto"/>
                <w:sz w:val="24"/>
                <w:lang w:eastAsia="zh-CN"/>
              </w:rPr>
              <w:t>《</w:t>
            </w:r>
            <w:r>
              <w:rPr>
                <w:rFonts w:hint="eastAsia" w:ascii="Times New Roman" w:hAnsi="Times New Roman" w:cs="Times New Roman"/>
                <w:color w:val="auto"/>
                <w:sz w:val="24"/>
                <w:szCs w:val="24"/>
              </w:rPr>
              <w:t>玉溪市生态环境局</w:t>
            </w:r>
            <w:r>
              <w:rPr>
                <w:rFonts w:hint="eastAsia" w:ascii="Times New Roman" w:hAnsi="Times New Roman" w:cs="Times New Roman"/>
                <w:color w:val="auto"/>
                <w:sz w:val="24"/>
                <w:szCs w:val="24"/>
                <w:lang w:val="en-US" w:eastAsia="zh-CN"/>
              </w:rPr>
              <w:t>元江</w:t>
            </w:r>
            <w:r>
              <w:rPr>
                <w:rFonts w:hint="eastAsia" w:ascii="Times New Roman" w:hAnsi="Times New Roman" w:cs="Times New Roman"/>
                <w:color w:val="auto"/>
                <w:sz w:val="24"/>
                <w:szCs w:val="24"/>
              </w:rPr>
              <w:t>分局关于</w:t>
            </w:r>
            <w:r>
              <w:rPr>
                <w:rFonts w:hint="default" w:ascii="Times New Roman" w:hAnsi="Times New Roman" w:eastAsia="宋体" w:cs="Times New Roman"/>
                <w:color w:val="auto"/>
                <w:sz w:val="24"/>
              </w:rPr>
              <w:t>云南果研社农业科技发展有限公司速冻果蔬食品项目</w:t>
            </w:r>
            <w:r>
              <w:rPr>
                <w:rFonts w:hint="eastAsia" w:ascii="Times New Roman" w:hAnsi="Times New Roman" w:cs="Times New Roman"/>
                <w:color w:val="auto"/>
                <w:sz w:val="24"/>
                <w:szCs w:val="24"/>
              </w:rPr>
              <w:t>环境影响报告表</w:t>
            </w:r>
            <w:r>
              <w:rPr>
                <w:rFonts w:hint="eastAsia" w:cs="Times New Roman"/>
                <w:color w:val="auto"/>
                <w:sz w:val="24"/>
                <w:lang w:val="en-US" w:eastAsia="zh-CN"/>
              </w:rPr>
              <w:t>》的批复（玉环元审</w:t>
            </w:r>
            <w:r>
              <w:rPr>
                <w:rFonts w:hint="eastAsia" w:ascii="宋体" w:hAnsi="宋体" w:eastAsia="宋体" w:cs="宋体"/>
                <w:color w:val="auto"/>
                <w:sz w:val="24"/>
                <w:lang w:val="en-US" w:eastAsia="zh-CN"/>
              </w:rPr>
              <w:t>〔</w:t>
            </w:r>
            <w:r>
              <w:rPr>
                <w:rFonts w:hint="eastAsia" w:cs="Times New Roman"/>
                <w:color w:val="auto"/>
                <w:sz w:val="24"/>
                <w:lang w:val="en-US" w:eastAsia="zh-CN"/>
              </w:rPr>
              <w:t>2022</w:t>
            </w:r>
            <w:r>
              <w:rPr>
                <w:rFonts w:hint="eastAsia" w:ascii="宋体" w:hAnsi="宋体" w:eastAsia="宋体" w:cs="宋体"/>
                <w:color w:val="auto"/>
                <w:sz w:val="24"/>
                <w:lang w:val="en-US" w:eastAsia="zh-CN"/>
              </w:rPr>
              <w:t>〕</w:t>
            </w:r>
            <w:r>
              <w:rPr>
                <w:rFonts w:hint="eastAsia" w:cs="Times New Roman"/>
                <w:color w:val="auto"/>
                <w:sz w:val="24"/>
                <w:lang w:val="en-US" w:eastAsia="zh-CN"/>
              </w:rPr>
              <w:t>8号）。该项目建设过程中，由于</w:t>
            </w:r>
            <w:r>
              <w:rPr>
                <w:rFonts w:hint="eastAsia" w:cs="Times New Roman"/>
                <w:color w:val="auto"/>
                <w:sz w:val="24"/>
                <w:szCs w:val="24"/>
                <w:lang w:val="en-US" w:eastAsia="zh-CN"/>
              </w:rPr>
              <w:t>发生重大变动，建设单位于2023年5月委托云南协同环保工程有限公司编制了《云南果研社农业科技发展有限公司速冻果蔬食品项目（重新报批）</w:t>
            </w:r>
            <w:r>
              <w:rPr>
                <w:rFonts w:hint="eastAsia" w:ascii="Times New Roman" w:hAnsi="Times New Roman" w:eastAsia="宋体" w:cs="Times New Roman"/>
                <w:color w:val="auto"/>
                <w:sz w:val="24"/>
                <w:lang w:val="en-US" w:eastAsia="zh-CN"/>
              </w:rPr>
              <w:t>环境影响报告表</w:t>
            </w:r>
            <w:r>
              <w:rPr>
                <w:rFonts w:hint="eastAsia" w:cs="Times New Roman"/>
                <w:color w:val="auto"/>
                <w:sz w:val="24"/>
                <w:szCs w:val="24"/>
                <w:lang w:val="en-US" w:eastAsia="zh-CN"/>
              </w:rPr>
              <w:t>》，并于2023年8月30日取得了</w:t>
            </w:r>
            <w:r>
              <w:rPr>
                <w:rFonts w:hint="eastAsia" w:ascii="Times New Roman" w:hAnsi="Times New Roman" w:cs="Times New Roman"/>
                <w:color w:val="auto"/>
                <w:sz w:val="24"/>
                <w:szCs w:val="24"/>
              </w:rPr>
              <w:t>玉溪市生态环境局</w:t>
            </w:r>
            <w:r>
              <w:rPr>
                <w:rFonts w:hint="eastAsia" w:ascii="Times New Roman" w:hAnsi="Times New Roman" w:cs="Times New Roman"/>
                <w:color w:val="auto"/>
                <w:sz w:val="24"/>
                <w:szCs w:val="24"/>
                <w:lang w:val="en-US" w:eastAsia="zh-CN"/>
              </w:rPr>
              <w:t>元江</w:t>
            </w:r>
            <w:r>
              <w:rPr>
                <w:rFonts w:hint="eastAsia" w:ascii="Times New Roman" w:hAnsi="Times New Roman" w:cs="Times New Roman"/>
                <w:color w:val="auto"/>
                <w:sz w:val="24"/>
                <w:szCs w:val="24"/>
              </w:rPr>
              <w:t>分局</w:t>
            </w:r>
            <w:r>
              <w:rPr>
                <w:rFonts w:hint="eastAsia" w:ascii="Times New Roman" w:hAnsi="Times New Roman" w:cs="Times New Roman"/>
                <w:color w:val="auto"/>
                <w:sz w:val="24"/>
                <w:szCs w:val="24"/>
                <w:lang w:val="en-US" w:eastAsia="zh-CN"/>
              </w:rPr>
              <w:t>关于该项目的环评批复（</w:t>
            </w:r>
            <w:r>
              <w:rPr>
                <w:rFonts w:hint="eastAsia" w:cs="Times New Roman"/>
                <w:color w:val="auto"/>
                <w:sz w:val="24"/>
                <w:lang w:val="en-US" w:eastAsia="zh-CN"/>
              </w:rPr>
              <w:t>玉环元审</w:t>
            </w:r>
            <w:r>
              <w:rPr>
                <w:rFonts w:hint="eastAsia" w:ascii="宋体" w:hAnsi="宋体" w:eastAsia="宋体" w:cs="宋体"/>
                <w:color w:val="auto"/>
                <w:sz w:val="24"/>
                <w:lang w:val="en-US" w:eastAsia="zh-CN"/>
              </w:rPr>
              <w:t>〔</w:t>
            </w:r>
            <w:r>
              <w:rPr>
                <w:rFonts w:hint="eastAsia" w:cs="Times New Roman"/>
                <w:color w:val="auto"/>
                <w:sz w:val="24"/>
                <w:lang w:val="en-US" w:eastAsia="zh-CN"/>
              </w:rPr>
              <w:t>2023</w:t>
            </w:r>
            <w:r>
              <w:rPr>
                <w:rFonts w:hint="eastAsia" w:ascii="宋体" w:hAnsi="宋体" w:eastAsia="宋体" w:cs="宋体"/>
                <w:color w:val="auto"/>
                <w:sz w:val="24"/>
                <w:lang w:val="en-US" w:eastAsia="zh-CN"/>
              </w:rPr>
              <w:t>〕</w:t>
            </w:r>
            <w:r>
              <w:rPr>
                <w:rFonts w:hint="eastAsia" w:cs="Times New Roman"/>
                <w:color w:val="auto"/>
                <w:sz w:val="24"/>
                <w:lang w:val="en-US" w:eastAsia="zh-CN"/>
              </w:rPr>
              <w:t>21号</w:t>
            </w:r>
            <w:r>
              <w:rPr>
                <w:rFonts w:hint="eastAsia" w:ascii="Times New Roman" w:hAnsi="Times New Roman" w:cs="Times New Roman"/>
                <w:color w:val="auto"/>
                <w:sz w:val="24"/>
                <w:szCs w:val="24"/>
                <w:lang w:val="en-US" w:eastAsia="zh-CN"/>
              </w:rPr>
              <w:t>）。重新报批</w:t>
            </w:r>
            <w:r>
              <w:rPr>
                <w:rFonts w:hint="eastAsia" w:cs="Times New Roman"/>
                <w:color w:val="auto"/>
                <w:sz w:val="24"/>
                <w:szCs w:val="24"/>
                <w:lang w:val="en-US" w:eastAsia="zh-CN"/>
              </w:rPr>
              <w:t>项目</w:t>
            </w:r>
            <w:r>
              <w:rPr>
                <w:rFonts w:hint="eastAsia" w:ascii="Times New Roman" w:hAnsi="Times New Roman" w:cs="Times New Roman"/>
                <w:color w:val="auto"/>
                <w:sz w:val="24"/>
                <w:szCs w:val="24"/>
                <w:lang w:val="en-US" w:eastAsia="zh-CN"/>
              </w:rPr>
              <w:t>取得环评批复后</w:t>
            </w:r>
            <w:r>
              <w:rPr>
                <w:rFonts w:hint="eastAsia" w:cs="Times New Roman"/>
                <w:color w:val="auto"/>
                <w:sz w:val="24"/>
                <w:szCs w:val="24"/>
                <w:lang w:val="en-US" w:eastAsia="zh-CN"/>
              </w:rPr>
              <w:t>建设单位对</w:t>
            </w:r>
            <w:r>
              <w:rPr>
                <w:rFonts w:hint="eastAsia" w:ascii="Times New Roman" w:hAnsi="Times New Roman" w:cs="Times New Roman"/>
                <w:color w:val="auto"/>
                <w:sz w:val="24"/>
                <w:szCs w:val="24"/>
                <w:lang w:val="en-US" w:eastAsia="zh-CN"/>
              </w:rPr>
              <w:t>配套环保设施</w:t>
            </w:r>
            <w:r>
              <w:rPr>
                <w:rFonts w:hint="eastAsia" w:cs="Times New Roman"/>
                <w:color w:val="auto"/>
                <w:sz w:val="24"/>
                <w:szCs w:val="24"/>
                <w:lang w:val="en-US" w:eastAsia="zh-CN"/>
              </w:rPr>
              <w:t>进行建设</w:t>
            </w:r>
            <w:r>
              <w:rPr>
                <w:rFonts w:hint="eastAsia" w:ascii="Times New Roman" w:hAnsi="Times New Roman" w:cs="Times New Roman"/>
                <w:color w:val="auto"/>
                <w:sz w:val="24"/>
                <w:szCs w:val="24"/>
                <w:lang w:val="en-US" w:eastAsia="zh-CN"/>
              </w:rPr>
              <w:t>，并于2024年3月21日通过了自主竣工环保验收，并形成验收意见。</w:t>
            </w:r>
          </w:p>
          <w:p w14:paraId="77A32B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现因市场发展需求，全部产品需进行高温蒸汽灭菌处理，因此，建设单位拟对现有生产工艺进行技术改造。同时，因《产业结构调整指导目录（2024年本）》中“每小时2蒸吨及以下生物质锅炉”属于淘汰类，综上，将现有2t/h燃生物质锅炉拆除，更换为2.2t/h燃生物质锅炉。本次技改在现有厂房内进行，不新增用地，技改后产品及产能不变。</w:t>
            </w:r>
          </w:p>
          <w:p w14:paraId="6F236A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lang w:val="en-US" w:eastAsia="zh-CN"/>
              </w:rPr>
            </w:pPr>
            <w:r>
              <w:rPr>
                <w:rFonts w:hint="eastAsia" w:cs="Times New Roman"/>
                <w:b w:val="0"/>
                <w:bCs/>
                <w:color w:val="auto"/>
                <w:sz w:val="24"/>
                <w:szCs w:val="20"/>
                <w:highlight w:val="none"/>
                <w:lang w:val="en-US" w:eastAsia="zh-CN"/>
              </w:rPr>
              <w:t>2025</w:t>
            </w:r>
            <w:r>
              <w:rPr>
                <w:rFonts w:hint="eastAsia" w:ascii="Times New Roman" w:hAnsi="Times New Roman" w:eastAsia="宋体" w:cs="Times New Roman"/>
                <w:b w:val="0"/>
                <w:bCs/>
                <w:color w:val="auto"/>
                <w:sz w:val="24"/>
                <w:szCs w:val="20"/>
                <w:highlight w:val="none"/>
                <w:lang w:val="en-US" w:eastAsia="zh-CN"/>
              </w:rPr>
              <w:t>年</w:t>
            </w:r>
            <w:r>
              <w:rPr>
                <w:rFonts w:hint="eastAsia" w:cs="Times New Roman"/>
                <w:b w:val="0"/>
                <w:bCs/>
                <w:color w:val="auto"/>
                <w:sz w:val="24"/>
                <w:szCs w:val="20"/>
                <w:highlight w:val="none"/>
                <w:lang w:val="en-US" w:eastAsia="zh-CN"/>
              </w:rPr>
              <w:t>11</w:t>
            </w:r>
            <w:r>
              <w:rPr>
                <w:rFonts w:hint="eastAsia" w:ascii="Times New Roman" w:hAnsi="Times New Roman" w:eastAsia="宋体" w:cs="Times New Roman"/>
                <w:b w:val="0"/>
                <w:bCs/>
                <w:color w:val="auto"/>
                <w:sz w:val="24"/>
                <w:szCs w:val="20"/>
                <w:highlight w:val="none"/>
                <w:lang w:val="en-US" w:eastAsia="zh-CN"/>
              </w:rPr>
              <w:t>月</w:t>
            </w:r>
            <w:r>
              <w:rPr>
                <w:rFonts w:hint="eastAsia" w:cs="Times New Roman"/>
                <w:b w:val="0"/>
                <w:bCs/>
                <w:color w:val="auto"/>
                <w:sz w:val="24"/>
                <w:szCs w:val="20"/>
                <w:highlight w:val="none"/>
                <w:lang w:val="en-US" w:eastAsia="zh-CN"/>
              </w:rPr>
              <w:t>27</w:t>
            </w:r>
            <w:r>
              <w:rPr>
                <w:rFonts w:hint="eastAsia" w:ascii="Times New Roman" w:hAnsi="Times New Roman" w:eastAsia="宋体" w:cs="Times New Roman"/>
                <w:b w:val="0"/>
                <w:bCs/>
                <w:color w:val="auto"/>
                <w:sz w:val="24"/>
                <w:szCs w:val="20"/>
                <w:highlight w:val="none"/>
                <w:lang w:val="en-US" w:eastAsia="zh-CN"/>
              </w:rPr>
              <w:t>日，建设单位取得了</w:t>
            </w:r>
            <w:r>
              <w:rPr>
                <w:rFonts w:hint="eastAsia" w:cs="Times New Roman"/>
                <w:b w:val="0"/>
                <w:bCs/>
                <w:color w:val="auto"/>
                <w:sz w:val="24"/>
                <w:szCs w:val="20"/>
                <w:highlight w:val="none"/>
                <w:lang w:val="en-US" w:eastAsia="zh-CN"/>
              </w:rPr>
              <w:t>元江县发展和改革局核发的</w:t>
            </w:r>
            <w:r>
              <w:rPr>
                <w:rFonts w:hint="eastAsia" w:ascii="Times New Roman" w:hAnsi="Times New Roman" w:eastAsia="宋体" w:cs="Times New Roman"/>
                <w:b w:val="0"/>
                <w:bCs/>
                <w:color w:val="auto"/>
                <w:sz w:val="24"/>
                <w:szCs w:val="20"/>
                <w:highlight w:val="none"/>
                <w:lang w:val="en-US" w:eastAsia="zh-CN"/>
              </w:rPr>
              <w:t>《云南省固定资产投资项目备案证》，项目代码为：2511-530428-04-02-573619。</w:t>
            </w:r>
          </w:p>
          <w:p w14:paraId="74DC93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eastAsia" w:cs="Times New Roman"/>
                <w:color w:val="auto"/>
                <w:sz w:val="24"/>
                <w:szCs w:val="24"/>
                <w:highlight w:val="none"/>
                <w:lang w:val="en-US" w:eastAsia="zh-CN"/>
              </w:rPr>
              <w:t>根据</w:t>
            </w:r>
            <w:r>
              <w:rPr>
                <w:rFonts w:hint="default" w:ascii="Times New Roman" w:hAnsi="Times New Roman" w:cs="Times New Roman"/>
                <w:color w:val="auto"/>
                <w:sz w:val="24"/>
                <w:szCs w:val="24"/>
                <w:highlight w:val="none"/>
              </w:rPr>
              <w:t>《建设项目环境影响评价分类管理名录》</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本项目属于</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十二、酒、饮料制造业中2</w:t>
            </w:r>
            <w:r>
              <w:rPr>
                <w:rFonts w:hint="eastAsia" w:ascii="Times New Roman" w:hAnsi="Times New Roman" w:eastAsia="宋体" w:cs="Times New Roman"/>
                <w:color w:val="auto"/>
                <w:sz w:val="24"/>
                <w:szCs w:val="24"/>
                <w:highlight w:val="none"/>
                <w:lang w:val="en-US" w:eastAsia="zh-CN"/>
              </w:rPr>
              <w:t>6有发酵工艺、</w:t>
            </w:r>
            <w:r>
              <w:rPr>
                <w:rFonts w:hint="default" w:ascii="Times New Roman" w:hAnsi="Times New Roman" w:eastAsia="宋体" w:cs="Times New Roman"/>
                <w:color w:val="auto"/>
                <w:sz w:val="24"/>
                <w:szCs w:val="24"/>
                <w:highlight w:val="none"/>
              </w:rPr>
              <w:t>原汁生产的</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bCs/>
                <w:color w:val="auto"/>
                <w:sz w:val="24"/>
                <w:highlight w:val="none"/>
              </w:rPr>
              <w:t>应编制环境影响报告表。</w:t>
            </w:r>
            <w:r>
              <w:rPr>
                <w:rFonts w:hint="default" w:ascii="Times New Roman" w:hAnsi="Times New Roman" w:cs="Times New Roman"/>
                <w:color w:val="auto"/>
                <w:sz w:val="24"/>
                <w:szCs w:val="24"/>
                <w:lang w:val="en-US" w:eastAsia="zh-CN"/>
              </w:rPr>
              <w:t>建设单位</w:t>
            </w:r>
            <w:r>
              <w:rPr>
                <w:rFonts w:hint="default" w:ascii="Times New Roman" w:hAnsi="Times New Roman" w:cs="Times New Roman"/>
                <w:color w:val="auto"/>
                <w:sz w:val="24"/>
                <w:szCs w:val="24"/>
                <w:highlight w:val="none"/>
                <w:lang w:val="en-US" w:eastAsia="zh-CN"/>
              </w:rPr>
              <w:t>委托我公司</w:t>
            </w:r>
            <w:r>
              <w:rPr>
                <w:rFonts w:hint="default" w:ascii="Times New Roman" w:hAnsi="Times New Roman" w:cs="Times New Roman"/>
                <w:color w:val="auto"/>
                <w:sz w:val="24"/>
                <w:highlight w:val="none"/>
              </w:rPr>
              <w:t>承担该项目环境影响报告表的编制工作，委托书详见附件1。评价单位组织技术人员进行现场调查和踏勘，并收集了相关资料，按照国家相关法律法规和</w:t>
            </w:r>
            <w:r>
              <w:rPr>
                <w:rFonts w:hint="default" w:ascii="Times New Roman" w:hAnsi="Times New Roman" w:cs="Times New Roman"/>
                <w:color w:val="auto"/>
                <w:sz w:val="24"/>
                <w:highlight w:val="none"/>
                <w:lang w:val="en-US" w:eastAsia="zh-CN"/>
              </w:rPr>
              <w:t>编制技术指南</w:t>
            </w:r>
            <w:r>
              <w:rPr>
                <w:rFonts w:hint="default" w:ascii="Times New Roman" w:hAnsi="Times New Roman" w:cs="Times New Roman"/>
                <w:color w:val="auto"/>
                <w:sz w:val="24"/>
                <w:highlight w:val="none"/>
              </w:rPr>
              <w:t>的要求，通过分析和评价，编制了《</w:t>
            </w:r>
            <w:r>
              <w:rPr>
                <w:rFonts w:hint="eastAsia" w:ascii="宋体" w:hAnsi="宋体" w:eastAsia="宋体" w:cs="宋体"/>
                <w:color w:val="auto"/>
                <w:kern w:val="2"/>
                <w:sz w:val="24"/>
                <w:szCs w:val="24"/>
                <w:highlight w:val="none"/>
              </w:rPr>
              <w:t>速冻果蔬食品技改项目</w:t>
            </w:r>
            <w:r>
              <w:rPr>
                <w:rFonts w:hint="eastAsia" w:cs="Times New Roman"/>
                <w:color w:val="auto"/>
                <w:sz w:val="24"/>
                <w:szCs w:val="24"/>
                <w:highlight w:val="none"/>
                <w:lang w:val="en-US" w:eastAsia="zh-CN"/>
              </w:rPr>
              <w:t>环境影响报告表</w:t>
            </w:r>
            <w:r>
              <w:rPr>
                <w:rFonts w:hint="default" w:ascii="Times New Roman" w:hAnsi="Times New Roman" w:cs="Times New Roman"/>
                <w:color w:val="auto"/>
                <w:sz w:val="24"/>
                <w:highlight w:val="none"/>
              </w:rPr>
              <w:t>》，供建设单位上报审批。</w:t>
            </w:r>
          </w:p>
          <w:p w14:paraId="6775A07F">
            <w:pPr>
              <w:adjustRightInd w:val="0"/>
              <w:snapToGrid w:val="0"/>
              <w:spacing w:line="360" w:lineRule="auto"/>
              <w:rPr>
                <w:rFonts w:hint="default"/>
                <w:b/>
                <w:bCs/>
                <w:color w:val="auto"/>
                <w:sz w:val="24"/>
                <w:lang w:val="en-US" w:eastAsia="zh-CN"/>
              </w:rPr>
            </w:pPr>
            <w:r>
              <w:rPr>
                <w:b/>
                <w:bCs/>
                <w:color w:val="auto"/>
                <w:sz w:val="24"/>
              </w:rPr>
              <w:t>2</w:t>
            </w:r>
            <w:r>
              <w:rPr>
                <w:rFonts w:hint="eastAsia"/>
                <w:b/>
                <w:bCs/>
                <w:color w:val="auto"/>
                <w:sz w:val="24"/>
                <w:lang w:eastAsia="zh-CN"/>
              </w:rPr>
              <w:t>、</w:t>
            </w:r>
            <w:r>
              <w:rPr>
                <w:rFonts w:hint="eastAsia"/>
                <w:b/>
                <w:bCs/>
                <w:color w:val="auto"/>
                <w:sz w:val="24"/>
                <w:lang w:val="en-US" w:eastAsia="zh-CN"/>
              </w:rPr>
              <w:t>项目概况</w:t>
            </w:r>
          </w:p>
          <w:p w14:paraId="38516BD7">
            <w:pPr>
              <w:keepNext w:val="0"/>
              <w:keepLines w:val="0"/>
              <w:pageBreakBefore w:val="0"/>
              <w:widowControl w:val="0"/>
              <w:kinsoku/>
              <w:wordWrap/>
              <w:overflowPunct/>
              <w:topLinePunct w:val="0"/>
              <w:bidi w:val="0"/>
              <w:adjustRightInd/>
              <w:snapToGrid/>
              <w:spacing w:line="360" w:lineRule="auto"/>
              <w:ind w:firstLine="48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项目名称：</w:t>
            </w:r>
            <w:r>
              <w:rPr>
                <w:rFonts w:hint="default" w:ascii="Times New Roman" w:hAnsi="Times New Roman" w:cs="Times New Roman"/>
                <w:color w:val="auto"/>
                <w:sz w:val="24"/>
                <w:szCs w:val="24"/>
                <w:highlight w:val="none"/>
              </w:rPr>
              <w:t>速冻果蔬食品技改项目</w:t>
            </w:r>
            <w:r>
              <w:rPr>
                <w:rFonts w:hint="eastAsia" w:cs="Times New Roman"/>
                <w:color w:val="auto"/>
                <w:sz w:val="24"/>
                <w:szCs w:val="24"/>
                <w:highlight w:val="none"/>
                <w:lang w:eastAsia="zh-CN"/>
              </w:rPr>
              <w:t>；</w:t>
            </w:r>
          </w:p>
          <w:p w14:paraId="5381CDA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建设单位：云南果研社农业科技发展有限公司；</w:t>
            </w:r>
          </w:p>
          <w:p w14:paraId="215C1383">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建设性质：</w:t>
            </w:r>
            <w:r>
              <w:rPr>
                <w:rFonts w:hint="eastAsia" w:ascii="Times New Roman" w:hAnsi="Times New Roman" w:eastAsia="宋体" w:cs="Times New Roman"/>
                <w:color w:val="auto"/>
                <w:sz w:val="24"/>
                <w:highlight w:val="none"/>
                <w:lang w:val="en-US" w:eastAsia="zh-CN"/>
              </w:rPr>
              <w:t>技改</w:t>
            </w:r>
            <w:r>
              <w:rPr>
                <w:rFonts w:hint="default" w:ascii="Times New Roman" w:hAnsi="Times New Roman" w:eastAsia="宋体" w:cs="Times New Roman"/>
                <w:color w:val="auto"/>
                <w:sz w:val="24"/>
                <w:highlight w:val="none"/>
              </w:rPr>
              <w:t>；</w:t>
            </w:r>
          </w:p>
          <w:p w14:paraId="31F564F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建设地点：</w:t>
            </w:r>
            <w:r>
              <w:rPr>
                <w:rFonts w:hint="eastAsia"/>
                <w:color w:val="auto"/>
                <w:sz w:val="24"/>
                <w:szCs w:val="24"/>
                <w:u w:val="none"/>
                <w:lang w:val="en-US" w:eastAsia="zh-CN"/>
              </w:rPr>
              <w:t>云南省玉溪市元江县甘庄街道工业园区干坝片区3号厂房</w:t>
            </w:r>
            <w:r>
              <w:rPr>
                <w:rFonts w:hint="default" w:ascii="Times New Roman" w:hAnsi="Times New Roman" w:eastAsia="宋体" w:cs="Times New Roman"/>
                <w:color w:val="auto"/>
                <w:sz w:val="24"/>
                <w:highlight w:val="none"/>
              </w:rPr>
              <w:t>；</w:t>
            </w:r>
          </w:p>
          <w:p w14:paraId="6A46F736">
            <w:pPr>
              <w:spacing w:line="360" w:lineRule="auto"/>
              <w:ind w:firstLine="480" w:firstLineChars="200"/>
              <w:rPr>
                <w:rFonts w:hint="default" w:ascii="Times New Roman" w:hAnsi="Times New Roman" w:eastAsia="宋体" w:cs="Times New Roman"/>
                <w:color w:val="auto"/>
                <w:sz w:val="24"/>
                <w:highlight w:val="yellow"/>
              </w:rPr>
            </w:pPr>
            <w:r>
              <w:rPr>
                <w:rFonts w:hint="default" w:ascii="Times New Roman" w:hAnsi="Times New Roman" w:eastAsia="宋体" w:cs="Times New Roman"/>
                <w:color w:val="auto"/>
                <w:sz w:val="24"/>
                <w:highlight w:val="none"/>
              </w:rPr>
              <w:t>项目投资：</w:t>
            </w:r>
            <w:r>
              <w:rPr>
                <w:rFonts w:hint="eastAsia" w:ascii="Times New Roman" w:hAnsi="Times New Roman" w:eastAsia="宋体" w:cs="Times New Roman"/>
                <w:color w:val="auto"/>
                <w:sz w:val="24"/>
                <w:highlight w:val="none"/>
                <w:lang w:val="en-US" w:eastAsia="zh-CN"/>
              </w:rPr>
              <w:t>50</w:t>
            </w:r>
            <w:r>
              <w:rPr>
                <w:rFonts w:hint="default" w:ascii="Times New Roman" w:hAnsi="Times New Roman" w:eastAsia="宋体" w:cs="Times New Roman"/>
                <w:color w:val="auto"/>
                <w:sz w:val="24"/>
                <w:highlight w:val="none"/>
              </w:rPr>
              <w:t>万元；</w:t>
            </w:r>
          </w:p>
          <w:p w14:paraId="314422A8">
            <w:pPr>
              <w:keepNext w:val="0"/>
              <w:keepLines w:val="0"/>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rPr>
              <w:t>建设规模：</w:t>
            </w:r>
            <w:r>
              <w:rPr>
                <w:rFonts w:hint="eastAsia" w:cs="Times New Roman"/>
                <w:color w:val="auto"/>
                <w:sz w:val="24"/>
                <w:szCs w:val="24"/>
                <w:highlight w:val="none"/>
                <w:lang w:val="en-US" w:eastAsia="zh-CN"/>
              </w:rPr>
              <w:t>本次技改不新增占地，不新建生产车间，仍沿用现有车间进行技改。</w:t>
            </w:r>
            <w:r>
              <w:rPr>
                <w:rFonts w:hint="eastAsia"/>
                <w:color w:val="auto"/>
                <w:sz w:val="24"/>
                <w:szCs w:val="24"/>
                <w:highlight w:val="none"/>
                <w:vertAlign w:val="baseline"/>
                <w:lang w:val="en-US" w:eastAsia="zh-CN"/>
              </w:rPr>
              <w:t>本次技改</w:t>
            </w:r>
            <w:r>
              <w:rPr>
                <w:rFonts w:hint="eastAsia" w:ascii="Times New Roman" w:hAnsi="Times New Roman" w:eastAsia="宋体" w:cs="Times New Roman"/>
                <w:color w:val="auto"/>
                <w:sz w:val="24"/>
                <w:highlight w:val="none"/>
                <w:lang w:val="en-US" w:eastAsia="zh-CN"/>
              </w:rPr>
              <w:t>拟对现有</w:t>
            </w:r>
            <w:r>
              <w:rPr>
                <w:rFonts w:hint="eastAsia" w:cs="Times New Roman"/>
                <w:color w:val="auto"/>
                <w:sz w:val="24"/>
                <w:highlight w:val="none"/>
                <w:lang w:val="en-US" w:eastAsia="zh-CN"/>
              </w:rPr>
              <w:t>果蔬汁</w:t>
            </w:r>
            <w:r>
              <w:rPr>
                <w:rFonts w:hint="eastAsia" w:ascii="Times New Roman" w:hAnsi="Times New Roman" w:eastAsia="宋体" w:cs="Times New Roman"/>
                <w:color w:val="auto"/>
                <w:sz w:val="24"/>
                <w:highlight w:val="none"/>
                <w:lang w:val="en-US" w:eastAsia="zh-CN"/>
              </w:rPr>
              <w:t>生产工艺进行技术改造，</w:t>
            </w:r>
            <w:r>
              <w:rPr>
                <w:rFonts w:hint="eastAsia" w:cs="Times New Roman"/>
                <w:color w:val="auto"/>
                <w:sz w:val="24"/>
                <w:highlight w:val="none"/>
                <w:lang w:val="en-US" w:eastAsia="zh-CN"/>
              </w:rPr>
              <w:t>将所有产品高温蒸汽灭菌处理。同时将现有2t/h燃生物质锅炉拆除，更换为2.2t/h燃生物质锅炉。本次技改后，产品及产能保持不变，仍为年生产速冻果蔬汁8000t/a。</w:t>
            </w:r>
          </w:p>
          <w:p w14:paraId="08D19AFE">
            <w:pPr>
              <w:adjustRightInd w:val="0"/>
              <w:snapToGrid w:val="0"/>
              <w:spacing w:line="360" w:lineRule="auto"/>
              <w:rPr>
                <w:b/>
                <w:bCs/>
                <w:color w:val="auto"/>
                <w:sz w:val="24"/>
              </w:rPr>
            </w:pPr>
            <w:r>
              <w:rPr>
                <w:rFonts w:hint="eastAsia"/>
                <w:b/>
                <w:bCs/>
                <w:color w:val="auto"/>
                <w:sz w:val="24"/>
                <w:lang w:val="en-US" w:eastAsia="zh-CN"/>
              </w:rPr>
              <w:t>3、</w:t>
            </w:r>
            <w:r>
              <w:rPr>
                <w:b/>
                <w:bCs/>
                <w:color w:val="auto"/>
                <w:sz w:val="24"/>
              </w:rPr>
              <w:t>工程内容及规模</w:t>
            </w:r>
          </w:p>
          <w:p w14:paraId="5ACD8E0F">
            <w:pPr>
              <w:keepNext w:val="0"/>
              <w:keepLines w:val="0"/>
              <w:pageBreakBefore w:val="0"/>
              <w:widowControl w:val="0"/>
              <w:kinsoku/>
              <w:wordWrap/>
              <w:overflowPunct/>
              <w:topLinePunct w:val="0"/>
              <w:bidi w:val="0"/>
              <w:adjustRightInd/>
              <w:snapToGrid/>
              <w:spacing w:line="360" w:lineRule="auto"/>
              <w:ind w:firstLine="480"/>
              <w:textAlignment w:val="auto"/>
              <w:rPr>
                <w:color w:val="auto"/>
                <w:sz w:val="24"/>
              </w:rPr>
            </w:pPr>
            <w:r>
              <w:rPr>
                <w:rFonts w:hint="default" w:ascii="Times New Roman" w:hAnsi="Times New Roman" w:eastAsia="宋体" w:cs="Times New Roman"/>
                <w:color w:val="auto"/>
                <w:kern w:val="0"/>
                <w:sz w:val="24"/>
                <w:szCs w:val="24"/>
                <w:highlight w:val="none"/>
                <w:lang w:val="en-US" w:eastAsia="zh-CN"/>
              </w:rPr>
              <w:t>项目主要由主体工程、辅助工程、公用工程及环保工程组成。</w:t>
            </w:r>
            <w:r>
              <w:rPr>
                <w:rFonts w:hint="eastAsia"/>
                <w:color w:val="auto"/>
                <w:sz w:val="24"/>
                <w:lang w:val="en-US" w:eastAsia="zh-CN"/>
              </w:rPr>
              <w:t>项目工程组成详见</w:t>
            </w:r>
            <w:r>
              <w:rPr>
                <w:color w:val="auto"/>
                <w:sz w:val="24"/>
              </w:rPr>
              <w:t>表2-1。</w:t>
            </w:r>
          </w:p>
          <w:p w14:paraId="256FD69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宋体"/>
                <w:b/>
                <w:color w:val="auto"/>
                <w:kern w:val="0"/>
                <w:szCs w:val="21"/>
                <w:lang w:val="en-US" w:eastAsia="zh-CN"/>
              </w:rPr>
            </w:pPr>
            <w:r>
              <w:rPr>
                <w:b/>
                <w:color w:val="auto"/>
                <w:kern w:val="0"/>
                <w:szCs w:val="21"/>
              </w:rPr>
              <w:t>表2-1   项目</w:t>
            </w:r>
            <w:r>
              <w:rPr>
                <w:rFonts w:hint="eastAsia"/>
                <w:b/>
                <w:color w:val="auto"/>
                <w:kern w:val="0"/>
                <w:szCs w:val="21"/>
                <w:lang w:val="en-US" w:eastAsia="zh-CN"/>
              </w:rPr>
              <w:t>工程组成一览表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691"/>
              <w:gridCol w:w="1239"/>
              <w:gridCol w:w="3169"/>
              <w:gridCol w:w="2202"/>
            </w:tblGrid>
            <w:tr w14:paraId="4796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14:paraId="2543E39D">
                  <w:pPr>
                    <w:keepNext w:val="0"/>
                    <w:keepLines w:val="0"/>
                    <w:pageBreakBefore w:val="0"/>
                    <w:widowControl w:val="0"/>
                    <w:kinsoku/>
                    <w:wordWrap/>
                    <w:overflowPunct/>
                    <w:topLinePunct w:val="0"/>
                    <w:autoSpaceDE/>
                    <w:autoSpaceDN/>
                    <w:bidi w:val="0"/>
                    <w:adjustRightInd w:val="0"/>
                    <w:jc w:val="center"/>
                    <w:textAlignment w:val="baseline"/>
                    <w:rPr>
                      <w:b/>
                      <w:bCs/>
                      <w:color w:val="auto"/>
                      <w:szCs w:val="21"/>
                    </w:rPr>
                  </w:pPr>
                  <w:r>
                    <w:rPr>
                      <w:b/>
                      <w:bCs/>
                      <w:color w:val="auto"/>
                      <w:szCs w:val="21"/>
                    </w:rPr>
                    <w:t>工程类别</w:t>
                  </w:r>
                </w:p>
              </w:tc>
              <w:tc>
                <w:tcPr>
                  <w:tcW w:w="1199" w:type="pct"/>
                  <w:gridSpan w:val="2"/>
                  <w:vAlign w:val="center"/>
                </w:tcPr>
                <w:p w14:paraId="79E45E96">
                  <w:pPr>
                    <w:keepNext w:val="0"/>
                    <w:keepLines w:val="0"/>
                    <w:pageBreakBefore w:val="0"/>
                    <w:widowControl w:val="0"/>
                    <w:kinsoku/>
                    <w:wordWrap/>
                    <w:overflowPunct/>
                    <w:topLinePunct w:val="0"/>
                    <w:autoSpaceDE/>
                    <w:autoSpaceDN/>
                    <w:bidi w:val="0"/>
                    <w:adjustRightInd w:val="0"/>
                    <w:jc w:val="center"/>
                    <w:textAlignment w:val="baseline"/>
                    <w:rPr>
                      <w:rFonts w:hint="default" w:eastAsia="宋体"/>
                      <w:b/>
                      <w:bCs/>
                      <w:color w:val="auto"/>
                      <w:szCs w:val="21"/>
                      <w:lang w:val="en-US" w:eastAsia="zh-CN"/>
                    </w:rPr>
                  </w:pPr>
                  <w:r>
                    <w:rPr>
                      <w:rFonts w:hint="eastAsia"/>
                      <w:b/>
                      <w:bCs/>
                      <w:color w:val="auto"/>
                      <w:szCs w:val="21"/>
                      <w:lang w:val="en-US" w:eastAsia="zh-CN"/>
                    </w:rPr>
                    <w:t>工程名称</w:t>
                  </w:r>
                </w:p>
              </w:tc>
              <w:tc>
                <w:tcPr>
                  <w:tcW w:w="1969" w:type="pct"/>
                  <w:vAlign w:val="center"/>
                </w:tcPr>
                <w:p w14:paraId="24FC50EE">
                  <w:pPr>
                    <w:keepNext w:val="0"/>
                    <w:keepLines w:val="0"/>
                    <w:pageBreakBefore w:val="0"/>
                    <w:widowControl w:val="0"/>
                    <w:kinsoku/>
                    <w:wordWrap/>
                    <w:overflowPunct/>
                    <w:topLinePunct w:val="0"/>
                    <w:autoSpaceDE/>
                    <w:autoSpaceDN/>
                    <w:bidi w:val="0"/>
                    <w:adjustRightInd w:val="0"/>
                    <w:jc w:val="center"/>
                    <w:textAlignment w:val="baseline"/>
                    <w:rPr>
                      <w:b/>
                      <w:bCs/>
                      <w:color w:val="auto"/>
                      <w:szCs w:val="21"/>
                    </w:rPr>
                  </w:pPr>
                  <w:r>
                    <w:rPr>
                      <w:rFonts w:hint="eastAsia"/>
                      <w:b/>
                      <w:bCs/>
                      <w:color w:val="auto"/>
                      <w:szCs w:val="21"/>
                      <w:lang w:val="en-US" w:eastAsia="zh-CN"/>
                    </w:rPr>
                    <w:t>现有工程</w:t>
                  </w:r>
                  <w:r>
                    <w:rPr>
                      <w:b/>
                      <w:bCs/>
                      <w:color w:val="auto"/>
                      <w:szCs w:val="21"/>
                    </w:rPr>
                    <w:t>内容</w:t>
                  </w:r>
                </w:p>
              </w:tc>
              <w:tc>
                <w:tcPr>
                  <w:tcW w:w="1368" w:type="pct"/>
                  <w:vAlign w:val="center"/>
                </w:tcPr>
                <w:p w14:paraId="62A1A92A">
                  <w:pPr>
                    <w:keepNext w:val="0"/>
                    <w:keepLines w:val="0"/>
                    <w:pageBreakBefore w:val="0"/>
                    <w:widowControl w:val="0"/>
                    <w:kinsoku/>
                    <w:wordWrap/>
                    <w:overflowPunct/>
                    <w:topLinePunct w:val="0"/>
                    <w:autoSpaceDE/>
                    <w:autoSpaceDN/>
                    <w:bidi w:val="0"/>
                    <w:adjustRightInd w:val="0"/>
                    <w:jc w:val="center"/>
                    <w:textAlignment w:val="baseline"/>
                    <w:rPr>
                      <w:rFonts w:hint="default"/>
                      <w:b/>
                      <w:bCs/>
                      <w:color w:val="auto"/>
                      <w:szCs w:val="21"/>
                      <w:lang w:val="en-US"/>
                    </w:rPr>
                  </w:pPr>
                  <w:r>
                    <w:rPr>
                      <w:rFonts w:hint="eastAsia" w:ascii="Times New Roman" w:hAnsi="Times New Roman" w:cs="Times New Roman"/>
                      <w:b/>
                      <w:bCs/>
                      <w:color w:val="auto"/>
                      <w:lang w:val="en-US" w:eastAsia="zh-CN"/>
                    </w:rPr>
                    <w:t>本次技改工程内容</w:t>
                  </w:r>
                </w:p>
              </w:tc>
            </w:tr>
            <w:tr w14:paraId="45E8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14:paraId="6671A92E">
                  <w:pPr>
                    <w:keepNext w:val="0"/>
                    <w:keepLines w:val="0"/>
                    <w:pageBreakBefore w:val="0"/>
                    <w:widowControl w:val="0"/>
                    <w:kinsoku/>
                    <w:wordWrap/>
                    <w:overflowPunct/>
                    <w:topLinePunct w:val="0"/>
                    <w:autoSpaceDE/>
                    <w:autoSpaceDN/>
                    <w:bidi w:val="0"/>
                    <w:adjustRightInd w:val="0"/>
                    <w:jc w:val="center"/>
                    <w:textAlignment w:val="baseline"/>
                    <w:rPr>
                      <w:rFonts w:hint="default" w:eastAsia="宋体"/>
                      <w:color w:val="auto"/>
                      <w:szCs w:val="21"/>
                      <w:lang w:val="en-US" w:eastAsia="zh-CN"/>
                    </w:rPr>
                  </w:pPr>
                  <w:r>
                    <w:rPr>
                      <w:rFonts w:hint="eastAsia"/>
                      <w:color w:val="auto"/>
                      <w:szCs w:val="21"/>
                      <w:lang w:val="en-US" w:eastAsia="zh-CN"/>
                    </w:rPr>
                    <w:t>主体工程</w:t>
                  </w:r>
                </w:p>
              </w:tc>
              <w:tc>
                <w:tcPr>
                  <w:tcW w:w="1199" w:type="pct"/>
                  <w:gridSpan w:val="2"/>
                  <w:vAlign w:val="center"/>
                </w:tcPr>
                <w:p w14:paraId="3522AC11">
                  <w:pPr>
                    <w:keepNext w:val="0"/>
                    <w:keepLines w:val="0"/>
                    <w:pageBreakBefore w:val="0"/>
                    <w:widowControl w:val="0"/>
                    <w:kinsoku/>
                    <w:wordWrap/>
                    <w:overflowPunct/>
                    <w:topLinePunct w:val="0"/>
                    <w:autoSpaceDE/>
                    <w:autoSpaceDN/>
                    <w:bidi w:val="0"/>
                    <w:adjustRightInd w:val="0"/>
                    <w:jc w:val="center"/>
                    <w:textAlignment w:val="baseline"/>
                    <w:rPr>
                      <w:rFonts w:hint="default" w:eastAsia="宋体"/>
                      <w:color w:val="auto"/>
                      <w:szCs w:val="21"/>
                      <w:lang w:val="en-US" w:eastAsia="zh-CN"/>
                    </w:rPr>
                  </w:pPr>
                  <w:r>
                    <w:rPr>
                      <w:rFonts w:hint="eastAsia"/>
                      <w:color w:val="auto"/>
                      <w:szCs w:val="21"/>
                      <w:lang w:val="en-US" w:eastAsia="zh-CN"/>
                    </w:rPr>
                    <w:t>生产车间</w:t>
                  </w:r>
                </w:p>
              </w:tc>
              <w:tc>
                <w:tcPr>
                  <w:tcW w:w="1969" w:type="pct"/>
                  <w:vAlign w:val="center"/>
                </w:tcPr>
                <w:p w14:paraId="29F9DFDB">
                  <w:pPr>
                    <w:keepNext w:val="0"/>
                    <w:keepLines w:val="0"/>
                    <w:pageBreakBefore w:val="0"/>
                    <w:widowControl w:val="0"/>
                    <w:kinsoku/>
                    <w:wordWrap/>
                    <w:overflowPunct/>
                    <w:topLinePunct w:val="0"/>
                    <w:autoSpaceDE/>
                    <w:autoSpaceDN/>
                    <w:bidi w:val="0"/>
                    <w:adjustRightInd w:val="0"/>
                    <w:jc w:val="center"/>
                    <w:textAlignment w:val="baseline"/>
                    <w:rPr>
                      <w:rFonts w:hint="default" w:eastAsia="宋体"/>
                      <w:color w:val="auto"/>
                      <w:szCs w:val="21"/>
                      <w:lang w:val="en-US" w:eastAsia="zh-CN"/>
                    </w:rPr>
                  </w:pPr>
                  <w:r>
                    <w:rPr>
                      <w:rFonts w:hint="eastAsia"/>
                      <w:color w:val="auto"/>
                      <w:sz w:val="21"/>
                      <w:szCs w:val="21"/>
                      <w:lang w:val="en-US" w:eastAsia="zh-CN"/>
                    </w:rPr>
                    <w:t>生产车间自东向西依次设置有前处理车间、办公室、CIP间、调配车间、在线质量监控室、灌装间、水处理间、碱液间、酸液间、备品备件间、包装车间等，</w:t>
                  </w:r>
                  <w:r>
                    <w:rPr>
                      <w:rFonts w:hint="eastAsia"/>
                      <w:color w:val="auto"/>
                      <w:sz w:val="21"/>
                      <w:szCs w:val="21"/>
                      <w:vertAlign w:val="baseline"/>
                      <w:lang w:val="en-US" w:eastAsia="zh-CN"/>
                    </w:rPr>
                    <w:t>主要用于速冻果蔬汁</w:t>
                  </w:r>
                  <w:r>
                    <w:rPr>
                      <w:rFonts w:hint="eastAsia"/>
                      <w:color w:val="auto"/>
                      <w:kern w:val="2"/>
                      <w:sz w:val="21"/>
                      <w:szCs w:val="21"/>
                      <w:lang w:val="en-US" w:eastAsia="zh-CN"/>
                    </w:rPr>
                    <w:t>生产</w:t>
                  </w:r>
                  <w:r>
                    <w:rPr>
                      <w:rFonts w:hint="eastAsia"/>
                      <w:color w:val="auto"/>
                      <w:kern w:val="2"/>
                      <w:sz w:val="21"/>
                      <w:szCs w:val="21"/>
                      <w:lang w:eastAsia="zh-CN"/>
                    </w:rPr>
                    <w:t>。</w:t>
                  </w:r>
                  <w:r>
                    <w:rPr>
                      <w:rFonts w:hint="eastAsia" w:cs="Times New Roman"/>
                      <w:color w:val="auto"/>
                      <w:sz w:val="21"/>
                      <w:szCs w:val="21"/>
                      <w:highlight w:val="none"/>
                      <w:lang w:val="en-US" w:eastAsia="zh-CN"/>
                    </w:rPr>
                    <w:t>高温蒸汽灭菌处理工序年运行时间为320h。</w:t>
                  </w:r>
                </w:p>
              </w:tc>
              <w:tc>
                <w:tcPr>
                  <w:tcW w:w="1368" w:type="pct"/>
                  <w:vAlign w:val="center"/>
                </w:tcPr>
                <w:p w14:paraId="35A06CF6">
                  <w:pPr>
                    <w:keepNext w:val="0"/>
                    <w:keepLines w:val="0"/>
                    <w:pageBreakBefore w:val="0"/>
                    <w:widowControl w:val="0"/>
                    <w:kinsoku/>
                    <w:wordWrap/>
                    <w:overflowPunct/>
                    <w:topLinePunct w:val="0"/>
                    <w:autoSpaceDE/>
                    <w:autoSpaceDN/>
                    <w:bidi w:val="0"/>
                    <w:adjustRightInd w:val="0"/>
                    <w:jc w:val="center"/>
                    <w:textAlignment w:val="baseline"/>
                    <w:rPr>
                      <w:rFonts w:hint="default" w:eastAsia="宋体"/>
                      <w:color w:val="auto"/>
                      <w:szCs w:val="21"/>
                      <w:lang w:val="en-US" w:eastAsia="zh-CN"/>
                    </w:rPr>
                  </w:pPr>
                  <w:r>
                    <w:rPr>
                      <w:rFonts w:hint="eastAsia"/>
                      <w:color w:val="auto"/>
                      <w:sz w:val="21"/>
                      <w:szCs w:val="21"/>
                      <w:lang w:val="en-US" w:eastAsia="zh-CN"/>
                    </w:rPr>
                    <w:t>依托现有生产车间进行生产，本次技改主要将</w:t>
                  </w:r>
                  <w:r>
                    <w:rPr>
                      <w:rFonts w:hint="eastAsia" w:cs="Times New Roman"/>
                      <w:color w:val="auto"/>
                      <w:sz w:val="21"/>
                      <w:szCs w:val="21"/>
                      <w:highlight w:val="none"/>
                      <w:lang w:val="en-US" w:eastAsia="zh-CN"/>
                    </w:rPr>
                    <w:t>高温蒸汽灭菌处理工序年运行时间增加至2400h。</w:t>
                  </w:r>
                </w:p>
              </w:tc>
            </w:tr>
            <w:tr w14:paraId="69A1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14:paraId="2636006D">
                  <w:pPr>
                    <w:keepNext w:val="0"/>
                    <w:keepLines w:val="0"/>
                    <w:pageBreakBefore w:val="0"/>
                    <w:widowControl w:val="0"/>
                    <w:kinsoku/>
                    <w:wordWrap/>
                    <w:overflowPunct/>
                    <w:topLinePunct w:val="0"/>
                    <w:autoSpaceDE/>
                    <w:autoSpaceDN/>
                    <w:bidi w:val="0"/>
                    <w:adjustRightInd w:val="0"/>
                    <w:jc w:val="center"/>
                    <w:textAlignment w:val="baseline"/>
                    <w:rPr>
                      <w:color w:val="auto"/>
                      <w:szCs w:val="21"/>
                    </w:rPr>
                  </w:pPr>
                  <w:r>
                    <w:rPr>
                      <w:color w:val="auto"/>
                      <w:szCs w:val="21"/>
                    </w:rPr>
                    <w:t>辅助工程</w:t>
                  </w:r>
                </w:p>
              </w:tc>
              <w:tc>
                <w:tcPr>
                  <w:tcW w:w="1199" w:type="pct"/>
                  <w:gridSpan w:val="2"/>
                  <w:vAlign w:val="center"/>
                </w:tcPr>
                <w:p w14:paraId="06121EF1">
                  <w:pPr>
                    <w:keepNext w:val="0"/>
                    <w:keepLines w:val="0"/>
                    <w:pageBreakBefore w:val="0"/>
                    <w:widowControl w:val="0"/>
                    <w:kinsoku/>
                    <w:wordWrap/>
                    <w:overflowPunct/>
                    <w:topLinePunct w:val="0"/>
                    <w:autoSpaceDE/>
                    <w:autoSpaceDN/>
                    <w:bidi w:val="0"/>
                    <w:adjustRightInd w:val="0"/>
                    <w:snapToGrid w:val="0"/>
                    <w:jc w:val="center"/>
                    <w:rPr>
                      <w:rFonts w:hint="default" w:eastAsia="宋体"/>
                      <w:color w:val="auto"/>
                      <w:szCs w:val="21"/>
                      <w:lang w:val="en-US" w:eastAsia="zh-CN"/>
                    </w:rPr>
                  </w:pPr>
                  <w:r>
                    <w:rPr>
                      <w:rFonts w:hint="eastAsia"/>
                      <w:color w:val="auto"/>
                      <w:szCs w:val="21"/>
                      <w:highlight w:val="none"/>
                      <w:lang w:val="en-US" w:eastAsia="zh-CN"/>
                    </w:rPr>
                    <w:t>锅炉房</w:t>
                  </w:r>
                </w:p>
              </w:tc>
              <w:tc>
                <w:tcPr>
                  <w:tcW w:w="1969" w:type="pct"/>
                  <w:vAlign w:val="center"/>
                </w:tcPr>
                <w:p w14:paraId="5383F7D3">
                  <w:pPr>
                    <w:keepNext w:val="0"/>
                    <w:keepLines w:val="0"/>
                    <w:pageBreakBefore w:val="0"/>
                    <w:widowControl w:val="0"/>
                    <w:kinsoku/>
                    <w:wordWrap/>
                    <w:overflowPunct/>
                    <w:topLinePunct w:val="0"/>
                    <w:autoSpaceDE/>
                    <w:autoSpaceDN/>
                    <w:bidi w:val="0"/>
                    <w:adjustRightInd w:val="0"/>
                    <w:snapToGrid w:val="0"/>
                    <w:jc w:val="center"/>
                    <w:rPr>
                      <w:color w:val="auto"/>
                      <w:szCs w:val="21"/>
                    </w:rPr>
                  </w:pPr>
                  <w:r>
                    <w:rPr>
                      <w:rFonts w:hint="eastAsia" w:ascii="Times New Roman" w:hAnsi="Times New Roman"/>
                      <w:color w:val="auto"/>
                      <w:sz w:val="21"/>
                      <w:szCs w:val="21"/>
                      <w:highlight w:val="none"/>
                      <w:lang w:val="en-US" w:eastAsia="zh-CN"/>
                    </w:rPr>
                    <w:t>设置有1台2t/h的生物质锅炉</w:t>
                  </w:r>
                  <w:r>
                    <w:rPr>
                      <w:rFonts w:hint="eastAsia"/>
                      <w:color w:val="auto"/>
                      <w:sz w:val="21"/>
                      <w:szCs w:val="21"/>
                      <w:highlight w:val="none"/>
                      <w:lang w:val="en-US" w:eastAsia="zh-CN"/>
                    </w:rPr>
                    <w:t>。</w:t>
                  </w:r>
                </w:p>
              </w:tc>
              <w:tc>
                <w:tcPr>
                  <w:tcW w:w="1368" w:type="pct"/>
                  <w:vAlign w:val="center"/>
                </w:tcPr>
                <w:p w14:paraId="72BB8545">
                  <w:pPr>
                    <w:keepNext w:val="0"/>
                    <w:keepLines w:val="0"/>
                    <w:pageBreakBefore w:val="0"/>
                    <w:widowControl w:val="0"/>
                    <w:kinsoku/>
                    <w:wordWrap/>
                    <w:overflowPunct/>
                    <w:topLinePunct w:val="0"/>
                    <w:autoSpaceDE/>
                    <w:autoSpaceDN/>
                    <w:bidi w:val="0"/>
                    <w:adjustRightInd w:val="0"/>
                    <w:jc w:val="center"/>
                    <w:textAlignment w:val="baseline"/>
                    <w:rPr>
                      <w:rFonts w:hint="default"/>
                      <w:color w:val="auto"/>
                      <w:lang w:val="en-US"/>
                    </w:rPr>
                  </w:pPr>
                  <w:r>
                    <w:rPr>
                      <w:rFonts w:hint="eastAsia" w:cs="Times New Roman"/>
                      <w:color w:val="auto"/>
                      <w:kern w:val="2"/>
                      <w:sz w:val="21"/>
                      <w:szCs w:val="21"/>
                      <w:highlight w:val="none"/>
                      <w:lang w:val="en-US" w:eastAsia="zh-CN" w:bidi="ar-SA"/>
                    </w:rPr>
                    <w:t>本次技改拟将现有生物质锅炉拆除，更换为1台2.2t/h的生物质锅炉。</w:t>
                  </w:r>
                </w:p>
              </w:tc>
            </w:tr>
            <w:tr w14:paraId="5BDE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2" w:type="pct"/>
                  <w:vMerge w:val="restart"/>
                  <w:vAlign w:val="center"/>
                </w:tcPr>
                <w:p w14:paraId="46560848">
                  <w:pPr>
                    <w:keepNext w:val="0"/>
                    <w:keepLines w:val="0"/>
                    <w:pageBreakBefore w:val="0"/>
                    <w:widowControl w:val="0"/>
                    <w:kinsoku/>
                    <w:wordWrap/>
                    <w:overflowPunct/>
                    <w:topLinePunct w:val="0"/>
                    <w:autoSpaceDE/>
                    <w:autoSpaceDN/>
                    <w:bidi w:val="0"/>
                    <w:adjustRightInd w:val="0"/>
                    <w:jc w:val="center"/>
                    <w:textAlignment w:val="baseline"/>
                    <w:rPr>
                      <w:color w:val="auto"/>
                      <w:szCs w:val="21"/>
                    </w:rPr>
                  </w:pPr>
                  <w:r>
                    <w:rPr>
                      <w:color w:val="auto"/>
                      <w:szCs w:val="21"/>
                    </w:rPr>
                    <w:t>公用工程</w:t>
                  </w:r>
                </w:p>
              </w:tc>
              <w:tc>
                <w:tcPr>
                  <w:tcW w:w="1199" w:type="pct"/>
                  <w:gridSpan w:val="2"/>
                  <w:vAlign w:val="center"/>
                </w:tcPr>
                <w:p w14:paraId="280209AF">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s="Times New Roman"/>
                      <w:color w:val="auto"/>
                      <w:kern w:val="2"/>
                      <w:sz w:val="21"/>
                      <w:szCs w:val="21"/>
                      <w:lang w:val="en-US" w:eastAsia="zh-CN" w:bidi="ar-SA"/>
                    </w:rPr>
                  </w:pPr>
                  <w:r>
                    <w:rPr>
                      <w:color w:val="auto"/>
                      <w:szCs w:val="21"/>
                    </w:rPr>
                    <w:t>供水</w:t>
                  </w:r>
                </w:p>
              </w:tc>
              <w:tc>
                <w:tcPr>
                  <w:tcW w:w="1969" w:type="pct"/>
                  <w:vAlign w:val="center"/>
                </w:tcPr>
                <w:p w14:paraId="013E9D40">
                  <w:pPr>
                    <w:keepNext w:val="0"/>
                    <w:keepLines w:val="0"/>
                    <w:pageBreakBefore w:val="0"/>
                    <w:widowControl w:val="0"/>
                    <w:kinsoku/>
                    <w:wordWrap/>
                    <w:overflowPunct/>
                    <w:topLinePunct w:val="0"/>
                    <w:autoSpaceDE/>
                    <w:autoSpaceDN/>
                    <w:bidi w:val="0"/>
                    <w:adjustRightInd w:val="0"/>
                    <w:jc w:val="center"/>
                    <w:textAlignment w:val="baseline"/>
                    <w:rPr>
                      <w:rFonts w:hint="eastAsia" w:ascii="Times New Roman" w:hAnsi="Times New Roman" w:eastAsia="宋体" w:cs="Times New Roman"/>
                      <w:color w:val="auto"/>
                      <w:kern w:val="2"/>
                      <w:sz w:val="21"/>
                      <w:szCs w:val="21"/>
                      <w:lang w:val="en-US" w:eastAsia="zh-CN" w:bidi="ar-SA"/>
                    </w:rPr>
                  </w:pPr>
                  <w:r>
                    <w:rPr>
                      <w:color w:val="auto"/>
                      <w:szCs w:val="21"/>
                    </w:rPr>
                    <w:t>由园区水厂供给</w:t>
                  </w:r>
                  <w:r>
                    <w:rPr>
                      <w:rFonts w:hint="eastAsia"/>
                      <w:color w:val="auto"/>
                      <w:szCs w:val="21"/>
                      <w:lang w:eastAsia="zh-CN"/>
                    </w:rPr>
                    <w:t>。</w:t>
                  </w:r>
                </w:p>
              </w:tc>
              <w:tc>
                <w:tcPr>
                  <w:tcW w:w="1368" w:type="pct"/>
                  <w:vAlign w:val="center"/>
                </w:tcPr>
                <w:p w14:paraId="3FBC70CD">
                  <w:pPr>
                    <w:keepNext w:val="0"/>
                    <w:keepLines w:val="0"/>
                    <w:pageBreakBefore w:val="0"/>
                    <w:widowControl w:val="0"/>
                    <w:kinsoku/>
                    <w:wordWrap/>
                    <w:overflowPunct/>
                    <w:topLinePunct w:val="0"/>
                    <w:autoSpaceDE/>
                    <w:autoSpaceDN/>
                    <w:bidi w:val="0"/>
                    <w:adjustRightInd w:val="0"/>
                    <w:jc w:val="center"/>
                    <w:textAlignment w:val="baseline"/>
                    <w:rPr>
                      <w:rFonts w:ascii="Times New Roman" w:hAnsi="Times New Roman" w:eastAsia="宋体" w:cs="Times New Roman"/>
                      <w:color w:val="auto"/>
                      <w:kern w:val="2"/>
                      <w:sz w:val="21"/>
                      <w:szCs w:val="21"/>
                      <w:lang w:val="en-US" w:eastAsia="zh-CN" w:bidi="ar-SA"/>
                    </w:rPr>
                  </w:pPr>
                  <w:r>
                    <w:rPr>
                      <w:rFonts w:hint="eastAsia"/>
                      <w:color w:val="auto"/>
                      <w:szCs w:val="21"/>
                      <w:lang w:val="en-US" w:eastAsia="zh-CN"/>
                    </w:rPr>
                    <w:t>依托现有</w:t>
                  </w:r>
                </w:p>
              </w:tc>
            </w:tr>
            <w:tr w14:paraId="6F21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462" w:type="pct"/>
                  <w:vMerge w:val="continue"/>
                  <w:vAlign w:val="center"/>
                </w:tcPr>
                <w:p w14:paraId="5C179432">
                  <w:pPr>
                    <w:keepNext w:val="0"/>
                    <w:keepLines w:val="0"/>
                    <w:pageBreakBefore w:val="0"/>
                    <w:widowControl w:val="0"/>
                    <w:kinsoku/>
                    <w:wordWrap/>
                    <w:overflowPunct/>
                    <w:topLinePunct w:val="0"/>
                    <w:autoSpaceDE/>
                    <w:autoSpaceDN/>
                    <w:bidi w:val="0"/>
                    <w:adjustRightInd w:val="0"/>
                    <w:jc w:val="center"/>
                    <w:textAlignment w:val="baseline"/>
                    <w:rPr>
                      <w:color w:val="auto"/>
                      <w:szCs w:val="21"/>
                    </w:rPr>
                  </w:pPr>
                </w:p>
              </w:tc>
              <w:tc>
                <w:tcPr>
                  <w:tcW w:w="1199" w:type="pct"/>
                  <w:gridSpan w:val="2"/>
                  <w:vAlign w:val="center"/>
                </w:tcPr>
                <w:p w14:paraId="746AFF32">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s="Times New Roman"/>
                      <w:color w:val="auto"/>
                      <w:kern w:val="2"/>
                      <w:sz w:val="21"/>
                      <w:szCs w:val="21"/>
                      <w:lang w:val="en-US" w:eastAsia="zh-CN" w:bidi="ar-SA"/>
                    </w:rPr>
                  </w:pPr>
                  <w:r>
                    <w:rPr>
                      <w:color w:val="auto"/>
                      <w:szCs w:val="21"/>
                    </w:rPr>
                    <w:t>排水</w:t>
                  </w:r>
                </w:p>
              </w:tc>
              <w:tc>
                <w:tcPr>
                  <w:tcW w:w="1969" w:type="pct"/>
                  <w:vAlign w:val="center"/>
                </w:tcPr>
                <w:p w14:paraId="220CCDFF">
                  <w:pPr>
                    <w:keepNext w:val="0"/>
                    <w:keepLines w:val="0"/>
                    <w:pageBreakBefore w:val="0"/>
                    <w:widowControl w:val="0"/>
                    <w:kinsoku/>
                    <w:wordWrap/>
                    <w:overflowPunct/>
                    <w:topLinePunct w:val="0"/>
                    <w:autoSpaceDE/>
                    <w:autoSpaceDN/>
                    <w:bidi w:val="0"/>
                    <w:adjustRightInd w:val="0"/>
                    <w:jc w:val="both"/>
                    <w:textAlignment w:val="baseline"/>
                    <w:rPr>
                      <w:rFonts w:hint="eastAsia" w:ascii="Times New Roman" w:hAnsi="Times New Roman" w:eastAsia="宋体" w:cs="Times New Roman"/>
                      <w:color w:val="auto"/>
                      <w:kern w:val="2"/>
                      <w:sz w:val="21"/>
                      <w:szCs w:val="21"/>
                      <w:highlight w:val="yellow"/>
                      <w:lang w:val="en-US" w:eastAsia="zh-CN" w:bidi="ar-SA"/>
                    </w:rPr>
                  </w:pPr>
                  <w:r>
                    <w:rPr>
                      <w:color w:val="auto"/>
                      <w:szCs w:val="21"/>
                      <w:highlight w:val="none"/>
                    </w:rPr>
                    <w:t>项目实行雨污分流，雨水经雨水管网收集后排入</w:t>
                  </w:r>
                  <w:r>
                    <w:rPr>
                      <w:rFonts w:hint="eastAsia"/>
                      <w:color w:val="auto"/>
                      <w:szCs w:val="21"/>
                      <w:highlight w:val="none"/>
                      <w:lang w:val="en-US" w:eastAsia="zh-CN"/>
                    </w:rPr>
                    <w:t>园区</w:t>
                  </w:r>
                  <w:r>
                    <w:rPr>
                      <w:color w:val="auto"/>
                      <w:szCs w:val="21"/>
                      <w:highlight w:val="none"/>
                    </w:rPr>
                    <w:t>雨水管网</w:t>
                  </w:r>
                  <w:r>
                    <w:rPr>
                      <w:color w:val="auto"/>
                      <w:sz w:val="21"/>
                      <w:szCs w:val="21"/>
                      <w:highlight w:val="none"/>
                    </w:rPr>
                    <w:t>；</w:t>
                  </w:r>
                  <w:r>
                    <w:rPr>
                      <w:rFonts w:hint="eastAsia"/>
                      <w:color w:val="auto"/>
                      <w:sz w:val="21"/>
                      <w:szCs w:val="21"/>
                      <w:highlight w:val="none"/>
                      <w:lang w:val="en-US" w:eastAsia="zh-CN"/>
                    </w:rPr>
                    <w:t>项目纯水制备系统浓水、反冲洗废水、水果清洗废水、生产车间地面清洗废水、实验器皿清洗废水、锅炉排水经沉淀池处理，CIP清洗系统设备清洗废水、化验室废水经自建一体化污水处理站处理，生产废水经处理达</w:t>
                  </w:r>
                  <w:r>
                    <w:rPr>
                      <w:bCs/>
                      <w:color w:val="auto"/>
                      <w:sz w:val="21"/>
                      <w:szCs w:val="21"/>
                      <w:highlight w:val="none"/>
                    </w:rPr>
                    <w:t>标</w:t>
                  </w:r>
                  <w:r>
                    <w:rPr>
                      <w:rFonts w:hint="eastAsia"/>
                      <w:bCs/>
                      <w:color w:val="auto"/>
                      <w:sz w:val="21"/>
                      <w:szCs w:val="21"/>
                      <w:highlight w:val="none"/>
                      <w:lang w:val="en-US" w:eastAsia="zh-CN"/>
                    </w:rPr>
                    <w:t>后</w:t>
                  </w:r>
                  <w:r>
                    <w:rPr>
                      <w:rFonts w:hint="eastAsia"/>
                      <w:color w:val="auto"/>
                      <w:sz w:val="21"/>
                      <w:szCs w:val="21"/>
                      <w:highlight w:val="none"/>
                      <w:lang w:val="en-US" w:eastAsia="zh-CN"/>
                    </w:rPr>
                    <w:t>最终经生产废水总排口排入</w:t>
                  </w:r>
                  <w:r>
                    <w:rPr>
                      <w:color w:val="auto"/>
                      <w:sz w:val="21"/>
                      <w:szCs w:val="21"/>
                      <w:highlight w:val="none"/>
                    </w:rPr>
                    <w:t>元江工业园区MBR膜一体化300m</w:t>
                  </w:r>
                  <w:r>
                    <w:rPr>
                      <w:color w:val="auto"/>
                      <w:sz w:val="21"/>
                      <w:szCs w:val="21"/>
                      <w:highlight w:val="none"/>
                      <w:vertAlign w:val="superscript"/>
                    </w:rPr>
                    <w:t>3</w:t>
                  </w:r>
                  <w:r>
                    <w:rPr>
                      <w:color w:val="auto"/>
                      <w:sz w:val="21"/>
                      <w:szCs w:val="21"/>
                      <w:highlight w:val="none"/>
                    </w:rPr>
                    <w:t>/d过渡式污水处理站处理</w:t>
                  </w:r>
                  <w:r>
                    <w:rPr>
                      <w:rFonts w:hint="eastAsia"/>
                      <w:color w:val="auto"/>
                      <w:sz w:val="21"/>
                      <w:szCs w:val="21"/>
                      <w:highlight w:val="none"/>
                      <w:lang w:eastAsia="zh-CN"/>
                    </w:rPr>
                    <w:t>；</w:t>
                  </w:r>
                  <w:r>
                    <w:rPr>
                      <w:rFonts w:hint="eastAsia"/>
                      <w:color w:val="auto"/>
                      <w:sz w:val="21"/>
                      <w:szCs w:val="21"/>
                      <w:highlight w:val="none"/>
                      <w:lang w:val="en-US" w:eastAsia="zh-CN"/>
                    </w:rPr>
                    <w:t>食堂废水及其他生活污水依托</w:t>
                  </w:r>
                  <w:r>
                    <w:rPr>
                      <w:color w:val="auto"/>
                      <w:sz w:val="21"/>
                      <w:szCs w:val="21"/>
                      <w:highlight w:val="none"/>
                    </w:rPr>
                    <w:t>综合楼</w:t>
                  </w:r>
                  <w:r>
                    <w:rPr>
                      <w:rFonts w:hint="eastAsia"/>
                      <w:color w:val="auto"/>
                      <w:sz w:val="21"/>
                      <w:szCs w:val="21"/>
                      <w:highlight w:val="none"/>
                      <w:lang w:val="en-US" w:eastAsia="zh-CN"/>
                    </w:rPr>
                    <w:t>配套建设的一体化油水分离器及化粪池处理达</w:t>
                  </w:r>
                  <w:r>
                    <w:rPr>
                      <w:bCs/>
                      <w:color w:val="auto"/>
                      <w:sz w:val="21"/>
                      <w:szCs w:val="21"/>
                      <w:highlight w:val="none"/>
                    </w:rPr>
                    <w:t>标</w:t>
                  </w:r>
                  <w:r>
                    <w:rPr>
                      <w:rFonts w:hint="eastAsia"/>
                      <w:bCs/>
                      <w:color w:val="auto"/>
                      <w:sz w:val="21"/>
                      <w:szCs w:val="21"/>
                      <w:highlight w:val="none"/>
                      <w:lang w:val="en-US" w:eastAsia="zh-CN"/>
                    </w:rPr>
                    <w:t>后</w:t>
                  </w:r>
                  <w:r>
                    <w:rPr>
                      <w:rFonts w:hint="eastAsia"/>
                      <w:color w:val="auto"/>
                      <w:sz w:val="21"/>
                      <w:szCs w:val="21"/>
                      <w:highlight w:val="none"/>
                      <w:lang w:val="en-US" w:eastAsia="zh-CN"/>
                    </w:rPr>
                    <w:t>排入</w:t>
                  </w:r>
                  <w:r>
                    <w:rPr>
                      <w:color w:val="auto"/>
                      <w:sz w:val="21"/>
                      <w:szCs w:val="21"/>
                      <w:highlight w:val="none"/>
                    </w:rPr>
                    <w:t>元江工业园区MBR膜一体化300m</w:t>
                  </w:r>
                  <w:r>
                    <w:rPr>
                      <w:color w:val="auto"/>
                      <w:sz w:val="21"/>
                      <w:szCs w:val="21"/>
                      <w:highlight w:val="none"/>
                      <w:vertAlign w:val="superscript"/>
                    </w:rPr>
                    <w:t>3</w:t>
                  </w:r>
                  <w:r>
                    <w:rPr>
                      <w:color w:val="auto"/>
                      <w:sz w:val="21"/>
                      <w:szCs w:val="21"/>
                      <w:highlight w:val="none"/>
                    </w:rPr>
                    <w:t>/d过渡式污水处理站处理</w:t>
                  </w:r>
                  <w:r>
                    <w:rPr>
                      <w:rFonts w:hint="eastAsia"/>
                      <w:color w:val="auto"/>
                      <w:sz w:val="21"/>
                      <w:szCs w:val="21"/>
                      <w:highlight w:val="none"/>
                      <w:lang w:eastAsia="zh-CN"/>
                    </w:rPr>
                    <w:t>。</w:t>
                  </w:r>
                </w:p>
              </w:tc>
              <w:tc>
                <w:tcPr>
                  <w:tcW w:w="1368" w:type="pct"/>
                  <w:vAlign w:val="center"/>
                </w:tcPr>
                <w:p w14:paraId="2F576544">
                  <w:pPr>
                    <w:keepNext w:val="0"/>
                    <w:keepLines w:val="0"/>
                    <w:pageBreakBefore w:val="0"/>
                    <w:widowControl w:val="0"/>
                    <w:kinsoku/>
                    <w:wordWrap/>
                    <w:overflowPunct/>
                    <w:topLinePunct w:val="0"/>
                    <w:autoSpaceDE/>
                    <w:autoSpaceDN/>
                    <w:bidi w:val="0"/>
                    <w:adjustRightInd w:val="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依托现有</w:t>
                  </w:r>
                </w:p>
              </w:tc>
            </w:tr>
            <w:tr w14:paraId="4093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62" w:type="pct"/>
                  <w:vMerge w:val="continue"/>
                  <w:vAlign w:val="center"/>
                </w:tcPr>
                <w:p w14:paraId="4CBACF61">
                  <w:pPr>
                    <w:keepNext w:val="0"/>
                    <w:keepLines w:val="0"/>
                    <w:pageBreakBefore w:val="0"/>
                    <w:widowControl w:val="0"/>
                    <w:kinsoku/>
                    <w:wordWrap/>
                    <w:overflowPunct/>
                    <w:topLinePunct w:val="0"/>
                    <w:autoSpaceDE/>
                    <w:autoSpaceDN/>
                    <w:bidi w:val="0"/>
                    <w:adjustRightInd w:val="0"/>
                    <w:jc w:val="center"/>
                    <w:textAlignment w:val="baseline"/>
                    <w:rPr>
                      <w:color w:val="auto"/>
                      <w:szCs w:val="21"/>
                    </w:rPr>
                  </w:pPr>
                </w:p>
              </w:tc>
              <w:tc>
                <w:tcPr>
                  <w:tcW w:w="1199" w:type="pct"/>
                  <w:gridSpan w:val="2"/>
                  <w:vAlign w:val="center"/>
                </w:tcPr>
                <w:p w14:paraId="19EBE3D7">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供电</w:t>
                  </w:r>
                </w:p>
              </w:tc>
              <w:tc>
                <w:tcPr>
                  <w:tcW w:w="1969" w:type="pct"/>
                  <w:vAlign w:val="center"/>
                </w:tcPr>
                <w:p w14:paraId="654E0BD5">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由园区已建好的电网统一供电。</w:t>
                  </w:r>
                </w:p>
              </w:tc>
              <w:tc>
                <w:tcPr>
                  <w:tcW w:w="1368" w:type="pct"/>
                  <w:vAlign w:val="center"/>
                </w:tcPr>
                <w:p w14:paraId="31BFDE92">
                  <w:pPr>
                    <w:keepNext w:val="0"/>
                    <w:keepLines w:val="0"/>
                    <w:pageBreakBefore w:val="0"/>
                    <w:widowControl w:val="0"/>
                    <w:kinsoku/>
                    <w:wordWrap/>
                    <w:overflowPunct/>
                    <w:topLinePunct w:val="0"/>
                    <w:autoSpaceDE/>
                    <w:autoSpaceDN/>
                    <w:bidi w:val="0"/>
                    <w:adjustRightInd w:val="0"/>
                    <w:jc w:val="center"/>
                    <w:textAlignment w:val="baseline"/>
                    <w:rPr>
                      <w:rFonts w:ascii="Times New Roman" w:hAnsi="Times New Roman" w:eastAsia="宋体" w:cs="Times New Roman"/>
                      <w:color w:val="auto"/>
                      <w:kern w:val="2"/>
                      <w:sz w:val="21"/>
                      <w:szCs w:val="21"/>
                      <w:lang w:val="en-US" w:eastAsia="zh-CN" w:bidi="ar-SA"/>
                    </w:rPr>
                  </w:pPr>
                  <w:r>
                    <w:rPr>
                      <w:rFonts w:hint="eastAsia"/>
                      <w:color w:val="auto"/>
                      <w:szCs w:val="21"/>
                      <w:lang w:val="en-US" w:eastAsia="zh-CN"/>
                    </w:rPr>
                    <w:t>依托现有</w:t>
                  </w:r>
                </w:p>
              </w:tc>
            </w:tr>
            <w:tr w14:paraId="788C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2" w:type="pct"/>
                  <w:vMerge w:val="restart"/>
                  <w:vAlign w:val="center"/>
                </w:tcPr>
                <w:p w14:paraId="5556811D">
                  <w:pPr>
                    <w:keepNext w:val="0"/>
                    <w:keepLines w:val="0"/>
                    <w:pageBreakBefore w:val="0"/>
                    <w:widowControl w:val="0"/>
                    <w:kinsoku/>
                    <w:wordWrap/>
                    <w:overflowPunct/>
                    <w:topLinePunct w:val="0"/>
                    <w:autoSpaceDE/>
                    <w:autoSpaceDN/>
                    <w:bidi w:val="0"/>
                    <w:adjustRightInd w:val="0"/>
                    <w:jc w:val="center"/>
                    <w:textAlignment w:val="baseline"/>
                    <w:rPr>
                      <w:color w:val="auto"/>
                      <w:szCs w:val="21"/>
                    </w:rPr>
                  </w:pPr>
                  <w:r>
                    <w:rPr>
                      <w:color w:val="auto"/>
                      <w:szCs w:val="21"/>
                    </w:rPr>
                    <w:t>环保工程</w:t>
                  </w:r>
                </w:p>
              </w:tc>
              <w:tc>
                <w:tcPr>
                  <w:tcW w:w="429" w:type="pct"/>
                  <w:vAlign w:val="center"/>
                </w:tcPr>
                <w:p w14:paraId="2150C15D">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eastAsia="宋体"/>
                      <w:color w:val="auto"/>
                      <w:szCs w:val="21"/>
                      <w:lang w:val="en-US" w:eastAsia="zh-CN"/>
                    </w:rPr>
                  </w:pPr>
                  <w:r>
                    <w:rPr>
                      <w:rFonts w:hint="eastAsia"/>
                      <w:color w:val="auto"/>
                      <w:szCs w:val="21"/>
                      <w:lang w:val="en-US" w:eastAsia="zh-CN"/>
                    </w:rPr>
                    <w:t>废气治理</w:t>
                  </w:r>
                </w:p>
              </w:tc>
              <w:tc>
                <w:tcPr>
                  <w:tcW w:w="770" w:type="pct"/>
                  <w:vAlign w:val="center"/>
                </w:tcPr>
                <w:p w14:paraId="6434DABE">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color w:val="auto"/>
                      <w:szCs w:val="21"/>
                      <w:lang w:val="en-US" w:eastAsia="zh-CN"/>
                    </w:rPr>
                  </w:pPr>
                  <w:r>
                    <w:rPr>
                      <w:rFonts w:hint="eastAsia"/>
                      <w:color w:val="auto"/>
                      <w:szCs w:val="21"/>
                      <w:lang w:val="en-US" w:eastAsia="zh-CN"/>
                    </w:rPr>
                    <w:t>生物质锅炉废气</w:t>
                  </w:r>
                </w:p>
              </w:tc>
              <w:tc>
                <w:tcPr>
                  <w:tcW w:w="1969" w:type="pct"/>
                  <w:vAlign w:val="center"/>
                </w:tcPr>
                <w:p w14:paraId="7AB94100">
                  <w:pPr>
                    <w:keepNext w:val="0"/>
                    <w:keepLines w:val="0"/>
                    <w:pageBreakBefore w:val="0"/>
                    <w:widowControl w:val="0"/>
                    <w:kinsoku/>
                    <w:wordWrap/>
                    <w:overflowPunct/>
                    <w:topLinePunct w:val="0"/>
                    <w:autoSpaceDE/>
                    <w:autoSpaceDN/>
                    <w:bidi w:val="0"/>
                    <w:adjustRightInd w:val="0"/>
                    <w:jc w:val="center"/>
                    <w:textAlignment w:val="baseline"/>
                    <w:rPr>
                      <w:rFonts w:hint="default" w:eastAsia="宋体"/>
                      <w:color w:val="auto"/>
                      <w:szCs w:val="21"/>
                      <w:lang w:val="en-US" w:eastAsia="zh-CN"/>
                    </w:rPr>
                  </w:pPr>
                  <w:r>
                    <w:rPr>
                      <w:rFonts w:hint="eastAsia" w:ascii="Times New Roman" w:hAnsi="Times New Roman"/>
                      <w:color w:val="auto"/>
                      <w:sz w:val="21"/>
                      <w:szCs w:val="21"/>
                      <w:highlight w:val="none"/>
                      <w:lang w:val="en-US" w:eastAsia="zh-CN"/>
                    </w:rPr>
                    <w:t>设置1套“多管旋风除尘器+水膜除尘器+30m高排气筒”，用于处理生物质锅炉产生废气。</w:t>
                  </w:r>
                </w:p>
              </w:tc>
              <w:tc>
                <w:tcPr>
                  <w:tcW w:w="1368" w:type="pct"/>
                  <w:vAlign w:val="center"/>
                </w:tcPr>
                <w:p w14:paraId="76155427">
                  <w:pPr>
                    <w:keepNext w:val="0"/>
                    <w:keepLines w:val="0"/>
                    <w:pageBreakBefore w:val="0"/>
                    <w:widowControl w:val="0"/>
                    <w:kinsoku/>
                    <w:wordWrap/>
                    <w:overflowPunct/>
                    <w:topLinePunct w:val="0"/>
                    <w:autoSpaceDE/>
                    <w:autoSpaceDN/>
                    <w:bidi w:val="0"/>
                    <w:adjustRightInd w:val="0"/>
                    <w:jc w:val="center"/>
                    <w:textAlignment w:val="baseline"/>
                    <w:rPr>
                      <w:rFonts w:hint="default" w:eastAsia="宋体"/>
                      <w:color w:val="auto"/>
                      <w:szCs w:val="21"/>
                      <w:lang w:val="en-US" w:eastAsia="zh-CN"/>
                    </w:rPr>
                  </w:pPr>
                  <w:r>
                    <w:rPr>
                      <w:rFonts w:hint="eastAsia"/>
                      <w:color w:val="auto"/>
                      <w:szCs w:val="21"/>
                      <w:lang w:val="en-US" w:eastAsia="zh-CN"/>
                    </w:rPr>
                    <w:t>本次技改拟将现有除尘设施更换为“</w:t>
                  </w:r>
                  <w:r>
                    <w:rPr>
                      <w:rFonts w:hint="eastAsia" w:ascii="Times New Roman" w:hAnsi="Times New Roman"/>
                      <w:color w:val="auto"/>
                      <w:sz w:val="21"/>
                      <w:szCs w:val="21"/>
                      <w:highlight w:val="none"/>
                      <w:lang w:val="en-US" w:eastAsia="zh-CN"/>
                    </w:rPr>
                    <w:t>多管旋风除尘器+</w:t>
                  </w:r>
                  <w:r>
                    <w:rPr>
                      <w:rFonts w:hint="eastAsia"/>
                      <w:color w:val="auto"/>
                      <w:sz w:val="21"/>
                      <w:szCs w:val="21"/>
                      <w:highlight w:val="none"/>
                      <w:lang w:val="en-US" w:eastAsia="zh-CN"/>
                    </w:rPr>
                    <w:t>布袋</w:t>
                  </w:r>
                  <w:r>
                    <w:rPr>
                      <w:rFonts w:hint="eastAsia" w:ascii="Times New Roman" w:hAnsi="Times New Roman"/>
                      <w:color w:val="auto"/>
                      <w:sz w:val="21"/>
                      <w:szCs w:val="21"/>
                      <w:highlight w:val="none"/>
                      <w:lang w:val="en-US" w:eastAsia="zh-CN"/>
                    </w:rPr>
                    <w:t>除尘器</w:t>
                  </w:r>
                  <w:r>
                    <w:rPr>
                      <w:rFonts w:hint="eastAsia"/>
                      <w:color w:val="auto"/>
                      <w:szCs w:val="21"/>
                      <w:lang w:val="en-US" w:eastAsia="zh-CN"/>
                    </w:rPr>
                    <w:t>”，排气筒、风机等依托现有项目。</w:t>
                  </w:r>
                </w:p>
              </w:tc>
            </w:tr>
            <w:tr w14:paraId="5A66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vAlign w:val="center"/>
                </w:tcPr>
                <w:p w14:paraId="044B8F27">
                  <w:pPr>
                    <w:keepNext w:val="0"/>
                    <w:keepLines w:val="0"/>
                    <w:pageBreakBefore w:val="0"/>
                    <w:widowControl w:val="0"/>
                    <w:kinsoku/>
                    <w:wordWrap/>
                    <w:overflowPunct/>
                    <w:topLinePunct w:val="0"/>
                    <w:autoSpaceDE/>
                    <w:autoSpaceDN/>
                    <w:bidi w:val="0"/>
                    <w:adjustRightInd w:val="0"/>
                    <w:jc w:val="center"/>
                    <w:textAlignment w:val="baseline"/>
                    <w:rPr>
                      <w:color w:val="auto"/>
                      <w:szCs w:val="21"/>
                    </w:rPr>
                  </w:pPr>
                </w:p>
              </w:tc>
              <w:tc>
                <w:tcPr>
                  <w:tcW w:w="429" w:type="pct"/>
                  <w:vMerge w:val="restart"/>
                  <w:vAlign w:val="center"/>
                </w:tcPr>
                <w:p w14:paraId="0E3CC20A">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color w:val="auto"/>
                      <w:szCs w:val="21"/>
                      <w:lang w:val="en-US" w:eastAsia="zh-CN"/>
                    </w:rPr>
                  </w:pPr>
                  <w:r>
                    <w:rPr>
                      <w:rFonts w:hint="eastAsia"/>
                      <w:color w:val="auto"/>
                      <w:szCs w:val="21"/>
                      <w:lang w:val="en-US" w:eastAsia="zh-CN"/>
                    </w:rPr>
                    <w:t>废水治理</w:t>
                  </w:r>
                </w:p>
              </w:tc>
              <w:tc>
                <w:tcPr>
                  <w:tcW w:w="770" w:type="pct"/>
                  <w:vAlign w:val="center"/>
                </w:tcPr>
                <w:p w14:paraId="14AD9F80">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Times New Roman" w:hAnsi="Times New Roman" w:eastAsia="宋体" w:cs="Times New Roman"/>
                      <w:color w:val="auto"/>
                      <w:kern w:val="2"/>
                      <w:sz w:val="21"/>
                      <w:szCs w:val="21"/>
                      <w:lang w:val="en-US" w:eastAsia="zh-CN" w:bidi="ar-SA"/>
                    </w:rPr>
                  </w:pPr>
                  <w:r>
                    <w:rPr>
                      <w:color w:val="auto"/>
                      <w:szCs w:val="21"/>
                    </w:rPr>
                    <w:t>沉淀池</w:t>
                  </w:r>
                </w:p>
              </w:tc>
              <w:tc>
                <w:tcPr>
                  <w:tcW w:w="1969" w:type="pct"/>
                  <w:vAlign w:val="center"/>
                </w:tcPr>
                <w:p w14:paraId="188DEAA3">
                  <w:pPr>
                    <w:keepNext w:val="0"/>
                    <w:keepLines w:val="0"/>
                    <w:pageBreakBefore w:val="0"/>
                    <w:widowControl w:val="0"/>
                    <w:kinsoku/>
                    <w:wordWrap/>
                    <w:overflowPunct/>
                    <w:topLinePunct w:val="0"/>
                    <w:autoSpaceDE/>
                    <w:autoSpaceDN/>
                    <w:bidi w:val="0"/>
                    <w:adjustRightInd w:val="0"/>
                    <w:jc w:val="center"/>
                    <w:textAlignment w:val="baseline"/>
                    <w:rPr>
                      <w:rFonts w:hint="eastAsia" w:ascii="Times New Roman" w:hAnsi="Times New Roman" w:eastAsia="宋体" w:cs="Times New Roman"/>
                      <w:color w:val="auto"/>
                      <w:kern w:val="2"/>
                      <w:sz w:val="21"/>
                      <w:szCs w:val="21"/>
                      <w:lang w:val="en-US" w:eastAsia="zh-CN" w:bidi="ar-SA"/>
                    </w:rPr>
                  </w:pPr>
                  <w:r>
                    <w:rPr>
                      <w:color w:val="auto"/>
                      <w:szCs w:val="21"/>
                    </w:rPr>
                    <w:t>设置1</w:t>
                  </w:r>
                  <w:r>
                    <w:rPr>
                      <w:rFonts w:hint="eastAsia"/>
                      <w:color w:val="auto"/>
                      <w:szCs w:val="21"/>
                      <w:lang w:val="en-US" w:eastAsia="zh-CN"/>
                    </w:rPr>
                    <w:t>座</w:t>
                  </w:r>
                  <w:r>
                    <w:rPr>
                      <w:color w:val="auto"/>
                      <w:szCs w:val="21"/>
                    </w:rPr>
                    <w:t>容积为</w:t>
                  </w:r>
                  <w:r>
                    <w:rPr>
                      <w:rFonts w:hint="eastAsia"/>
                      <w:color w:val="auto"/>
                      <w:szCs w:val="21"/>
                    </w:rPr>
                    <w:t>70</w:t>
                  </w:r>
                  <w:r>
                    <w:rPr>
                      <w:color w:val="auto"/>
                      <w:szCs w:val="21"/>
                    </w:rPr>
                    <w:t>m</w:t>
                  </w:r>
                  <w:r>
                    <w:rPr>
                      <w:color w:val="auto"/>
                      <w:szCs w:val="21"/>
                      <w:vertAlign w:val="superscript"/>
                    </w:rPr>
                    <w:t>3</w:t>
                  </w:r>
                  <w:r>
                    <w:rPr>
                      <w:color w:val="auto"/>
                      <w:szCs w:val="21"/>
                    </w:rPr>
                    <w:t>的沉淀池，用于处理生产废水，</w:t>
                  </w:r>
                  <w:r>
                    <w:rPr>
                      <w:rFonts w:hint="eastAsia"/>
                      <w:color w:val="auto"/>
                      <w:szCs w:val="21"/>
                      <w:lang w:val="en-US" w:eastAsia="zh-CN"/>
                    </w:rPr>
                    <w:t>沉淀池采用的工艺主要为“调节+气浮沉淀”工艺，</w:t>
                  </w:r>
                  <w:r>
                    <w:rPr>
                      <w:color w:val="auto"/>
                      <w:szCs w:val="21"/>
                    </w:rPr>
                    <w:t>位于</w:t>
                  </w:r>
                  <w:r>
                    <w:rPr>
                      <w:rFonts w:hint="eastAsia"/>
                      <w:color w:val="auto"/>
                      <w:szCs w:val="21"/>
                      <w:lang w:val="en-US" w:eastAsia="zh-CN"/>
                    </w:rPr>
                    <w:t>厂房外北侧</w:t>
                  </w:r>
                  <w:r>
                    <w:rPr>
                      <w:color w:val="auto"/>
                      <w:szCs w:val="21"/>
                    </w:rPr>
                    <w:t>。</w:t>
                  </w:r>
                </w:p>
              </w:tc>
              <w:tc>
                <w:tcPr>
                  <w:tcW w:w="1368" w:type="pct"/>
                  <w:vMerge w:val="restart"/>
                  <w:vAlign w:val="center"/>
                </w:tcPr>
                <w:p w14:paraId="4B06229E">
                  <w:pPr>
                    <w:keepNext w:val="0"/>
                    <w:keepLines w:val="0"/>
                    <w:pageBreakBefore w:val="0"/>
                    <w:widowControl w:val="0"/>
                    <w:kinsoku/>
                    <w:wordWrap/>
                    <w:overflowPunct/>
                    <w:topLinePunct w:val="0"/>
                    <w:autoSpaceDE/>
                    <w:autoSpaceDN/>
                    <w:bidi w:val="0"/>
                    <w:adjustRightInd w:val="0"/>
                    <w:jc w:val="center"/>
                    <w:textAlignment w:val="baseline"/>
                    <w:rPr>
                      <w:color w:val="auto"/>
                      <w:szCs w:val="21"/>
                    </w:rPr>
                  </w:pPr>
                  <w:r>
                    <w:rPr>
                      <w:rFonts w:hint="eastAsia"/>
                      <w:color w:val="auto"/>
                      <w:szCs w:val="21"/>
                      <w:lang w:val="en-US" w:eastAsia="zh-CN"/>
                    </w:rPr>
                    <w:t>依托现有</w:t>
                  </w:r>
                </w:p>
              </w:tc>
            </w:tr>
            <w:tr w14:paraId="3B73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2" w:type="pct"/>
                  <w:vMerge w:val="continue"/>
                  <w:vAlign w:val="center"/>
                </w:tcPr>
                <w:p w14:paraId="3E84D016">
                  <w:pPr>
                    <w:keepNext w:val="0"/>
                    <w:keepLines w:val="0"/>
                    <w:pageBreakBefore w:val="0"/>
                    <w:widowControl w:val="0"/>
                    <w:kinsoku/>
                    <w:wordWrap/>
                    <w:overflowPunct/>
                    <w:topLinePunct w:val="0"/>
                    <w:autoSpaceDE/>
                    <w:autoSpaceDN/>
                    <w:bidi w:val="0"/>
                    <w:adjustRightInd w:val="0"/>
                    <w:jc w:val="center"/>
                    <w:textAlignment w:val="baseline"/>
                    <w:rPr>
                      <w:color w:val="auto"/>
                      <w:szCs w:val="21"/>
                    </w:rPr>
                  </w:pPr>
                </w:p>
              </w:tc>
              <w:tc>
                <w:tcPr>
                  <w:tcW w:w="429" w:type="pct"/>
                  <w:vMerge w:val="continue"/>
                  <w:vAlign w:val="center"/>
                </w:tcPr>
                <w:p w14:paraId="269DFB23">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color w:val="auto"/>
                      <w:szCs w:val="21"/>
                      <w:lang w:val="en-US" w:eastAsia="zh-CN"/>
                    </w:rPr>
                  </w:pPr>
                </w:p>
              </w:tc>
              <w:tc>
                <w:tcPr>
                  <w:tcW w:w="770" w:type="pct"/>
                  <w:vAlign w:val="center"/>
                </w:tcPr>
                <w:p w14:paraId="06CD8C13">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auto"/>
                      <w:szCs w:val="21"/>
                    </w:rPr>
                    <w:t>一体化污水处理站</w:t>
                  </w:r>
                </w:p>
              </w:tc>
              <w:tc>
                <w:tcPr>
                  <w:tcW w:w="1969" w:type="pct"/>
                  <w:vAlign w:val="center"/>
                </w:tcPr>
                <w:p w14:paraId="675FA91B">
                  <w:pPr>
                    <w:keepNext w:val="0"/>
                    <w:keepLines w:val="0"/>
                    <w:pageBreakBefore w:val="0"/>
                    <w:widowControl w:val="0"/>
                    <w:kinsoku/>
                    <w:wordWrap/>
                    <w:overflowPunct/>
                    <w:topLinePunct w:val="0"/>
                    <w:autoSpaceDE/>
                    <w:autoSpaceDN/>
                    <w:bidi w:val="0"/>
                    <w:adjustRightInd w:val="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1座，处理能力为</w:t>
                  </w:r>
                  <w:r>
                    <w:rPr>
                      <w:rFonts w:hint="eastAsia"/>
                      <w:color w:val="auto"/>
                      <w:szCs w:val="21"/>
                    </w:rPr>
                    <w:t>15m</w:t>
                  </w:r>
                  <w:r>
                    <w:rPr>
                      <w:rFonts w:hint="eastAsia"/>
                      <w:color w:val="auto"/>
                      <w:szCs w:val="21"/>
                      <w:vertAlign w:val="superscript"/>
                    </w:rPr>
                    <w:t>3</w:t>
                  </w:r>
                  <w:r>
                    <w:rPr>
                      <w:rFonts w:hint="eastAsia"/>
                      <w:color w:val="auto"/>
                      <w:szCs w:val="21"/>
                    </w:rPr>
                    <w:t>/d</w:t>
                  </w:r>
                  <w:r>
                    <w:rPr>
                      <w:rFonts w:hint="eastAsia"/>
                      <w:color w:val="auto"/>
                      <w:szCs w:val="21"/>
                      <w:lang w:eastAsia="zh-CN"/>
                    </w:rPr>
                    <w:t>，</w:t>
                  </w:r>
                  <w:r>
                    <w:rPr>
                      <w:rFonts w:hint="eastAsia"/>
                      <w:color w:val="auto"/>
                      <w:szCs w:val="21"/>
                      <w:lang w:val="en-US" w:eastAsia="zh-CN"/>
                    </w:rPr>
                    <w:t>位于厂房北侧，</w:t>
                  </w:r>
                  <w:r>
                    <w:rPr>
                      <w:rFonts w:hint="eastAsia"/>
                      <w:color w:val="auto"/>
                      <w:szCs w:val="21"/>
                    </w:rPr>
                    <w:t>用于处理生产废水</w:t>
                  </w:r>
                  <w:r>
                    <w:rPr>
                      <w:rFonts w:hint="eastAsia"/>
                      <w:color w:val="auto"/>
                      <w:szCs w:val="21"/>
                      <w:lang w:eastAsia="zh-CN"/>
                    </w:rPr>
                    <w:t>。</w:t>
                  </w:r>
                </w:p>
              </w:tc>
              <w:tc>
                <w:tcPr>
                  <w:tcW w:w="1368" w:type="pct"/>
                  <w:vMerge w:val="continue"/>
                  <w:vAlign w:val="center"/>
                </w:tcPr>
                <w:p w14:paraId="253E0BB1">
                  <w:pPr>
                    <w:keepNext w:val="0"/>
                    <w:keepLines w:val="0"/>
                    <w:pageBreakBefore w:val="0"/>
                    <w:widowControl w:val="0"/>
                    <w:kinsoku/>
                    <w:wordWrap/>
                    <w:overflowPunct/>
                    <w:topLinePunct w:val="0"/>
                    <w:autoSpaceDE/>
                    <w:autoSpaceDN/>
                    <w:bidi w:val="0"/>
                    <w:adjustRightInd w:val="0"/>
                    <w:jc w:val="center"/>
                    <w:textAlignment w:val="baseline"/>
                    <w:rPr>
                      <w:color w:val="auto"/>
                      <w:szCs w:val="21"/>
                    </w:rPr>
                  </w:pPr>
                </w:p>
              </w:tc>
            </w:tr>
            <w:tr w14:paraId="3A27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462" w:type="pct"/>
                  <w:vMerge w:val="continue"/>
                  <w:vAlign w:val="center"/>
                </w:tcPr>
                <w:p w14:paraId="685E26B1">
                  <w:pPr>
                    <w:keepNext w:val="0"/>
                    <w:keepLines w:val="0"/>
                    <w:pageBreakBefore w:val="0"/>
                    <w:widowControl w:val="0"/>
                    <w:kinsoku/>
                    <w:wordWrap/>
                    <w:overflowPunct/>
                    <w:topLinePunct w:val="0"/>
                    <w:autoSpaceDE/>
                    <w:autoSpaceDN/>
                    <w:bidi w:val="0"/>
                    <w:adjustRightInd w:val="0"/>
                    <w:jc w:val="center"/>
                    <w:textAlignment w:val="baseline"/>
                    <w:rPr>
                      <w:color w:val="auto"/>
                      <w:szCs w:val="21"/>
                    </w:rPr>
                  </w:pPr>
                </w:p>
              </w:tc>
              <w:tc>
                <w:tcPr>
                  <w:tcW w:w="429" w:type="pct"/>
                  <w:vMerge w:val="restart"/>
                  <w:vAlign w:val="center"/>
                </w:tcPr>
                <w:p w14:paraId="28C1875E">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固废治理</w:t>
                  </w:r>
                </w:p>
              </w:tc>
              <w:tc>
                <w:tcPr>
                  <w:tcW w:w="770" w:type="pct"/>
                  <w:vAlign w:val="center"/>
                </w:tcPr>
                <w:p w14:paraId="57268906">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s="Times New Roman"/>
                      <w:color w:val="auto"/>
                      <w:kern w:val="2"/>
                      <w:sz w:val="21"/>
                      <w:szCs w:val="21"/>
                      <w:lang w:val="en-US" w:eastAsia="zh-CN" w:bidi="ar-SA"/>
                    </w:rPr>
                  </w:pPr>
                  <w:r>
                    <w:rPr>
                      <w:color w:val="auto"/>
                      <w:szCs w:val="21"/>
                    </w:rPr>
                    <w:t>危险废物</w:t>
                  </w:r>
                </w:p>
              </w:tc>
              <w:tc>
                <w:tcPr>
                  <w:tcW w:w="1969" w:type="pct"/>
                  <w:vAlign w:val="center"/>
                </w:tcPr>
                <w:p w14:paraId="6ACB6E49">
                  <w:pPr>
                    <w:keepNext w:val="0"/>
                    <w:keepLines w:val="0"/>
                    <w:pageBreakBefore w:val="0"/>
                    <w:widowControl w:val="0"/>
                    <w:kinsoku/>
                    <w:wordWrap/>
                    <w:overflowPunct/>
                    <w:topLinePunct w:val="0"/>
                    <w:autoSpaceDE/>
                    <w:autoSpaceDN/>
                    <w:bidi w:val="0"/>
                    <w:adjustRightInd w:val="0"/>
                    <w:jc w:val="center"/>
                    <w:textAlignment w:val="baseline"/>
                    <w:rPr>
                      <w:rFonts w:hint="eastAsia"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highlight w:val="none"/>
                    </w:rPr>
                    <w:t>设置</w:t>
                  </w:r>
                  <w:r>
                    <w:rPr>
                      <w:rFonts w:hint="eastAsia" w:ascii="Times New Roman" w:hAnsi="Times New Roman"/>
                      <w:color w:val="auto"/>
                      <w:sz w:val="21"/>
                      <w:szCs w:val="21"/>
                      <w:highlight w:val="none"/>
                      <w:lang w:val="en-US" w:eastAsia="zh-CN"/>
                    </w:rPr>
                    <w:t>2</w:t>
                  </w:r>
                  <w:r>
                    <w:rPr>
                      <w:rFonts w:ascii="Times New Roman" w:hAnsi="Times New Roman"/>
                      <w:color w:val="auto"/>
                      <w:sz w:val="21"/>
                      <w:szCs w:val="21"/>
                      <w:highlight w:val="none"/>
                    </w:rPr>
                    <w:t>间</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总</w:t>
                  </w:r>
                  <w:r>
                    <w:rPr>
                      <w:rFonts w:ascii="Times New Roman" w:hAnsi="Times New Roman"/>
                      <w:color w:val="auto"/>
                      <w:sz w:val="21"/>
                      <w:szCs w:val="21"/>
                      <w:highlight w:val="none"/>
                    </w:rPr>
                    <w:t>建筑面积</w:t>
                  </w:r>
                  <w:r>
                    <w:rPr>
                      <w:rFonts w:hint="eastAsia" w:ascii="Times New Roman" w:hAnsi="Times New Roman"/>
                      <w:color w:val="auto"/>
                      <w:sz w:val="21"/>
                      <w:szCs w:val="21"/>
                      <w:highlight w:val="none"/>
                      <w:lang w:val="en-US" w:eastAsia="zh-CN"/>
                    </w:rPr>
                    <w:t>为10</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的危废</w:t>
                  </w:r>
                  <w:r>
                    <w:rPr>
                      <w:rFonts w:hint="eastAsia" w:ascii="Times New Roman" w:hAnsi="Times New Roman"/>
                      <w:color w:val="auto"/>
                      <w:sz w:val="21"/>
                      <w:szCs w:val="21"/>
                      <w:highlight w:val="none"/>
                      <w:lang w:val="en-US" w:eastAsia="zh-CN"/>
                    </w:rPr>
                    <w:t>贮存</w:t>
                  </w:r>
                  <w:r>
                    <w:rPr>
                      <w:rFonts w:ascii="Times New Roman" w:hAnsi="Times New Roman"/>
                      <w:color w:val="auto"/>
                      <w:sz w:val="21"/>
                      <w:szCs w:val="21"/>
                      <w:highlight w:val="none"/>
                    </w:rPr>
                    <w:t>间</w:t>
                  </w:r>
                  <w:r>
                    <w:rPr>
                      <w:rFonts w:hint="eastAsia"/>
                      <w:color w:val="auto"/>
                      <w:sz w:val="21"/>
                      <w:szCs w:val="21"/>
                      <w:highlight w:val="none"/>
                      <w:lang w:eastAsia="zh-CN"/>
                    </w:rPr>
                    <w:t>。</w:t>
                  </w:r>
                </w:p>
              </w:tc>
              <w:tc>
                <w:tcPr>
                  <w:tcW w:w="1368" w:type="pct"/>
                  <w:vMerge w:val="restart"/>
                  <w:vAlign w:val="center"/>
                </w:tcPr>
                <w:p w14:paraId="778E4E91">
                  <w:pPr>
                    <w:keepNext w:val="0"/>
                    <w:keepLines w:val="0"/>
                    <w:pageBreakBefore w:val="0"/>
                    <w:widowControl w:val="0"/>
                    <w:kinsoku/>
                    <w:wordWrap/>
                    <w:overflowPunct/>
                    <w:topLinePunct w:val="0"/>
                    <w:autoSpaceDE/>
                    <w:autoSpaceDN/>
                    <w:bidi w:val="0"/>
                    <w:adjustRightInd w:val="0"/>
                    <w:jc w:val="center"/>
                    <w:textAlignment w:val="baseline"/>
                    <w:rPr>
                      <w:color w:val="auto"/>
                      <w:szCs w:val="21"/>
                    </w:rPr>
                  </w:pPr>
                  <w:r>
                    <w:rPr>
                      <w:rFonts w:hint="eastAsia"/>
                      <w:color w:val="auto"/>
                      <w:szCs w:val="21"/>
                      <w:lang w:val="en-US" w:eastAsia="zh-CN"/>
                    </w:rPr>
                    <w:t>依托现有</w:t>
                  </w:r>
                </w:p>
              </w:tc>
            </w:tr>
            <w:tr w14:paraId="0102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462" w:type="pct"/>
                  <w:vMerge w:val="continue"/>
                  <w:vAlign w:val="center"/>
                </w:tcPr>
                <w:p w14:paraId="08DB18AD">
                  <w:pPr>
                    <w:keepNext w:val="0"/>
                    <w:keepLines w:val="0"/>
                    <w:pageBreakBefore w:val="0"/>
                    <w:widowControl w:val="0"/>
                    <w:kinsoku/>
                    <w:wordWrap/>
                    <w:overflowPunct/>
                    <w:topLinePunct w:val="0"/>
                    <w:autoSpaceDE/>
                    <w:autoSpaceDN/>
                    <w:bidi w:val="0"/>
                    <w:adjustRightInd w:val="0"/>
                    <w:jc w:val="center"/>
                    <w:textAlignment w:val="baseline"/>
                    <w:rPr>
                      <w:color w:val="auto"/>
                      <w:szCs w:val="21"/>
                    </w:rPr>
                  </w:pPr>
                </w:p>
              </w:tc>
              <w:tc>
                <w:tcPr>
                  <w:tcW w:w="429" w:type="pct"/>
                  <w:vMerge w:val="continue"/>
                  <w:vAlign w:val="center"/>
                </w:tcPr>
                <w:p w14:paraId="5DDF736D">
                  <w:pPr>
                    <w:keepNext w:val="0"/>
                    <w:keepLines w:val="0"/>
                    <w:pageBreakBefore w:val="0"/>
                    <w:widowControl w:val="0"/>
                    <w:kinsoku/>
                    <w:wordWrap/>
                    <w:overflowPunct/>
                    <w:topLinePunct w:val="0"/>
                    <w:autoSpaceDE/>
                    <w:autoSpaceDN/>
                    <w:bidi w:val="0"/>
                    <w:adjustRightInd w:val="0"/>
                    <w:snapToGrid w:val="0"/>
                    <w:jc w:val="center"/>
                    <w:textAlignment w:val="baseline"/>
                    <w:rPr>
                      <w:color w:val="auto"/>
                      <w:szCs w:val="21"/>
                    </w:rPr>
                  </w:pPr>
                </w:p>
              </w:tc>
              <w:tc>
                <w:tcPr>
                  <w:tcW w:w="770" w:type="pct"/>
                  <w:vAlign w:val="center"/>
                </w:tcPr>
                <w:p w14:paraId="0DB15B22">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s="Times New Roman"/>
                      <w:color w:val="auto"/>
                      <w:kern w:val="2"/>
                      <w:sz w:val="21"/>
                      <w:szCs w:val="21"/>
                      <w:lang w:val="en-US" w:eastAsia="zh-CN" w:bidi="ar-SA"/>
                    </w:rPr>
                  </w:pPr>
                  <w:r>
                    <w:rPr>
                      <w:color w:val="auto"/>
                      <w:szCs w:val="21"/>
                    </w:rPr>
                    <w:t>生活垃圾</w:t>
                  </w:r>
                </w:p>
              </w:tc>
              <w:tc>
                <w:tcPr>
                  <w:tcW w:w="1969" w:type="pct"/>
                  <w:vAlign w:val="center"/>
                </w:tcPr>
                <w:p w14:paraId="6775B632">
                  <w:pPr>
                    <w:keepNext w:val="0"/>
                    <w:keepLines w:val="0"/>
                    <w:pageBreakBefore w:val="0"/>
                    <w:widowControl w:val="0"/>
                    <w:kinsoku/>
                    <w:wordWrap/>
                    <w:overflowPunct/>
                    <w:topLinePunct w:val="0"/>
                    <w:autoSpaceDE/>
                    <w:autoSpaceDN/>
                    <w:bidi w:val="0"/>
                    <w:adjustRightInd w:val="0"/>
                    <w:jc w:val="center"/>
                    <w:textAlignment w:val="baseline"/>
                    <w:rPr>
                      <w:rFonts w:hint="eastAsia" w:eastAsia="宋体"/>
                      <w:color w:val="auto"/>
                      <w:szCs w:val="21"/>
                      <w:lang w:eastAsia="zh-CN"/>
                    </w:rPr>
                  </w:pPr>
                  <w:r>
                    <w:rPr>
                      <w:color w:val="auto"/>
                      <w:szCs w:val="21"/>
                    </w:rPr>
                    <w:t>设置</w:t>
                  </w:r>
                  <w:r>
                    <w:rPr>
                      <w:rFonts w:hint="eastAsia"/>
                      <w:color w:val="auto"/>
                      <w:szCs w:val="21"/>
                      <w:lang w:val="en-US" w:eastAsia="zh-CN"/>
                    </w:rPr>
                    <w:t>3</w:t>
                  </w:r>
                  <w:r>
                    <w:rPr>
                      <w:color w:val="auto"/>
                      <w:szCs w:val="21"/>
                    </w:rPr>
                    <w:t>个垃圾箱</w:t>
                  </w:r>
                  <w:r>
                    <w:rPr>
                      <w:rFonts w:hint="eastAsia"/>
                      <w:color w:val="auto"/>
                      <w:szCs w:val="21"/>
                      <w:lang w:eastAsia="zh-CN"/>
                    </w:rPr>
                    <w:t>。</w:t>
                  </w:r>
                </w:p>
              </w:tc>
              <w:tc>
                <w:tcPr>
                  <w:tcW w:w="1368" w:type="pct"/>
                  <w:vMerge w:val="continue"/>
                  <w:vAlign w:val="center"/>
                </w:tcPr>
                <w:p w14:paraId="1692D668">
                  <w:pPr>
                    <w:keepNext w:val="0"/>
                    <w:keepLines w:val="0"/>
                    <w:pageBreakBefore w:val="0"/>
                    <w:widowControl w:val="0"/>
                    <w:kinsoku/>
                    <w:wordWrap/>
                    <w:overflowPunct/>
                    <w:topLinePunct w:val="0"/>
                    <w:autoSpaceDE/>
                    <w:autoSpaceDN/>
                    <w:bidi w:val="0"/>
                    <w:adjustRightInd w:val="0"/>
                    <w:jc w:val="center"/>
                    <w:textAlignment w:val="baseline"/>
                    <w:rPr>
                      <w:color w:val="auto"/>
                      <w:szCs w:val="21"/>
                    </w:rPr>
                  </w:pPr>
                </w:p>
              </w:tc>
            </w:tr>
            <w:tr w14:paraId="47B4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62" w:type="pct"/>
                  <w:vMerge w:val="continue"/>
                  <w:vAlign w:val="center"/>
                </w:tcPr>
                <w:p w14:paraId="4C57532A">
                  <w:pPr>
                    <w:keepNext w:val="0"/>
                    <w:keepLines w:val="0"/>
                    <w:pageBreakBefore w:val="0"/>
                    <w:widowControl w:val="0"/>
                    <w:kinsoku/>
                    <w:wordWrap/>
                    <w:overflowPunct/>
                    <w:topLinePunct w:val="0"/>
                    <w:autoSpaceDE/>
                    <w:autoSpaceDN/>
                    <w:bidi w:val="0"/>
                    <w:adjustRightInd w:val="0"/>
                    <w:jc w:val="center"/>
                    <w:textAlignment w:val="baseline"/>
                    <w:rPr>
                      <w:color w:val="auto"/>
                      <w:szCs w:val="21"/>
                    </w:rPr>
                  </w:pPr>
                </w:p>
              </w:tc>
              <w:tc>
                <w:tcPr>
                  <w:tcW w:w="1199" w:type="pct"/>
                  <w:gridSpan w:val="2"/>
                  <w:vAlign w:val="center"/>
                </w:tcPr>
                <w:p w14:paraId="0ECCCE20">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eastAsia="宋体"/>
                      <w:color w:val="auto"/>
                      <w:szCs w:val="21"/>
                      <w:lang w:val="en-US" w:eastAsia="zh-CN"/>
                    </w:rPr>
                  </w:pPr>
                  <w:r>
                    <w:rPr>
                      <w:rFonts w:hint="eastAsia"/>
                      <w:color w:val="auto"/>
                      <w:szCs w:val="21"/>
                      <w:lang w:val="en-US" w:eastAsia="zh-CN"/>
                    </w:rPr>
                    <w:t>噪声</w:t>
                  </w:r>
                </w:p>
              </w:tc>
              <w:tc>
                <w:tcPr>
                  <w:tcW w:w="1969" w:type="pct"/>
                  <w:vAlign w:val="center"/>
                </w:tcPr>
                <w:p w14:paraId="5B1500F6">
                  <w:pPr>
                    <w:keepNext w:val="0"/>
                    <w:keepLines w:val="0"/>
                    <w:pageBreakBefore w:val="0"/>
                    <w:widowControl w:val="0"/>
                    <w:kinsoku/>
                    <w:wordWrap/>
                    <w:overflowPunct/>
                    <w:topLinePunct w:val="0"/>
                    <w:autoSpaceDE/>
                    <w:autoSpaceDN/>
                    <w:bidi w:val="0"/>
                    <w:adjustRightInd w:val="0"/>
                    <w:jc w:val="center"/>
                    <w:textAlignment w:val="baseline"/>
                    <w:rPr>
                      <w:rFonts w:hint="eastAsia" w:eastAsia="宋体"/>
                      <w:color w:val="auto"/>
                      <w:szCs w:val="21"/>
                      <w:lang w:eastAsia="zh-CN"/>
                    </w:rPr>
                  </w:pPr>
                  <w:r>
                    <w:rPr>
                      <w:color w:val="auto"/>
                      <w:kern w:val="0"/>
                    </w:rPr>
                    <w:t>设备基础减振、厂房隔声、距离衰减等</w:t>
                  </w:r>
                  <w:r>
                    <w:rPr>
                      <w:rFonts w:hint="eastAsia"/>
                      <w:color w:val="auto"/>
                      <w:kern w:val="0"/>
                      <w:lang w:eastAsia="zh-CN"/>
                    </w:rPr>
                    <w:t>。</w:t>
                  </w:r>
                </w:p>
              </w:tc>
              <w:tc>
                <w:tcPr>
                  <w:tcW w:w="1368" w:type="pct"/>
                  <w:vAlign w:val="center"/>
                </w:tcPr>
                <w:p w14:paraId="041315D0">
                  <w:pPr>
                    <w:keepNext w:val="0"/>
                    <w:keepLines w:val="0"/>
                    <w:pageBreakBefore w:val="0"/>
                    <w:widowControl w:val="0"/>
                    <w:kinsoku/>
                    <w:wordWrap/>
                    <w:overflowPunct/>
                    <w:topLinePunct w:val="0"/>
                    <w:autoSpaceDE/>
                    <w:autoSpaceDN/>
                    <w:bidi w:val="0"/>
                    <w:adjustRightInd w:val="0"/>
                    <w:jc w:val="center"/>
                    <w:textAlignment w:val="baseline"/>
                    <w:rPr>
                      <w:color w:val="auto"/>
                      <w:szCs w:val="21"/>
                    </w:rPr>
                  </w:pPr>
                  <w:r>
                    <w:rPr>
                      <w:rFonts w:hint="eastAsia"/>
                      <w:color w:val="auto"/>
                      <w:szCs w:val="21"/>
                      <w:lang w:val="en-US" w:eastAsia="zh-CN"/>
                    </w:rPr>
                    <w:t>依托现有</w:t>
                  </w:r>
                </w:p>
              </w:tc>
            </w:tr>
          </w:tbl>
          <w:p w14:paraId="6C0078FB">
            <w:pPr>
              <w:adjustRightInd w:val="0"/>
              <w:snapToGrid w:val="0"/>
              <w:spacing w:line="360" w:lineRule="auto"/>
              <w:rPr>
                <w:b/>
                <w:bCs/>
                <w:color w:val="auto"/>
                <w:sz w:val="24"/>
              </w:rPr>
            </w:pPr>
            <w:r>
              <w:rPr>
                <w:b/>
                <w:bCs/>
                <w:color w:val="auto"/>
                <w:sz w:val="24"/>
              </w:rPr>
              <w:t>3</w:t>
            </w:r>
            <w:r>
              <w:rPr>
                <w:rFonts w:hint="eastAsia"/>
                <w:b/>
                <w:bCs/>
                <w:color w:val="auto"/>
                <w:sz w:val="24"/>
                <w:lang w:eastAsia="zh-CN"/>
              </w:rPr>
              <w:t>、</w:t>
            </w:r>
            <w:r>
              <w:rPr>
                <w:b/>
                <w:bCs/>
                <w:color w:val="auto"/>
                <w:sz w:val="24"/>
              </w:rPr>
              <w:t>产品及产能</w:t>
            </w:r>
          </w:p>
          <w:p w14:paraId="3835FEE5">
            <w:pPr>
              <w:keepNext w:val="0"/>
              <w:keepLines w:val="0"/>
              <w:pageBreakBefore w:val="0"/>
              <w:widowControl w:val="0"/>
              <w:kinsoku/>
              <w:wordWrap/>
              <w:overflowPunct/>
              <w:topLinePunct w:val="0"/>
              <w:bidi w:val="0"/>
              <w:adjustRightInd/>
              <w:snapToGrid/>
              <w:spacing w:line="360" w:lineRule="auto"/>
              <w:ind w:firstLine="480"/>
              <w:textAlignment w:val="auto"/>
              <w:rPr>
                <w:b/>
                <w:bCs/>
                <w:color w:val="auto"/>
                <w:kern w:val="2"/>
                <w:sz w:val="21"/>
                <w:szCs w:val="21"/>
              </w:rPr>
            </w:pPr>
            <w:r>
              <w:rPr>
                <w:rFonts w:hint="eastAsia"/>
                <w:color w:val="auto"/>
                <w:kern w:val="2"/>
                <w:sz w:val="24"/>
                <w:szCs w:val="24"/>
                <w:lang w:val="en-US" w:eastAsia="zh-CN"/>
              </w:rPr>
              <w:t>本次技改后</w:t>
            </w:r>
            <w:r>
              <w:rPr>
                <w:rFonts w:hint="eastAsia" w:cs="Times New Roman"/>
                <w:color w:val="auto"/>
                <w:sz w:val="24"/>
                <w:highlight w:val="none"/>
                <w:lang w:val="en-US" w:eastAsia="zh-CN"/>
              </w:rPr>
              <w:t>产品及产能保持不变，仍为年生产速冻果蔬汁8000t/a。</w:t>
            </w:r>
            <w:r>
              <w:rPr>
                <w:rFonts w:hint="eastAsia"/>
                <w:color w:val="auto"/>
                <w:kern w:val="2"/>
                <w:sz w:val="24"/>
                <w:szCs w:val="24"/>
                <w:lang w:val="en-US" w:eastAsia="zh-CN"/>
              </w:rPr>
              <w:t>本次技改后产品方案详见下表。</w:t>
            </w:r>
          </w:p>
          <w:p w14:paraId="1BCED255">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b/>
                <w:bCs/>
                <w:color w:val="auto"/>
                <w:kern w:val="2"/>
                <w:sz w:val="21"/>
                <w:szCs w:val="21"/>
              </w:rPr>
            </w:pPr>
            <w:r>
              <w:rPr>
                <w:b/>
                <w:bCs/>
                <w:color w:val="auto"/>
                <w:kern w:val="2"/>
                <w:sz w:val="21"/>
                <w:szCs w:val="21"/>
              </w:rPr>
              <w:t>表2-2</w:t>
            </w:r>
            <w:r>
              <w:rPr>
                <w:rFonts w:hint="eastAsia"/>
                <w:b/>
                <w:bCs/>
                <w:color w:val="auto"/>
                <w:kern w:val="2"/>
                <w:sz w:val="21"/>
                <w:szCs w:val="21"/>
                <w:lang w:val="en-US" w:eastAsia="zh-CN"/>
              </w:rPr>
              <w:t xml:space="preserve">  </w:t>
            </w:r>
            <w:r>
              <w:rPr>
                <w:b/>
                <w:bCs/>
                <w:color w:val="auto"/>
                <w:kern w:val="2"/>
                <w:sz w:val="21"/>
                <w:szCs w:val="21"/>
              </w:rPr>
              <w:t>产品方案一览表</w:t>
            </w:r>
          </w:p>
          <w:tbl>
            <w:tblPr>
              <w:tblStyle w:val="23"/>
              <w:tblW w:w="8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2138"/>
              <w:gridCol w:w="1560"/>
              <w:gridCol w:w="1530"/>
              <w:gridCol w:w="1411"/>
            </w:tblGrid>
            <w:tr w14:paraId="5E22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921" w:type="pct"/>
                  <w:vMerge w:val="restart"/>
                  <w:vAlign w:val="center"/>
                </w:tcPr>
                <w:p w14:paraId="043B38FC">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b/>
                      <w:bCs/>
                      <w:color w:val="auto"/>
                      <w:kern w:val="2"/>
                      <w:sz w:val="21"/>
                      <w:szCs w:val="21"/>
                    </w:rPr>
                  </w:pPr>
                  <w:r>
                    <w:rPr>
                      <w:b/>
                      <w:bCs/>
                      <w:color w:val="auto"/>
                      <w:kern w:val="2"/>
                      <w:sz w:val="21"/>
                      <w:szCs w:val="21"/>
                    </w:rPr>
                    <w:t>产品名称</w:t>
                  </w:r>
                </w:p>
              </w:tc>
              <w:tc>
                <w:tcPr>
                  <w:tcW w:w="1313" w:type="pct"/>
                  <w:vMerge w:val="restart"/>
                  <w:vAlign w:val="center"/>
                </w:tcPr>
                <w:p w14:paraId="5729D60F">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default"/>
                      <w:b/>
                      <w:bCs/>
                      <w:color w:val="auto"/>
                      <w:kern w:val="2"/>
                      <w:sz w:val="21"/>
                      <w:szCs w:val="21"/>
                      <w:lang w:val="en-US" w:eastAsia="zh-CN"/>
                    </w:rPr>
                  </w:pPr>
                  <w:r>
                    <w:rPr>
                      <w:b/>
                      <w:bCs/>
                      <w:color w:val="auto"/>
                      <w:kern w:val="2"/>
                      <w:sz w:val="21"/>
                      <w:szCs w:val="21"/>
                    </w:rPr>
                    <w:t>产品规格</w:t>
                  </w:r>
                </w:p>
              </w:tc>
              <w:tc>
                <w:tcPr>
                  <w:tcW w:w="2765" w:type="pct"/>
                  <w:gridSpan w:val="3"/>
                  <w:vAlign w:val="center"/>
                </w:tcPr>
                <w:p w14:paraId="55729173">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eastAsia"/>
                      <w:b/>
                      <w:bCs/>
                      <w:color w:val="auto"/>
                      <w:kern w:val="2"/>
                      <w:sz w:val="21"/>
                      <w:szCs w:val="21"/>
                      <w:lang w:val="en-US" w:eastAsia="zh-CN"/>
                    </w:rPr>
                  </w:pPr>
                  <w:r>
                    <w:rPr>
                      <w:rFonts w:hint="eastAsia"/>
                      <w:b/>
                      <w:bCs/>
                      <w:color w:val="auto"/>
                      <w:kern w:val="2"/>
                      <w:sz w:val="21"/>
                      <w:szCs w:val="21"/>
                      <w:lang w:val="en-US" w:eastAsia="zh-CN"/>
                    </w:rPr>
                    <w:t>生产规模（t/a）</w:t>
                  </w:r>
                </w:p>
              </w:tc>
            </w:tr>
            <w:tr w14:paraId="6208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921" w:type="pct"/>
                  <w:vMerge w:val="continue"/>
                  <w:vAlign w:val="center"/>
                </w:tcPr>
                <w:p w14:paraId="70DAF5F6">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color w:val="auto"/>
                      <w:kern w:val="2"/>
                      <w:sz w:val="21"/>
                      <w:szCs w:val="21"/>
                    </w:rPr>
                  </w:pPr>
                </w:p>
              </w:tc>
              <w:tc>
                <w:tcPr>
                  <w:tcW w:w="1313" w:type="pct"/>
                  <w:vMerge w:val="continue"/>
                  <w:vAlign w:val="center"/>
                </w:tcPr>
                <w:p w14:paraId="34D06959">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b/>
                      <w:bCs/>
                      <w:color w:val="auto"/>
                      <w:kern w:val="2"/>
                      <w:sz w:val="21"/>
                      <w:szCs w:val="21"/>
                      <w:lang w:val="en-US" w:eastAsia="zh-CN"/>
                    </w:rPr>
                  </w:pPr>
                </w:p>
              </w:tc>
              <w:tc>
                <w:tcPr>
                  <w:tcW w:w="958" w:type="pct"/>
                  <w:vAlign w:val="center"/>
                </w:tcPr>
                <w:p w14:paraId="7BE44CBD">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b/>
                      <w:bCs/>
                      <w:color w:val="auto"/>
                      <w:kern w:val="2"/>
                      <w:sz w:val="21"/>
                      <w:szCs w:val="21"/>
                      <w:lang w:val="en-US" w:eastAsia="zh-CN"/>
                    </w:rPr>
                  </w:pPr>
                  <w:r>
                    <w:rPr>
                      <w:rFonts w:hint="eastAsia"/>
                      <w:b/>
                      <w:bCs/>
                      <w:color w:val="auto"/>
                      <w:kern w:val="2"/>
                      <w:sz w:val="21"/>
                      <w:szCs w:val="21"/>
                      <w:lang w:val="en-US" w:eastAsia="zh-CN"/>
                    </w:rPr>
                    <w:t>现有工程</w:t>
                  </w:r>
                </w:p>
              </w:tc>
              <w:tc>
                <w:tcPr>
                  <w:tcW w:w="939" w:type="pct"/>
                  <w:vAlign w:val="center"/>
                </w:tcPr>
                <w:p w14:paraId="7B090503">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eastAsia"/>
                      <w:b/>
                      <w:bCs/>
                      <w:color w:val="auto"/>
                      <w:kern w:val="2"/>
                      <w:sz w:val="21"/>
                      <w:szCs w:val="21"/>
                      <w:lang w:val="en-US" w:eastAsia="zh-CN"/>
                    </w:rPr>
                  </w:pPr>
                  <w:r>
                    <w:rPr>
                      <w:rFonts w:hint="eastAsia"/>
                      <w:b/>
                      <w:bCs/>
                      <w:color w:val="auto"/>
                      <w:kern w:val="2"/>
                      <w:sz w:val="21"/>
                      <w:szCs w:val="21"/>
                      <w:lang w:val="en-US" w:eastAsia="zh-CN"/>
                    </w:rPr>
                    <w:t>本次技改后</w:t>
                  </w:r>
                </w:p>
              </w:tc>
              <w:tc>
                <w:tcPr>
                  <w:tcW w:w="866" w:type="pct"/>
                  <w:vAlign w:val="center"/>
                </w:tcPr>
                <w:p w14:paraId="71121E38">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eastAsia="宋体"/>
                      <w:b/>
                      <w:bCs/>
                      <w:color w:val="auto"/>
                      <w:kern w:val="2"/>
                      <w:sz w:val="21"/>
                      <w:szCs w:val="21"/>
                      <w:lang w:val="en-US" w:eastAsia="zh-CN"/>
                    </w:rPr>
                  </w:pPr>
                  <w:r>
                    <w:rPr>
                      <w:rFonts w:hint="eastAsia"/>
                      <w:b/>
                      <w:bCs/>
                      <w:color w:val="auto"/>
                      <w:kern w:val="2"/>
                      <w:sz w:val="21"/>
                      <w:szCs w:val="21"/>
                      <w:lang w:val="en-US" w:eastAsia="zh-CN"/>
                    </w:rPr>
                    <w:t>增加量</w:t>
                  </w:r>
                </w:p>
              </w:tc>
            </w:tr>
            <w:tr w14:paraId="18B2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1" w:type="pct"/>
                  <w:vAlign w:val="center"/>
                </w:tcPr>
                <w:p w14:paraId="1B433112">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color w:val="auto"/>
                      <w:kern w:val="2"/>
                      <w:sz w:val="21"/>
                      <w:szCs w:val="21"/>
                    </w:rPr>
                  </w:pPr>
                  <w:r>
                    <w:rPr>
                      <w:color w:val="auto"/>
                      <w:kern w:val="2"/>
                      <w:sz w:val="21"/>
                      <w:szCs w:val="21"/>
                    </w:rPr>
                    <w:t>速冻果蔬汁</w:t>
                  </w:r>
                </w:p>
              </w:tc>
              <w:tc>
                <w:tcPr>
                  <w:tcW w:w="1313" w:type="pct"/>
                  <w:vAlign w:val="center"/>
                </w:tcPr>
                <w:p w14:paraId="50AF602D">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olor w:val="auto"/>
                      <w:kern w:val="2"/>
                      <w:sz w:val="21"/>
                      <w:szCs w:val="21"/>
                      <w:lang w:val="en-US" w:eastAsia="zh-CN"/>
                    </w:rPr>
                  </w:pPr>
                  <w:r>
                    <w:rPr>
                      <w:color w:val="auto"/>
                      <w:kern w:val="2"/>
                      <w:sz w:val="21"/>
                      <w:szCs w:val="21"/>
                    </w:rPr>
                    <w:t>20kg/袋（内包装）</w:t>
                  </w:r>
                </w:p>
              </w:tc>
              <w:tc>
                <w:tcPr>
                  <w:tcW w:w="958" w:type="pct"/>
                  <w:vAlign w:val="center"/>
                </w:tcPr>
                <w:p w14:paraId="4636C5C8">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eastAsia="宋体"/>
                      <w:color w:val="auto"/>
                      <w:kern w:val="2"/>
                      <w:sz w:val="21"/>
                      <w:szCs w:val="21"/>
                      <w:lang w:val="en-US" w:eastAsia="zh-CN"/>
                    </w:rPr>
                  </w:pPr>
                  <w:r>
                    <w:rPr>
                      <w:rFonts w:hint="eastAsia"/>
                      <w:color w:val="auto"/>
                      <w:kern w:val="2"/>
                      <w:sz w:val="21"/>
                      <w:szCs w:val="21"/>
                      <w:lang w:val="en-US" w:eastAsia="zh-CN"/>
                    </w:rPr>
                    <w:t>8000</w:t>
                  </w:r>
                </w:p>
              </w:tc>
              <w:tc>
                <w:tcPr>
                  <w:tcW w:w="939" w:type="pct"/>
                  <w:vAlign w:val="center"/>
                </w:tcPr>
                <w:p w14:paraId="7E558A80">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eastAsia"/>
                      <w:color w:val="auto"/>
                      <w:kern w:val="2"/>
                      <w:sz w:val="21"/>
                      <w:szCs w:val="21"/>
                      <w:lang w:val="en-US" w:eastAsia="zh-CN"/>
                    </w:rPr>
                  </w:pPr>
                  <w:r>
                    <w:rPr>
                      <w:rFonts w:hint="eastAsia"/>
                      <w:color w:val="auto"/>
                      <w:kern w:val="2"/>
                      <w:sz w:val="21"/>
                      <w:szCs w:val="21"/>
                      <w:lang w:val="en-US" w:eastAsia="zh-CN"/>
                    </w:rPr>
                    <w:t>8000</w:t>
                  </w:r>
                </w:p>
              </w:tc>
              <w:tc>
                <w:tcPr>
                  <w:tcW w:w="866" w:type="pct"/>
                  <w:vAlign w:val="center"/>
                </w:tcPr>
                <w:p w14:paraId="55205F94">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eastAsia" w:eastAsia="宋体"/>
                      <w:color w:val="auto"/>
                      <w:kern w:val="2"/>
                      <w:sz w:val="21"/>
                      <w:szCs w:val="21"/>
                      <w:lang w:val="en-US" w:eastAsia="zh-CN"/>
                    </w:rPr>
                  </w:pPr>
                  <w:r>
                    <w:rPr>
                      <w:rFonts w:hint="eastAsia"/>
                      <w:color w:val="auto"/>
                      <w:kern w:val="2"/>
                      <w:sz w:val="21"/>
                      <w:szCs w:val="21"/>
                      <w:lang w:val="en-US" w:eastAsia="zh-CN"/>
                    </w:rPr>
                    <w:t>0</w:t>
                  </w:r>
                </w:p>
              </w:tc>
            </w:tr>
          </w:tbl>
          <w:p w14:paraId="447CE008">
            <w:pPr>
              <w:adjustRightInd w:val="0"/>
              <w:snapToGrid w:val="0"/>
              <w:spacing w:line="360" w:lineRule="auto"/>
              <w:rPr>
                <w:rFonts w:hint="default" w:eastAsia="宋体"/>
                <w:b/>
                <w:bCs/>
                <w:color w:val="auto"/>
                <w:sz w:val="24"/>
                <w:lang w:val="en-US" w:eastAsia="zh-CN"/>
              </w:rPr>
            </w:pPr>
            <w:r>
              <w:rPr>
                <w:b/>
                <w:bCs/>
                <w:color w:val="auto"/>
                <w:sz w:val="24"/>
              </w:rPr>
              <w:t>4</w:t>
            </w:r>
            <w:r>
              <w:rPr>
                <w:rFonts w:hint="eastAsia"/>
                <w:b/>
                <w:bCs/>
                <w:color w:val="auto"/>
                <w:sz w:val="24"/>
                <w:lang w:eastAsia="zh-CN"/>
              </w:rPr>
              <w:t>、</w:t>
            </w:r>
            <w:r>
              <w:rPr>
                <w:b/>
                <w:bCs/>
                <w:color w:val="auto"/>
                <w:sz w:val="24"/>
              </w:rPr>
              <w:t>主要</w:t>
            </w:r>
            <w:r>
              <w:rPr>
                <w:rFonts w:hint="eastAsia"/>
                <w:b/>
                <w:bCs/>
                <w:color w:val="auto"/>
                <w:sz w:val="24"/>
                <w:lang w:val="en-US" w:eastAsia="zh-CN"/>
              </w:rPr>
              <w:t>生产设备</w:t>
            </w:r>
          </w:p>
          <w:p w14:paraId="117918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kern w:val="2"/>
                <w:sz w:val="24"/>
                <w:szCs w:val="24"/>
                <w:lang w:val="en-US" w:eastAsia="zh-CN"/>
              </w:rPr>
            </w:pPr>
            <w:r>
              <w:rPr>
                <w:rFonts w:hint="eastAsia"/>
                <w:color w:val="auto"/>
                <w:kern w:val="2"/>
                <w:sz w:val="24"/>
                <w:szCs w:val="24"/>
                <w:lang w:val="en-US" w:eastAsia="zh-CN"/>
              </w:rPr>
              <w:t>本次技改拟将现有2t/h生物质锅炉拆除，更换为1台2.2t/h生物质锅炉（采用低氮燃烧技术），其余生产设备及实验室设备均依托现有项目。</w:t>
            </w:r>
            <w:r>
              <w:rPr>
                <w:rFonts w:hint="eastAsia" w:cs="Times New Roman"/>
                <w:color w:val="auto"/>
                <w:sz w:val="24"/>
                <w:szCs w:val="24"/>
                <w:highlight w:val="none"/>
                <w:lang w:val="en-US" w:eastAsia="zh-CN"/>
              </w:rPr>
              <w:t>高温蒸汽灭菌处理工序使用的杀菌机数量不变，仅调整工作时间（由年运行40d，每天8h，调整至年运行200d，每天12h，）。</w:t>
            </w:r>
            <w:r>
              <w:rPr>
                <w:rFonts w:hint="eastAsia"/>
                <w:color w:val="auto"/>
                <w:kern w:val="2"/>
                <w:sz w:val="24"/>
                <w:szCs w:val="24"/>
                <w:lang w:val="en-US" w:eastAsia="zh-CN"/>
              </w:rPr>
              <w:t>本次技改项目设备详见表2-3，技改前后锅炉主要技术指标见表2-4。</w:t>
            </w:r>
          </w:p>
          <w:p w14:paraId="65F2725B">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eastAsia"/>
                <w:color w:val="auto"/>
                <w:kern w:val="2"/>
                <w:sz w:val="24"/>
                <w:szCs w:val="24"/>
                <w:lang w:val="en-US" w:eastAsia="zh-CN"/>
              </w:rPr>
            </w:pPr>
            <w:r>
              <w:rPr>
                <w:b/>
                <w:bCs/>
                <w:color w:val="auto"/>
                <w:szCs w:val="21"/>
              </w:rPr>
              <w:t>表2-</w:t>
            </w:r>
            <w:r>
              <w:rPr>
                <w:rFonts w:hint="eastAsia"/>
                <w:b/>
                <w:bCs/>
                <w:color w:val="auto"/>
                <w:szCs w:val="21"/>
                <w:lang w:val="en-US" w:eastAsia="zh-CN"/>
              </w:rPr>
              <w:t>3  本次技改项目</w:t>
            </w:r>
            <w:r>
              <w:rPr>
                <w:b/>
                <w:bCs/>
                <w:color w:val="auto"/>
                <w:szCs w:val="21"/>
              </w:rPr>
              <w:t>主要设备</w:t>
            </w:r>
            <w:r>
              <w:rPr>
                <w:rFonts w:hint="eastAsia"/>
                <w:b/>
                <w:bCs/>
                <w:color w:val="auto"/>
                <w:szCs w:val="21"/>
                <w:lang w:val="en-US" w:eastAsia="zh-CN"/>
              </w:rPr>
              <w:t>一览</w:t>
            </w:r>
            <w:r>
              <w:rPr>
                <w:b/>
                <w:bCs/>
                <w:color w:val="auto"/>
                <w:szCs w:val="21"/>
              </w:rPr>
              <w:t>表</w:t>
            </w:r>
          </w:p>
          <w:tbl>
            <w:tblPr>
              <w:tblStyle w:val="22"/>
              <w:tblW w:w="8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589"/>
              <w:gridCol w:w="1200"/>
              <w:gridCol w:w="1110"/>
              <w:gridCol w:w="1589"/>
              <w:gridCol w:w="1008"/>
              <w:gridCol w:w="974"/>
            </w:tblGrid>
            <w:tr w14:paraId="34E7F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6" w:type="pct"/>
                  <w:vMerge w:val="restart"/>
                  <w:shd w:val="clear" w:color="000000" w:fill="auto"/>
                  <w:vAlign w:val="center"/>
                </w:tcPr>
                <w:p w14:paraId="7D46CF5C">
                  <w:pPr>
                    <w:keepNext w:val="0"/>
                    <w:keepLines w:val="0"/>
                    <w:pageBreakBefore w:val="0"/>
                    <w:widowControl w:val="0"/>
                    <w:kinsoku/>
                    <w:wordWrap/>
                    <w:overflowPunct/>
                    <w:topLinePunct w:val="0"/>
                    <w:autoSpaceDE/>
                    <w:autoSpaceDN/>
                    <w:bidi w:val="0"/>
                    <w:adjustRightInd/>
                    <w:snapToGrid/>
                    <w:jc w:val="center"/>
                    <w:textAlignment w:val="auto"/>
                    <w:rPr>
                      <w:b/>
                      <w:bCs/>
                      <w:color w:val="auto"/>
                      <w:szCs w:val="21"/>
                    </w:rPr>
                  </w:pPr>
                  <w:r>
                    <w:rPr>
                      <w:b/>
                      <w:bCs/>
                      <w:color w:val="auto"/>
                      <w:szCs w:val="21"/>
                    </w:rPr>
                    <w:t>序号</w:t>
                  </w:r>
                </w:p>
              </w:tc>
              <w:tc>
                <w:tcPr>
                  <w:tcW w:w="983" w:type="pct"/>
                  <w:vMerge w:val="restart"/>
                  <w:shd w:val="clear" w:color="000000" w:fill="auto"/>
                  <w:noWrap/>
                  <w:vAlign w:val="center"/>
                </w:tcPr>
                <w:p w14:paraId="233457CF">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szCs w:val="21"/>
                      <w:lang w:val="en-US" w:eastAsia="zh-CN"/>
                    </w:rPr>
                  </w:pPr>
                  <w:r>
                    <w:rPr>
                      <w:b/>
                      <w:bCs/>
                      <w:color w:val="auto"/>
                      <w:szCs w:val="21"/>
                    </w:rPr>
                    <w:t>设备名称</w:t>
                  </w:r>
                </w:p>
              </w:tc>
              <w:tc>
                <w:tcPr>
                  <w:tcW w:w="742" w:type="pct"/>
                  <w:vMerge w:val="restart"/>
                  <w:shd w:val="clear" w:color="000000" w:fill="auto"/>
                  <w:noWrap/>
                  <w:vAlign w:val="center"/>
                </w:tcPr>
                <w:p w14:paraId="4AF89CB4">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szCs w:val="21"/>
                      <w:lang w:val="en-US" w:eastAsia="zh-CN"/>
                    </w:rPr>
                  </w:pPr>
                  <w:r>
                    <w:rPr>
                      <w:rFonts w:hint="eastAsia"/>
                      <w:b/>
                      <w:bCs/>
                      <w:color w:val="auto"/>
                      <w:szCs w:val="21"/>
                      <w:lang w:val="en-US" w:eastAsia="zh-CN"/>
                    </w:rPr>
                    <w:t>规格型号</w:t>
                  </w:r>
                </w:p>
              </w:tc>
              <w:tc>
                <w:tcPr>
                  <w:tcW w:w="2294" w:type="pct"/>
                  <w:gridSpan w:val="3"/>
                  <w:shd w:val="clear" w:color="000000" w:fill="auto"/>
                  <w:noWrap/>
                  <w:vAlign w:val="center"/>
                </w:tcPr>
                <w:p w14:paraId="5F22417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
                      <w:bCs/>
                      <w:color w:val="auto"/>
                      <w:szCs w:val="21"/>
                      <w:lang w:val="en-US" w:eastAsia="zh-CN"/>
                    </w:rPr>
                  </w:pPr>
                  <w:r>
                    <w:rPr>
                      <w:rFonts w:hint="eastAsia"/>
                      <w:b/>
                      <w:bCs/>
                      <w:color w:val="auto"/>
                      <w:szCs w:val="21"/>
                      <w:lang w:val="en-US" w:eastAsia="zh-CN"/>
                    </w:rPr>
                    <w:t>数量（台/套）</w:t>
                  </w:r>
                </w:p>
              </w:tc>
              <w:tc>
                <w:tcPr>
                  <w:tcW w:w="602" w:type="pct"/>
                  <w:vMerge w:val="restart"/>
                  <w:shd w:val="clear" w:color="000000" w:fill="auto"/>
                  <w:vAlign w:val="center"/>
                </w:tcPr>
                <w:p w14:paraId="5ED6F12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
                      <w:bCs/>
                      <w:color w:val="auto"/>
                      <w:szCs w:val="21"/>
                      <w:lang w:val="en-US" w:eastAsia="zh-CN"/>
                    </w:rPr>
                  </w:pPr>
                  <w:r>
                    <w:rPr>
                      <w:rFonts w:hint="eastAsia"/>
                      <w:b/>
                      <w:bCs/>
                      <w:color w:val="auto"/>
                      <w:szCs w:val="21"/>
                      <w:lang w:val="en-US" w:eastAsia="zh-CN"/>
                    </w:rPr>
                    <w:t>备注</w:t>
                  </w:r>
                </w:p>
              </w:tc>
            </w:tr>
            <w:tr w14:paraId="3851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6" w:type="pct"/>
                  <w:vMerge w:val="continue"/>
                  <w:shd w:val="clear" w:color="000000" w:fill="auto"/>
                  <w:vAlign w:val="center"/>
                </w:tcPr>
                <w:p w14:paraId="7130DD39">
                  <w:pPr>
                    <w:keepNext w:val="0"/>
                    <w:keepLines w:val="0"/>
                    <w:pageBreakBefore w:val="0"/>
                    <w:widowControl w:val="0"/>
                    <w:kinsoku/>
                    <w:wordWrap/>
                    <w:overflowPunct/>
                    <w:topLinePunct w:val="0"/>
                    <w:autoSpaceDE/>
                    <w:autoSpaceDN/>
                    <w:bidi w:val="0"/>
                    <w:adjustRightInd/>
                    <w:snapToGrid/>
                    <w:jc w:val="center"/>
                    <w:textAlignment w:val="auto"/>
                    <w:rPr>
                      <w:b/>
                      <w:bCs/>
                      <w:color w:val="auto"/>
                      <w:szCs w:val="21"/>
                    </w:rPr>
                  </w:pPr>
                </w:p>
              </w:tc>
              <w:tc>
                <w:tcPr>
                  <w:tcW w:w="983" w:type="pct"/>
                  <w:vMerge w:val="continue"/>
                  <w:shd w:val="clear" w:color="000000" w:fill="auto"/>
                  <w:noWrap/>
                  <w:vAlign w:val="center"/>
                </w:tcPr>
                <w:p w14:paraId="5BE9D056">
                  <w:pPr>
                    <w:keepNext w:val="0"/>
                    <w:keepLines w:val="0"/>
                    <w:pageBreakBefore w:val="0"/>
                    <w:widowControl w:val="0"/>
                    <w:kinsoku/>
                    <w:wordWrap/>
                    <w:overflowPunct/>
                    <w:topLinePunct w:val="0"/>
                    <w:autoSpaceDE/>
                    <w:autoSpaceDN/>
                    <w:bidi w:val="0"/>
                    <w:adjustRightInd/>
                    <w:snapToGrid/>
                    <w:jc w:val="center"/>
                    <w:textAlignment w:val="auto"/>
                    <w:rPr>
                      <w:b/>
                      <w:bCs/>
                      <w:color w:val="auto"/>
                      <w:szCs w:val="21"/>
                    </w:rPr>
                  </w:pPr>
                </w:p>
              </w:tc>
              <w:tc>
                <w:tcPr>
                  <w:tcW w:w="742" w:type="pct"/>
                  <w:vMerge w:val="continue"/>
                  <w:shd w:val="clear" w:color="000000" w:fill="auto"/>
                  <w:noWrap/>
                  <w:vAlign w:val="center"/>
                </w:tcPr>
                <w:p w14:paraId="65F4D8E8">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szCs w:val="21"/>
                      <w:lang w:val="en-US" w:eastAsia="zh-CN"/>
                    </w:rPr>
                  </w:pPr>
                </w:p>
              </w:tc>
              <w:tc>
                <w:tcPr>
                  <w:tcW w:w="686" w:type="pct"/>
                  <w:shd w:val="clear" w:color="000000" w:fill="auto"/>
                  <w:noWrap/>
                  <w:vAlign w:val="center"/>
                </w:tcPr>
                <w:p w14:paraId="7B5B667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
                      <w:bCs/>
                      <w:color w:val="auto"/>
                      <w:szCs w:val="21"/>
                      <w:lang w:val="en-US" w:eastAsia="zh-CN"/>
                    </w:rPr>
                  </w:pPr>
                  <w:r>
                    <w:rPr>
                      <w:rFonts w:hint="eastAsia"/>
                      <w:b/>
                      <w:bCs/>
                      <w:color w:val="auto"/>
                      <w:szCs w:val="21"/>
                      <w:lang w:val="en-US" w:eastAsia="zh-CN"/>
                    </w:rPr>
                    <w:t>现有工程</w:t>
                  </w:r>
                </w:p>
              </w:tc>
              <w:tc>
                <w:tcPr>
                  <w:tcW w:w="983" w:type="pct"/>
                  <w:shd w:val="clear" w:color="000000" w:fill="auto"/>
                  <w:noWrap/>
                  <w:vAlign w:val="center"/>
                </w:tcPr>
                <w:p w14:paraId="52539BEC">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szCs w:val="21"/>
                      <w:lang w:val="en-US" w:eastAsia="zh-CN"/>
                    </w:rPr>
                  </w:pPr>
                  <w:r>
                    <w:rPr>
                      <w:rFonts w:hint="eastAsia"/>
                      <w:b/>
                      <w:bCs/>
                      <w:color w:val="auto"/>
                      <w:szCs w:val="21"/>
                      <w:lang w:val="en-US" w:eastAsia="zh-CN"/>
                    </w:rPr>
                    <w:t>本次技改工程</w:t>
                  </w:r>
                </w:p>
              </w:tc>
              <w:tc>
                <w:tcPr>
                  <w:tcW w:w="623" w:type="pct"/>
                  <w:shd w:val="clear" w:color="000000" w:fill="auto"/>
                  <w:noWrap/>
                  <w:vAlign w:val="center"/>
                </w:tcPr>
                <w:p w14:paraId="73B5B548">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bCs/>
                      <w:color w:val="auto"/>
                      <w:szCs w:val="21"/>
                      <w:lang w:eastAsia="zh-CN"/>
                    </w:rPr>
                  </w:pPr>
                  <w:r>
                    <w:rPr>
                      <w:rFonts w:hint="eastAsia"/>
                      <w:b/>
                      <w:bCs/>
                      <w:color w:val="auto"/>
                      <w:szCs w:val="21"/>
                      <w:lang w:val="en-US" w:eastAsia="zh-CN"/>
                    </w:rPr>
                    <w:t>变化量</w:t>
                  </w:r>
                </w:p>
              </w:tc>
              <w:tc>
                <w:tcPr>
                  <w:tcW w:w="602" w:type="pct"/>
                  <w:vMerge w:val="continue"/>
                  <w:shd w:val="clear" w:color="000000" w:fill="auto"/>
                  <w:vAlign w:val="center"/>
                </w:tcPr>
                <w:p w14:paraId="617C3E10">
                  <w:pPr>
                    <w:keepNext w:val="0"/>
                    <w:keepLines w:val="0"/>
                    <w:pageBreakBefore w:val="0"/>
                    <w:widowControl w:val="0"/>
                    <w:kinsoku/>
                    <w:wordWrap/>
                    <w:overflowPunct/>
                    <w:topLinePunct w:val="0"/>
                    <w:autoSpaceDE/>
                    <w:autoSpaceDN/>
                    <w:bidi w:val="0"/>
                    <w:adjustRightInd/>
                    <w:snapToGrid/>
                    <w:jc w:val="center"/>
                    <w:textAlignment w:val="auto"/>
                    <w:rPr>
                      <w:b/>
                      <w:bCs/>
                      <w:color w:val="auto"/>
                      <w:szCs w:val="21"/>
                    </w:rPr>
                  </w:pPr>
                </w:p>
              </w:tc>
            </w:tr>
            <w:tr w14:paraId="1699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6" w:type="pct"/>
                  <w:shd w:val="clear" w:color="000000" w:fill="auto"/>
                  <w:vAlign w:val="center"/>
                </w:tcPr>
                <w:p w14:paraId="629197E6">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val="0"/>
                      <w:bCs w:val="0"/>
                      <w:color w:val="auto"/>
                      <w:szCs w:val="21"/>
                      <w:lang w:val="en-US" w:eastAsia="zh-CN"/>
                    </w:rPr>
                  </w:pPr>
                  <w:r>
                    <w:rPr>
                      <w:rFonts w:hint="eastAsia"/>
                      <w:b w:val="0"/>
                      <w:bCs w:val="0"/>
                      <w:color w:val="auto"/>
                      <w:szCs w:val="21"/>
                      <w:lang w:val="en-US" w:eastAsia="zh-CN"/>
                    </w:rPr>
                    <w:t>1</w:t>
                  </w:r>
                </w:p>
              </w:tc>
              <w:tc>
                <w:tcPr>
                  <w:tcW w:w="983" w:type="pct"/>
                  <w:shd w:val="clear" w:color="000000" w:fill="auto"/>
                  <w:noWrap/>
                  <w:vAlign w:val="center"/>
                </w:tcPr>
                <w:p w14:paraId="5A6AD333">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val="0"/>
                      <w:bCs w:val="0"/>
                      <w:color w:val="auto"/>
                      <w:szCs w:val="21"/>
                      <w:lang w:val="en-US" w:eastAsia="zh-CN"/>
                    </w:rPr>
                  </w:pPr>
                  <w:r>
                    <w:rPr>
                      <w:rFonts w:hint="eastAsia"/>
                      <w:b w:val="0"/>
                      <w:bCs w:val="0"/>
                      <w:color w:val="auto"/>
                      <w:szCs w:val="21"/>
                      <w:lang w:val="en-US" w:eastAsia="zh-CN"/>
                    </w:rPr>
                    <w:t>杀菌机</w:t>
                  </w:r>
                </w:p>
              </w:tc>
              <w:tc>
                <w:tcPr>
                  <w:tcW w:w="742" w:type="pct"/>
                  <w:shd w:val="clear" w:color="000000" w:fill="auto"/>
                  <w:noWrap/>
                  <w:vAlign w:val="center"/>
                </w:tcPr>
                <w:p w14:paraId="761F2A58">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Cs w:val="21"/>
                      <w:lang w:val="en-US" w:eastAsia="zh-CN"/>
                    </w:rPr>
                  </w:pPr>
                  <w:r>
                    <w:rPr>
                      <w:rFonts w:hint="eastAsia"/>
                      <w:b w:val="0"/>
                      <w:bCs w:val="0"/>
                      <w:color w:val="auto"/>
                      <w:szCs w:val="21"/>
                      <w:lang w:val="en-US" w:eastAsia="zh-CN"/>
                    </w:rPr>
                    <w:t>/</w:t>
                  </w:r>
                </w:p>
              </w:tc>
              <w:tc>
                <w:tcPr>
                  <w:tcW w:w="686" w:type="pct"/>
                  <w:shd w:val="clear" w:color="000000" w:fill="auto"/>
                  <w:noWrap/>
                  <w:vAlign w:val="center"/>
                </w:tcPr>
                <w:p w14:paraId="41774C8D">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Cs w:val="21"/>
                      <w:lang w:val="en-US" w:eastAsia="zh-CN"/>
                    </w:rPr>
                  </w:pPr>
                  <w:r>
                    <w:rPr>
                      <w:rFonts w:hint="eastAsia"/>
                      <w:b w:val="0"/>
                      <w:bCs w:val="0"/>
                      <w:color w:val="auto"/>
                      <w:szCs w:val="21"/>
                      <w:lang w:val="en-US" w:eastAsia="zh-CN"/>
                    </w:rPr>
                    <w:t>1</w:t>
                  </w:r>
                </w:p>
              </w:tc>
              <w:tc>
                <w:tcPr>
                  <w:tcW w:w="983" w:type="pct"/>
                  <w:shd w:val="clear" w:color="000000" w:fill="auto"/>
                  <w:noWrap/>
                  <w:vAlign w:val="center"/>
                </w:tcPr>
                <w:p w14:paraId="4C0FC286">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Cs w:val="21"/>
                      <w:lang w:val="en-US" w:eastAsia="zh-CN"/>
                    </w:rPr>
                  </w:pPr>
                  <w:r>
                    <w:rPr>
                      <w:rFonts w:hint="eastAsia"/>
                      <w:b w:val="0"/>
                      <w:bCs w:val="0"/>
                      <w:color w:val="auto"/>
                      <w:szCs w:val="21"/>
                      <w:lang w:val="en-US" w:eastAsia="zh-CN"/>
                    </w:rPr>
                    <w:t>1</w:t>
                  </w:r>
                </w:p>
              </w:tc>
              <w:tc>
                <w:tcPr>
                  <w:tcW w:w="623" w:type="pct"/>
                  <w:shd w:val="clear" w:color="000000" w:fill="auto"/>
                  <w:noWrap/>
                  <w:vAlign w:val="center"/>
                </w:tcPr>
                <w:p w14:paraId="7A6D37EB">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Cs w:val="21"/>
                      <w:lang w:val="en-US" w:eastAsia="zh-CN"/>
                    </w:rPr>
                  </w:pPr>
                  <w:r>
                    <w:rPr>
                      <w:rFonts w:hint="eastAsia"/>
                      <w:b w:val="0"/>
                      <w:bCs w:val="0"/>
                      <w:color w:val="auto"/>
                      <w:szCs w:val="21"/>
                      <w:lang w:val="en-US" w:eastAsia="zh-CN"/>
                    </w:rPr>
                    <w:t>0</w:t>
                  </w:r>
                </w:p>
              </w:tc>
              <w:tc>
                <w:tcPr>
                  <w:tcW w:w="602" w:type="pct"/>
                  <w:shd w:val="clear" w:color="000000" w:fill="auto"/>
                  <w:vAlign w:val="center"/>
                </w:tcPr>
                <w:p w14:paraId="72AD27C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利旧</w:t>
                  </w:r>
                </w:p>
              </w:tc>
            </w:tr>
            <w:tr w14:paraId="5D384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6" w:type="pct"/>
                  <w:shd w:val="clear" w:color="auto" w:fill="auto"/>
                  <w:vAlign w:val="center"/>
                </w:tcPr>
                <w:p w14:paraId="032B8988">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eastAsia="宋体"/>
                      <w:color w:val="auto"/>
                      <w:kern w:val="0"/>
                      <w:szCs w:val="21"/>
                      <w:lang w:val="en-US" w:eastAsia="zh-CN"/>
                    </w:rPr>
                  </w:pPr>
                  <w:r>
                    <w:rPr>
                      <w:rFonts w:hint="eastAsia" w:eastAsia="宋体"/>
                      <w:color w:val="auto"/>
                      <w:kern w:val="0"/>
                      <w:szCs w:val="21"/>
                      <w:lang w:val="en-US" w:eastAsia="zh-CN"/>
                    </w:rPr>
                    <w:t>2</w:t>
                  </w:r>
                </w:p>
              </w:tc>
              <w:tc>
                <w:tcPr>
                  <w:tcW w:w="983" w:type="pct"/>
                  <w:vAlign w:val="center"/>
                </w:tcPr>
                <w:p w14:paraId="4E8577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2t/h</w:t>
                  </w:r>
                  <w:r>
                    <w:rPr>
                      <w:rFonts w:hint="default" w:ascii="Times New Roman" w:hAnsi="Times New Roman" w:cs="Times New Roman"/>
                      <w:color w:val="auto"/>
                      <w:sz w:val="21"/>
                      <w:szCs w:val="21"/>
                      <w:lang w:val="en-US" w:eastAsia="zh-CN"/>
                    </w:rPr>
                    <w:t>生物质锅炉</w:t>
                  </w:r>
                </w:p>
              </w:tc>
              <w:tc>
                <w:tcPr>
                  <w:tcW w:w="742" w:type="pct"/>
                  <w:vAlign w:val="center"/>
                </w:tcPr>
                <w:p w14:paraId="4D653E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highlight w:val="none"/>
                      <w:lang w:val="en-US" w:eastAsia="zh-CN"/>
                    </w:rPr>
                    <w:t>Y5-48-6.3C</w:t>
                  </w:r>
                </w:p>
              </w:tc>
              <w:tc>
                <w:tcPr>
                  <w:tcW w:w="686" w:type="pct"/>
                  <w:vAlign w:val="center"/>
                </w:tcPr>
                <w:p w14:paraId="3D063C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983" w:type="pct"/>
                  <w:vAlign w:val="center"/>
                </w:tcPr>
                <w:p w14:paraId="2B9411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w:t>
                  </w:r>
                </w:p>
              </w:tc>
              <w:tc>
                <w:tcPr>
                  <w:tcW w:w="623" w:type="pct"/>
                  <w:vAlign w:val="center"/>
                </w:tcPr>
                <w:p w14:paraId="76908B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w:t>
                  </w:r>
                </w:p>
              </w:tc>
              <w:tc>
                <w:tcPr>
                  <w:tcW w:w="602" w:type="pct"/>
                  <w:vAlign w:val="center"/>
                </w:tcPr>
                <w:p w14:paraId="7DD944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拆除</w:t>
                  </w:r>
                </w:p>
              </w:tc>
            </w:tr>
            <w:tr w14:paraId="2418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6" w:type="pct"/>
                  <w:shd w:val="clear" w:color="auto" w:fill="auto"/>
                  <w:vAlign w:val="center"/>
                </w:tcPr>
                <w:p w14:paraId="78FCF6BE">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eastAsia="宋体"/>
                      <w:color w:val="auto"/>
                      <w:kern w:val="0"/>
                      <w:szCs w:val="21"/>
                      <w:lang w:val="en-US" w:eastAsia="zh-CN"/>
                    </w:rPr>
                  </w:pPr>
                  <w:r>
                    <w:rPr>
                      <w:rFonts w:hint="eastAsia" w:eastAsia="宋体"/>
                      <w:color w:val="auto"/>
                      <w:kern w:val="0"/>
                      <w:szCs w:val="21"/>
                      <w:lang w:val="en-US" w:eastAsia="zh-CN"/>
                    </w:rPr>
                    <w:t>3</w:t>
                  </w:r>
                </w:p>
              </w:tc>
              <w:tc>
                <w:tcPr>
                  <w:tcW w:w="983" w:type="pct"/>
                  <w:vAlign w:val="center"/>
                </w:tcPr>
                <w:p w14:paraId="31D499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2.2t/h</w:t>
                  </w:r>
                  <w:r>
                    <w:rPr>
                      <w:rFonts w:hint="default" w:ascii="Times New Roman" w:hAnsi="Times New Roman" w:cs="Times New Roman"/>
                      <w:color w:val="auto"/>
                      <w:sz w:val="21"/>
                      <w:szCs w:val="21"/>
                      <w:lang w:val="en-US" w:eastAsia="zh-CN"/>
                    </w:rPr>
                    <w:t>生物质锅炉</w:t>
                  </w:r>
                </w:p>
              </w:tc>
              <w:tc>
                <w:tcPr>
                  <w:tcW w:w="742" w:type="pct"/>
                  <w:vAlign w:val="center"/>
                </w:tcPr>
                <w:p w14:paraId="0F29BDD0">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r>
                    <w:rPr>
                      <w:rFonts w:hint="default" w:ascii="Times New Roman" w:hAnsi="Times New Roman" w:cs="Times New Roman"/>
                      <w:color w:val="auto"/>
                      <w:sz w:val="21"/>
                      <w:szCs w:val="21"/>
                    </w:rPr>
                    <w:t>LSG2.2-0</w:t>
                  </w:r>
                  <w:r>
                    <w:rPr>
                      <w:rFonts w:hint="default" w:ascii="Times New Roman" w:hAnsi="Times New Roman" w:cs="Times New Roman"/>
                      <w:color w:val="auto"/>
                      <w:sz w:val="21"/>
                      <w:szCs w:val="21"/>
                      <w:lang w:eastAsia="zh-Hans"/>
                    </w:rPr>
                    <w:t>.</w:t>
                  </w:r>
                  <w:r>
                    <w:rPr>
                      <w:rFonts w:hint="default" w:ascii="Times New Roman" w:hAnsi="Times New Roman" w:cs="Times New Roman"/>
                      <w:color w:val="auto"/>
                      <w:sz w:val="21"/>
                      <w:szCs w:val="21"/>
                    </w:rPr>
                    <w:t>8-S</w:t>
                  </w:r>
                </w:p>
              </w:tc>
              <w:tc>
                <w:tcPr>
                  <w:tcW w:w="686" w:type="pct"/>
                  <w:vAlign w:val="center"/>
                </w:tcPr>
                <w:p w14:paraId="725F1710">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983" w:type="pct"/>
                  <w:vAlign w:val="center"/>
                </w:tcPr>
                <w:p w14:paraId="36151BD3">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623" w:type="pct"/>
                  <w:vAlign w:val="center"/>
                </w:tcPr>
                <w:p w14:paraId="76B4CD84">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602" w:type="pct"/>
                  <w:vAlign w:val="center"/>
                </w:tcPr>
                <w:p w14:paraId="73A52E6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新增</w:t>
                  </w:r>
                </w:p>
              </w:tc>
            </w:tr>
            <w:tr w14:paraId="55B55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6" w:type="pct"/>
                  <w:shd w:val="clear" w:color="auto" w:fill="auto"/>
                  <w:vAlign w:val="center"/>
                </w:tcPr>
                <w:p w14:paraId="6AA35B45">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eastAsia="宋体"/>
                      <w:color w:val="auto"/>
                      <w:kern w:val="0"/>
                      <w:szCs w:val="21"/>
                      <w:lang w:val="en-US" w:eastAsia="zh-CN"/>
                    </w:rPr>
                  </w:pPr>
                  <w:r>
                    <w:rPr>
                      <w:rFonts w:hint="eastAsia" w:eastAsia="宋体"/>
                      <w:color w:val="auto"/>
                      <w:kern w:val="0"/>
                      <w:szCs w:val="21"/>
                      <w:lang w:val="en-US" w:eastAsia="zh-CN"/>
                    </w:rPr>
                    <w:t>4</w:t>
                  </w:r>
                </w:p>
              </w:tc>
              <w:tc>
                <w:tcPr>
                  <w:tcW w:w="983" w:type="pct"/>
                  <w:vAlign w:val="center"/>
                </w:tcPr>
                <w:p w14:paraId="318DF7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水膜除尘器</w:t>
                  </w:r>
                </w:p>
              </w:tc>
              <w:tc>
                <w:tcPr>
                  <w:tcW w:w="742" w:type="pct"/>
                  <w:vAlign w:val="center"/>
                </w:tcPr>
                <w:p w14:paraId="631B4BC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86" w:type="pct"/>
                  <w:vAlign w:val="center"/>
                </w:tcPr>
                <w:p w14:paraId="2A3D0CC8">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983" w:type="pct"/>
                  <w:vAlign w:val="center"/>
                </w:tcPr>
                <w:p w14:paraId="2076A75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623" w:type="pct"/>
                  <w:vAlign w:val="center"/>
                </w:tcPr>
                <w:p w14:paraId="2329302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602" w:type="pct"/>
                  <w:vAlign w:val="center"/>
                </w:tcPr>
                <w:p w14:paraId="0A788F5D">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拆除</w:t>
                  </w:r>
                </w:p>
              </w:tc>
            </w:tr>
            <w:tr w14:paraId="56E4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6" w:type="pct"/>
                  <w:shd w:val="clear" w:color="auto" w:fill="auto"/>
                  <w:vAlign w:val="center"/>
                </w:tcPr>
                <w:p w14:paraId="213071E7">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eastAsia="宋体"/>
                      <w:color w:val="auto"/>
                      <w:kern w:val="0"/>
                      <w:szCs w:val="21"/>
                      <w:lang w:val="en-US" w:eastAsia="zh-CN"/>
                    </w:rPr>
                  </w:pPr>
                  <w:r>
                    <w:rPr>
                      <w:rFonts w:hint="eastAsia" w:eastAsia="宋体"/>
                      <w:color w:val="auto"/>
                      <w:kern w:val="0"/>
                      <w:szCs w:val="21"/>
                      <w:lang w:val="en-US" w:eastAsia="zh-CN"/>
                    </w:rPr>
                    <w:t>5</w:t>
                  </w:r>
                </w:p>
              </w:tc>
              <w:tc>
                <w:tcPr>
                  <w:tcW w:w="983" w:type="pct"/>
                  <w:vAlign w:val="center"/>
                </w:tcPr>
                <w:p w14:paraId="2EC12D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多管旋风除尘器</w:t>
                  </w:r>
                </w:p>
              </w:tc>
              <w:tc>
                <w:tcPr>
                  <w:tcW w:w="742" w:type="pct"/>
                  <w:vAlign w:val="center"/>
                </w:tcPr>
                <w:p w14:paraId="6A6E89B5">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86" w:type="pct"/>
                  <w:vAlign w:val="center"/>
                </w:tcPr>
                <w:p w14:paraId="7CDE012B">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983" w:type="pct"/>
                  <w:vAlign w:val="center"/>
                </w:tcPr>
                <w:p w14:paraId="13ED61ED">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623" w:type="pct"/>
                  <w:vAlign w:val="center"/>
                </w:tcPr>
                <w:p w14:paraId="7ED4A61A">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602" w:type="pct"/>
                  <w:vAlign w:val="center"/>
                </w:tcPr>
                <w:p w14:paraId="3065F020">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lang w:val="en-US" w:eastAsia="zh-CN"/>
                    </w:rPr>
                  </w:pPr>
                  <w:r>
                    <w:rPr>
                      <w:rFonts w:hint="eastAsia"/>
                      <w:b w:val="0"/>
                      <w:bCs w:val="0"/>
                      <w:color w:val="auto"/>
                      <w:szCs w:val="21"/>
                      <w:lang w:val="en-US" w:eastAsia="zh-CN"/>
                    </w:rPr>
                    <w:t>利旧</w:t>
                  </w:r>
                </w:p>
              </w:tc>
            </w:tr>
            <w:tr w14:paraId="74C3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6" w:type="pct"/>
                  <w:shd w:val="clear" w:color="auto" w:fill="auto"/>
                  <w:vAlign w:val="center"/>
                </w:tcPr>
                <w:p w14:paraId="2C0EF75F">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eastAsia="宋体"/>
                      <w:color w:val="auto"/>
                      <w:kern w:val="0"/>
                      <w:szCs w:val="21"/>
                      <w:lang w:val="en-US" w:eastAsia="zh-CN"/>
                    </w:rPr>
                  </w:pPr>
                  <w:r>
                    <w:rPr>
                      <w:rFonts w:hint="eastAsia" w:eastAsia="宋体"/>
                      <w:color w:val="auto"/>
                      <w:kern w:val="0"/>
                      <w:szCs w:val="21"/>
                      <w:lang w:val="en-US" w:eastAsia="zh-CN"/>
                    </w:rPr>
                    <w:t>6</w:t>
                  </w:r>
                </w:p>
              </w:tc>
              <w:tc>
                <w:tcPr>
                  <w:tcW w:w="983" w:type="pct"/>
                  <w:vAlign w:val="center"/>
                </w:tcPr>
                <w:p w14:paraId="2AD932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布袋除尘器</w:t>
                  </w:r>
                </w:p>
              </w:tc>
              <w:tc>
                <w:tcPr>
                  <w:tcW w:w="742" w:type="pct"/>
                  <w:vAlign w:val="center"/>
                </w:tcPr>
                <w:p w14:paraId="30FA5CED">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86" w:type="pct"/>
                  <w:vAlign w:val="center"/>
                </w:tcPr>
                <w:p w14:paraId="1D968D2B">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983" w:type="pct"/>
                  <w:vAlign w:val="center"/>
                </w:tcPr>
                <w:p w14:paraId="48CEC5B5">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623" w:type="pct"/>
                  <w:vAlign w:val="center"/>
                </w:tcPr>
                <w:p w14:paraId="360D377F">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602" w:type="pct"/>
                  <w:vAlign w:val="center"/>
                </w:tcPr>
                <w:p w14:paraId="0781EFE3">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新增</w:t>
                  </w:r>
                </w:p>
              </w:tc>
            </w:tr>
            <w:tr w14:paraId="743F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6" w:type="pct"/>
                  <w:shd w:val="clear" w:color="auto" w:fill="auto"/>
                  <w:vAlign w:val="center"/>
                </w:tcPr>
                <w:p w14:paraId="45E2D81C">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eastAsia="宋体"/>
                      <w:color w:val="auto"/>
                      <w:kern w:val="0"/>
                      <w:szCs w:val="21"/>
                      <w:lang w:val="en-US" w:eastAsia="zh-CN"/>
                    </w:rPr>
                  </w:pPr>
                  <w:r>
                    <w:rPr>
                      <w:rFonts w:hint="eastAsia" w:eastAsia="宋体"/>
                      <w:color w:val="auto"/>
                      <w:kern w:val="0"/>
                      <w:szCs w:val="21"/>
                      <w:lang w:val="en-US" w:eastAsia="zh-CN"/>
                    </w:rPr>
                    <w:t>7</w:t>
                  </w:r>
                </w:p>
              </w:tc>
              <w:tc>
                <w:tcPr>
                  <w:tcW w:w="983" w:type="pct"/>
                  <w:vAlign w:val="center"/>
                </w:tcPr>
                <w:p w14:paraId="3C10FD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水泵</w:t>
                  </w:r>
                </w:p>
              </w:tc>
              <w:tc>
                <w:tcPr>
                  <w:tcW w:w="742" w:type="pct"/>
                  <w:vAlign w:val="center"/>
                </w:tcPr>
                <w:p w14:paraId="5D303C35">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86" w:type="pct"/>
                  <w:vAlign w:val="center"/>
                </w:tcPr>
                <w:p w14:paraId="6365D0D1">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983" w:type="pct"/>
                  <w:vAlign w:val="center"/>
                </w:tcPr>
                <w:p w14:paraId="553A49D3">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623" w:type="pct"/>
                  <w:vAlign w:val="center"/>
                </w:tcPr>
                <w:p w14:paraId="05E43DEB">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602" w:type="pct"/>
                  <w:vAlign w:val="center"/>
                </w:tcPr>
                <w:p w14:paraId="06073157">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lang w:val="en-US" w:eastAsia="zh-CN"/>
                    </w:rPr>
                  </w:pPr>
                  <w:r>
                    <w:rPr>
                      <w:rFonts w:hint="eastAsia"/>
                      <w:b w:val="0"/>
                      <w:bCs w:val="0"/>
                      <w:color w:val="auto"/>
                      <w:szCs w:val="21"/>
                      <w:lang w:val="en-US" w:eastAsia="zh-CN"/>
                    </w:rPr>
                    <w:t>利旧</w:t>
                  </w:r>
                </w:p>
              </w:tc>
            </w:tr>
            <w:tr w14:paraId="15EE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6" w:type="pct"/>
                  <w:shd w:val="clear" w:color="auto" w:fill="auto"/>
                  <w:vAlign w:val="center"/>
                </w:tcPr>
                <w:p w14:paraId="2DDA2350">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eastAsia="宋体"/>
                      <w:color w:val="auto"/>
                      <w:kern w:val="0"/>
                      <w:szCs w:val="21"/>
                      <w:lang w:val="en-US" w:eastAsia="zh-CN"/>
                    </w:rPr>
                  </w:pPr>
                  <w:r>
                    <w:rPr>
                      <w:rFonts w:hint="eastAsia" w:eastAsia="宋体"/>
                      <w:color w:val="auto"/>
                      <w:kern w:val="0"/>
                      <w:szCs w:val="21"/>
                      <w:lang w:val="en-US" w:eastAsia="zh-CN"/>
                    </w:rPr>
                    <w:t>8</w:t>
                  </w:r>
                </w:p>
              </w:tc>
              <w:tc>
                <w:tcPr>
                  <w:tcW w:w="983" w:type="pct"/>
                  <w:vAlign w:val="center"/>
                </w:tcPr>
                <w:p w14:paraId="3D70848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风机</w:t>
                  </w:r>
                </w:p>
              </w:tc>
              <w:tc>
                <w:tcPr>
                  <w:tcW w:w="742" w:type="pct"/>
                  <w:vAlign w:val="center"/>
                </w:tcPr>
                <w:p w14:paraId="0858EB60">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86" w:type="pct"/>
                  <w:vAlign w:val="center"/>
                </w:tcPr>
                <w:p w14:paraId="0747F54A">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983" w:type="pct"/>
                  <w:vAlign w:val="center"/>
                </w:tcPr>
                <w:p w14:paraId="171B33FF">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623" w:type="pct"/>
                  <w:vAlign w:val="center"/>
                </w:tcPr>
                <w:p w14:paraId="23742F23">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602" w:type="pct"/>
                  <w:vAlign w:val="center"/>
                </w:tcPr>
                <w:p w14:paraId="4FC4A71D">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lang w:val="en-US" w:eastAsia="zh-CN"/>
                    </w:rPr>
                  </w:pPr>
                  <w:r>
                    <w:rPr>
                      <w:rFonts w:hint="eastAsia"/>
                      <w:b w:val="0"/>
                      <w:bCs w:val="0"/>
                      <w:color w:val="auto"/>
                      <w:szCs w:val="21"/>
                      <w:lang w:val="en-US" w:eastAsia="zh-CN"/>
                    </w:rPr>
                    <w:t>利旧</w:t>
                  </w:r>
                </w:p>
              </w:tc>
            </w:tr>
            <w:tr w14:paraId="672E8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6" w:type="pct"/>
                  <w:shd w:val="clear" w:color="auto" w:fill="auto"/>
                  <w:vAlign w:val="center"/>
                </w:tcPr>
                <w:p w14:paraId="734F4A98">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9</w:t>
                  </w:r>
                </w:p>
              </w:tc>
              <w:tc>
                <w:tcPr>
                  <w:tcW w:w="983" w:type="pct"/>
                  <w:vAlign w:val="center"/>
                </w:tcPr>
                <w:p w14:paraId="518ADA6C">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排气筒</w:t>
                  </w:r>
                </w:p>
              </w:tc>
              <w:tc>
                <w:tcPr>
                  <w:tcW w:w="742" w:type="pct"/>
                  <w:vAlign w:val="center"/>
                </w:tcPr>
                <w:p w14:paraId="2A03639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30m</w:t>
                  </w:r>
                </w:p>
              </w:tc>
              <w:tc>
                <w:tcPr>
                  <w:tcW w:w="686" w:type="pct"/>
                  <w:vAlign w:val="center"/>
                </w:tcPr>
                <w:p w14:paraId="04B2953F">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983" w:type="pct"/>
                  <w:vAlign w:val="center"/>
                </w:tcPr>
                <w:p w14:paraId="545BB9D4">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623" w:type="pct"/>
                  <w:vAlign w:val="center"/>
                </w:tcPr>
                <w:p w14:paraId="2B3CA5E9">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602" w:type="pct"/>
                  <w:vAlign w:val="center"/>
                </w:tcPr>
                <w:p w14:paraId="4631F3D9">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lang w:val="en-US" w:eastAsia="zh-CN"/>
                    </w:rPr>
                  </w:pPr>
                  <w:r>
                    <w:rPr>
                      <w:rFonts w:hint="eastAsia"/>
                      <w:b w:val="0"/>
                      <w:bCs w:val="0"/>
                      <w:color w:val="auto"/>
                      <w:szCs w:val="21"/>
                      <w:lang w:val="en-US" w:eastAsia="zh-CN"/>
                    </w:rPr>
                    <w:t>利旧</w:t>
                  </w:r>
                </w:p>
              </w:tc>
            </w:tr>
            <w:tr w14:paraId="4F44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6" w:type="pct"/>
                  <w:shd w:val="clear" w:color="auto" w:fill="auto"/>
                  <w:vAlign w:val="center"/>
                </w:tcPr>
                <w:p w14:paraId="0444B97F">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10</w:t>
                  </w:r>
                </w:p>
              </w:tc>
              <w:tc>
                <w:tcPr>
                  <w:tcW w:w="983" w:type="pct"/>
                  <w:vAlign w:val="center"/>
                </w:tcPr>
                <w:p w14:paraId="1CCF3B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预热器</w:t>
                  </w:r>
                </w:p>
              </w:tc>
              <w:tc>
                <w:tcPr>
                  <w:tcW w:w="742" w:type="pct"/>
                  <w:vAlign w:val="center"/>
                </w:tcPr>
                <w:p w14:paraId="10F98F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LSG2.2-S系列</w:t>
                  </w:r>
                </w:p>
              </w:tc>
              <w:tc>
                <w:tcPr>
                  <w:tcW w:w="686" w:type="pct"/>
                  <w:vAlign w:val="center"/>
                </w:tcPr>
                <w:p w14:paraId="1DE6A6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0</w:t>
                  </w:r>
                </w:p>
              </w:tc>
              <w:tc>
                <w:tcPr>
                  <w:tcW w:w="983" w:type="pct"/>
                  <w:vAlign w:val="center"/>
                </w:tcPr>
                <w:p w14:paraId="40731F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1</w:t>
                  </w:r>
                </w:p>
              </w:tc>
              <w:tc>
                <w:tcPr>
                  <w:tcW w:w="623" w:type="pct"/>
                  <w:vAlign w:val="center"/>
                </w:tcPr>
                <w:p w14:paraId="0536C1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p>
              </w:tc>
              <w:tc>
                <w:tcPr>
                  <w:tcW w:w="602" w:type="pct"/>
                  <w:vAlign w:val="center"/>
                </w:tcPr>
                <w:p w14:paraId="028BC5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eastAsia="宋体" w:cs="Times New Roman"/>
                      <w:color w:val="auto"/>
                      <w:sz w:val="21"/>
                      <w:szCs w:val="21"/>
                      <w:lang w:val="en-US" w:eastAsia="zh-CN"/>
                    </w:rPr>
                    <w:t>新增</w:t>
                  </w:r>
                </w:p>
              </w:tc>
            </w:tr>
            <w:tr w14:paraId="444E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6" w:type="pct"/>
                  <w:shd w:val="clear" w:color="auto" w:fill="auto"/>
                  <w:vAlign w:val="center"/>
                </w:tcPr>
                <w:p w14:paraId="271174A9">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11</w:t>
                  </w:r>
                </w:p>
              </w:tc>
              <w:tc>
                <w:tcPr>
                  <w:tcW w:w="983" w:type="pct"/>
                  <w:vAlign w:val="center"/>
                </w:tcPr>
                <w:p w14:paraId="08660E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rPr>
                    <w:t>不锈钢立式多级水泵</w:t>
                  </w:r>
                </w:p>
              </w:tc>
              <w:tc>
                <w:tcPr>
                  <w:tcW w:w="742" w:type="pct"/>
                  <w:vAlign w:val="center"/>
                </w:tcPr>
                <w:p w14:paraId="19EBB3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CDMF</w:t>
                  </w:r>
                </w:p>
              </w:tc>
              <w:tc>
                <w:tcPr>
                  <w:tcW w:w="686" w:type="pct"/>
                  <w:vAlign w:val="center"/>
                </w:tcPr>
                <w:p w14:paraId="1F43FE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0</w:t>
                  </w:r>
                </w:p>
              </w:tc>
              <w:tc>
                <w:tcPr>
                  <w:tcW w:w="983" w:type="pct"/>
                  <w:vAlign w:val="center"/>
                </w:tcPr>
                <w:p w14:paraId="5320BE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1</w:t>
                  </w:r>
                </w:p>
              </w:tc>
              <w:tc>
                <w:tcPr>
                  <w:tcW w:w="623" w:type="pct"/>
                  <w:vAlign w:val="center"/>
                </w:tcPr>
                <w:p w14:paraId="441AF1E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p>
              </w:tc>
              <w:tc>
                <w:tcPr>
                  <w:tcW w:w="602" w:type="pct"/>
                  <w:vAlign w:val="center"/>
                </w:tcPr>
                <w:p w14:paraId="71951A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eastAsia="宋体" w:cs="Times New Roman"/>
                      <w:color w:val="auto"/>
                      <w:sz w:val="21"/>
                      <w:szCs w:val="21"/>
                      <w:lang w:val="en-US" w:eastAsia="zh-CN"/>
                    </w:rPr>
                    <w:t>新增</w:t>
                  </w:r>
                </w:p>
              </w:tc>
            </w:tr>
            <w:tr w14:paraId="6DD5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6" w:type="pct"/>
                  <w:shd w:val="clear" w:color="auto" w:fill="auto"/>
                  <w:vAlign w:val="center"/>
                </w:tcPr>
                <w:p w14:paraId="24B1E86A">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12</w:t>
                  </w:r>
                </w:p>
              </w:tc>
              <w:tc>
                <w:tcPr>
                  <w:tcW w:w="983" w:type="pct"/>
                  <w:vAlign w:val="center"/>
                </w:tcPr>
                <w:p w14:paraId="395FDC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Hans"/>
                    </w:rPr>
                    <w:t>生物质颗粒上料机</w:t>
                  </w:r>
                </w:p>
              </w:tc>
              <w:tc>
                <w:tcPr>
                  <w:tcW w:w="742" w:type="pct"/>
                  <w:vAlign w:val="center"/>
                </w:tcPr>
                <w:p w14:paraId="20D29684">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686" w:type="pct"/>
                  <w:vAlign w:val="center"/>
                </w:tcPr>
                <w:p w14:paraId="28D2E257">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983" w:type="pct"/>
                  <w:vAlign w:val="center"/>
                </w:tcPr>
                <w:p w14:paraId="49BF261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623" w:type="pct"/>
                  <w:vAlign w:val="center"/>
                </w:tcPr>
                <w:p w14:paraId="71AD14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p>
              </w:tc>
              <w:tc>
                <w:tcPr>
                  <w:tcW w:w="602" w:type="pct"/>
                  <w:vAlign w:val="center"/>
                </w:tcPr>
                <w:p w14:paraId="7CD02D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eastAsia="宋体" w:cs="Times New Roman"/>
                      <w:color w:val="auto"/>
                      <w:sz w:val="21"/>
                      <w:szCs w:val="21"/>
                      <w:lang w:val="en-US" w:eastAsia="zh-CN"/>
                    </w:rPr>
                    <w:t>新增</w:t>
                  </w:r>
                </w:p>
              </w:tc>
            </w:tr>
            <w:tr w14:paraId="6522E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6" w:type="pct"/>
                  <w:shd w:val="clear" w:color="auto" w:fill="auto"/>
                  <w:vAlign w:val="center"/>
                </w:tcPr>
                <w:p w14:paraId="71A82D9E">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hint="default"/>
                      <w:color w:val="auto"/>
                      <w:kern w:val="0"/>
                      <w:szCs w:val="21"/>
                      <w:lang w:val="en-US" w:eastAsia="zh-CN"/>
                    </w:rPr>
                  </w:pPr>
                  <w:r>
                    <w:rPr>
                      <w:rFonts w:hint="eastAsia"/>
                      <w:color w:val="auto"/>
                      <w:kern w:val="0"/>
                      <w:szCs w:val="21"/>
                      <w:lang w:val="en-US" w:eastAsia="zh-CN"/>
                    </w:rPr>
                    <w:t>13</w:t>
                  </w:r>
                </w:p>
              </w:tc>
              <w:tc>
                <w:tcPr>
                  <w:tcW w:w="983" w:type="pct"/>
                  <w:vAlign w:val="center"/>
                </w:tcPr>
                <w:p w14:paraId="5A0AA9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Hans"/>
                    </w:rPr>
                    <w:t>循环泵</w:t>
                  </w:r>
                </w:p>
              </w:tc>
              <w:tc>
                <w:tcPr>
                  <w:tcW w:w="742" w:type="pct"/>
                  <w:vAlign w:val="center"/>
                </w:tcPr>
                <w:p w14:paraId="1C02EE8D">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686" w:type="pct"/>
                  <w:vAlign w:val="center"/>
                </w:tcPr>
                <w:p w14:paraId="2A3C6123">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983" w:type="pct"/>
                  <w:vAlign w:val="center"/>
                </w:tcPr>
                <w:p w14:paraId="4CE6FA2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623" w:type="pct"/>
                  <w:vAlign w:val="center"/>
                </w:tcPr>
                <w:p w14:paraId="02757E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p>
              </w:tc>
              <w:tc>
                <w:tcPr>
                  <w:tcW w:w="602" w:type="pct"/>
                  <w:vAlign w:val="center"/>
                </w:tcPr>
                <w:p w14:paraId="015D88E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eastAsia="宋体" w:cs="Times New Roman"/>
                      <w:color w:val="auto"/>
                      <w:sz w:val="21"/>
                      <w:szCs w:val="21"/>
                      <w:lang w:val="en-US" w:eastAsia="zh-CN"/>
                    </w:rPr>
                    <w:t>新增</w:t>
                  </w:r>
                </w:p>
              </w:tc>
            </w:tr>
          </w:tbl>
          <w:p w14:paraId="09DECE5F">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2" w:firstLineChars="200"/>
              <w:jc w:val="center"/>
              <w:textAlignment w:val="auto"/>
              <w:rPr>
                <w:rFonts w:hint="eastAsia"/>
                <w:color w:val="auto"/>
                <w:kern w:val="2"/>
                <w:sz w:val="24"/>
                <w:szCs w:val="24"/>
                <w:lang w:val="en-US" w:eastAsia="zh-CN"/>
              </w:rPr>
            </w:pPr>
            <w:r>
              <w:rPr>
                <w:b/>
                <w:bCs/>
                <w:color w:val="auto"/>
                <w:szCs w:val="21"/>
              </w:rPr>
              <w:t>表2-</w:t>
            </w:r>
            <w:r>
              <w:rPr>
                <w:rFonts w:hint="eastAsia"/>
                <w:b/>
                <w:bCs/>
                <w:color w:val="auto"/>
                <w:szCs w:val="21"/>
                <w:lang w:val="en-US" w:eastAsia="zh-CN"/>
              </w:rPr>
              <w:t>4  技改前后</w:t>
            </w:r>
            <w:r>
              <w:rPr>
                <w:rFonts w:hint="eastAsia"/>
                <w:b/>
                <w:bCs/>
                <w:color w:val="auto"/>
                <w:szCs w:val="21"/>
              </w:rPr>
              <w:t>锅炉主要技术指标对比结果一览表</w:t>
            </w:r>
          </w:p>
          <w:tbl>
            <w:tblPr>
              <w:tblStyle w:val="23"/>
              <w:tblW w:w="8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845"/>
              <w:gridCol w:w="2010"/>
              <w:gridCol w:w="1778"/>
              <w:gridCol w:w="1614"/>
            </w:tblGrid>
            <w:tr w14:paraId="63FF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14:paraId="2F8D0B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kern w:val="2"/>
                      <w:sz w:val="21"/>
                      <w:szCs w:val="21"/>
                      <w:vertAlign w:val="baseline"/>
                      <w:lang w:val="en-US" w:eastAsia="zh-CN"/>
                    </w:rPr>
                  </w:pPr>
                  <w:r>
                    <w:rPr>
                      <w:rFonts w:hint="eastAsia"/>
                      <w:b/>
                      <w:bCs/>
                      <w:color w:val="auto"/>
                      <w:kern w:val="2"/>
                      <w:sz w:val="21"/>
                      <w:szCs w:val="21"/>
                      <w:vertAlign w:val="baseline"/>
                      <w:lang w:val="en-US" w:eastAsia="zh-CN"/>
                    </w:rPr>
                    <w:t>序号</w:t>
                  </w:r>
                </w:p>
              </w:tc>
              <w:tc>
                <w:tcPr>
                  <w:tcW w:w="1845" w:type="dxa"/>
                </w:tcPr>
                <w:p w14:paraId="13350F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kern w:val="2"/>
                      <w:sz w:val="21"/>
                      <w:szCs w:val="21"/>
                      <w:highlight w:val="none"/>
                      <w:vertAlign w:val="baseline"/>
                      <w:lang w:val="en-US" w:eastAsia="zh-CN"/>
                    </w:rPr>
                  </w:pPr>
                  <w:r>
                    <w:rPr>
                      <w:rFonts w:hint="eastAsia"/>
                      <w:b/>
                      <w:bCs/>
                      <w:color w:val="auto"/>
                      <w:kern w:val="2"/>
                      <w:sz w:val="21"/>
                      <w:szCs w:val="21"/>
                      <w:highlight w:val="none"/>
                      <w:vertAlign w:val="baseline"/>
                      <w:lang w:val="en-US" w:eastAsia="zh-CN"/>
                    </w:rPr>
                    <w:t>参数</w:t>
                  </w:r>
                </w:p>
              </w:tc>
              <w:tc>
                <w:tcPr>
                  <w:tcW w:w="2010" w:type="dxa"/>
                </w:tcPr>
                <w:p w14:paraId="220D28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kern w:val="2"/>
                      <w:sz w:val="21"/>
                      <w:szCs w:val="21"/>
                      <w:highlight w:val="none"/>
                      <w:vertAlign w:val="baseline"/>
                      <w:lang w:val="en-US" w:eastAsia="zh-CN"/>
                    </w:rPr>
                  </w:pPr>
                  <w:r>
                    <w:rPr>
                      <w:rFonts w:hint="eastAsia"/>
                      <w:b/>
                      <w:bCs/>
                      <w:color w:val="auto"/>
                      <w:kern w:val="2"/>
                      <w:sz w:val="21"/>
                      <w:szCs w:val="21"/>
                      <w:highlight w:val="none"/>
                      <w:vertAlign w:val="baseline"/>
                      <w:lang w:val="en-US" w:eastAsia="zh-CN"/>
                    </w:rPr>
                    <w:t>现有工程</w:t>
                  </w:r>
                </w:p>
              </w:tc>
              <w:tc>
                <w:tcPr>
                  <w:tcW w:w="1778" w:type="dxa"/>
                </w:tcPr>
                <w:p w14:paraId="672A25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kern w:val="2"/>
                      <w:sz w:val="21"/>
                      <w:szCs w:val="21"/>
                      <w:highlight w:val="none"/>
                      <w:vertAlign w:val="baseline"/>
                      <w:lang w:val="en-US" w:eastAsia="zh-CN"/>
                    </w:rPr>
                  </w:pPr>
                  <w:r>
                    <w:rPr>
                      <w:rFonts w:hint="eastAsia"/>
                      <w:b/>
                      <w:bCs/>
                      <w:color w:val="auto"/>
                      <w:kern w:val="2"/>
                      <w:sz w:val="21"/>
                      <w:szCs w:val="21"/>
                      <w:highlight w:val="none"/>
                      <w:vertAlign w:val="baseline"/>
                      <w:lang w:val="en-US" w:eastAsia="zh-CN"/>
                    </w:rPr>
                    <w:t>本次技改工程</w:t>
                  </w:r>
                </w:p>
              </w:tc>
              <w:tc>
                <w:tcPr>
                  <w:tcW w:w="1614" w:type="dxa"/>
                </w:tcPr>
                <w:p w14:paraId="5763A4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kern w:val="2"/>
                      <w:sz w:val="21"/>
                      <w:szCs w:val="21"/>
                      <w:highlight w:val="none"/>
                      <w:vertAlign w:val="baseline"/>
                      <w:lang w:val="en-US" w:eastAsia="zh-CN"/>
                    </w:rPr>
                  </w:pPr>
                  <w:r>
                    <w:rPr>
                      <w:rFonts w:hint="eastAsia"/>
                      <w:b/>
                      <w:bCs/>
                      <w:color w:val="auto"/>
                      <w:kern w:val="2"/>
                      <w:sz w:val="21"/>
                      <w:szCs w:val="21"/>
                      <w:highlight w:val="none"/>
                      <w:vertAlign w:val="baseline"/>
                      <w:lang w:val="en-US" w:eastAsia="zh-CN"/>
                    </w:rPr>
                    <w:t>变化情况</w:t>
                  </w:r>
                </w:p>
              </w:tc>
            </w:tr>
            <w:tr w14:paraId="1B83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3" w:type="dxa"/>
                </w:tcPr>
                <w:p w14:paraId="034C93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1</w:t>
                  </w:r>
                </w:p>
              </w:tc>
              <w:tc>
                <w:tcPr>
                  <w:tcW w:w="1845" w:type="dxa"/>
                </w:tcPr>
                <w:p w14:paraId="771C26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额定蒸发量</w:t>
                  </w:r>
                </w:p>
              </w:tc>
              <w:tc>
                <w:tcPr>
                  <w:tcW w:w="2010" w:type="dxa"/>
                </w:tcPr>
                <w:p w14:paraId="54A520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2t/h</w:t>
                  </w:r>
                </w:p>
              </w:tc>
              <w:tc>
                <w:tcPr>
                  <w:tcW w:w="1778" w:type="dxa"/>
                </w:tcPr>
                <w:p w14:paraId="1AB53E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2.2t/h</w:t>
                  </w:r>
                </w:p>
              </w:tc>
              <w:tc>
                <w:tcPr>
                  <w:tcW w:w="1614" w:type="dxa"/>
                </w:tcPr>
                <w:p w14:paraId="315B2E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增加</w:t>
                  </w:r>
                </w:p>
              </w:tc>
            </w:tr>
            <w:tr w14:paraId="47B4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14:paraId="6A2477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2</w:t>
                  </w:r>
                </w:p>
              </w:tc>
              <w:tc>
                <w:tcPr>
                  <w:tcW w:w="1845" w:type="dxa"/>
                </w:tcPr>
                <w:p w14:paraId="1D3167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highlight w:val="none"/>
                      <w:vertAlign w:val="baseline"/>
                      <w:lang w:val="en-US" w:eastAsia="zh-CN"/>
                    </w:rPr>
                  </w:pPr>
                  <w:r>
                    <w:rPr>
                      <w:rFonts w:hint="eastAsia"/>
                      <w:color w:val="auto"/>
                      <w:kern w:val="2"/>
                      <w:sz w:val="21"/>
                      <w:szCs w:val="21"/>
                      <w:highlight w:val="none"/>
                      <w:vertAlign w:val="baseline"/>
                      <w:lang w:val="en-US" w:eastAsia="zh-CN"/>
                    </w:rPr>
                    <w:t>额定蒸汽压力</w:t>
                  </w:r>
                </w:p>
              </w:tc>
              <w:tc>
                <w:tcPr>
                  <w:tcW w:w="2010" w:type="dxa"/>
                </w:tcPr>
                <w:p w14:paraId="0FF0E7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highlight w:val="none"/>
                      <w:vertAlign w:val="baseline"/>
                      <w:lang w:val="en-US" w:eastAsia="zh-CN"/>
                    </w:rPr>
                  </w:pPr>
                  <w:r>
                    <w:rPr>
                      <w:rFonts w:hint="eastAsia"/>
                      <w:color w:val="auto"/>
                      <w:kern w:val="2"/>
                      <w:sz w:val="21"/>
                      <w:szCs w:val="21"/>
                      <w:highlight w:val="none"/>
                      <w:vertAlign w:val="baseline"/>
                      <w:lang w:val="en-US" w:eastAsia="zh-CN"/>
                    </w:rPr>
                    <w:t>1.25Mpa</w:t>
                  </w:r>
                </w:p>
              </w:tc>
              <w:tc>
                <w:tcPr>
                  <w:tcW w:w="1778" w:type="dxa"/>
                </w:tcPr>
                <w:p w14:paraId="071E1F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0.8</w:t>
                  </w:r>
                  <w:r>
                    <w:rPr>
                      <w:rFonts w:hint="default" w:ascii="Times New Roman" w:hAnsi="Times New Roman" w:cs="Times New Roman"/>
                      <w:b w:val="0"/>
                      <w:bCs w:val="0"/>
                      <w:color w:val="auto"/>
                      <w:sz w:val="21"/>
                      <w:szCs w:val="21"/>
                      <w:highlight w:val="none"/>
                    </w:rPr>
                    <w:t>MPa</w:t>
                  </w:r>
                </w:p>
              </w:tc>
              <w:tc>
                <w:tcPr>
                  <w:tcW w:w="1614" w:type="dxa"/>
                </w:tcPr>
                <w:p w14:paraId="332184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highlight w:val="none"/>
                      <w:vertAlign w:val="baseline"/>
                      <w:lang w:val="en-US" w:eastAsia="zh-CN"/>
                    </w:rPr>
                  </w:pPr>
                  <w:r>
                    <w:rPr>
                      <w:rFonts w:hint="eastAsia"/>
                      <w:color w:val="auto"/>
                      <w:kern w:val="2"/>
                      <w:sz w:val="21"/>
                      <w:szCs w:val="21"/>
                      <w:highlight w:val="none"/>
                      <w:vertAlign w:val="baseline"/>
                      <w:lang w:val="en-US" w:eastAsia="zh-CN"/>
                    </w:rPr>
                    <w:t>减小</w:t>
                  </w:r>
                </w:p>
              </w:tc>
            </w:tr>
            <w:tr w14:paraId="18679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14:paraId="7A9050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3</w:t>
                  </w:r>
                </w:p>
              </w:tc>
              <w:tc>
                <w:tcPr>
                  <w:tcW w:w="1845" w:type="dxa"/>
                </w:tcPr>
                <w:p w14:paraId="4A2DDB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highlight w:val="none"/>
                      <w:vertAlign w:val="baseline"/>
                      <w:lang w:val="en-US" w:eastAsia="zh-CN"/>
                    </w:rPr>
                  </w:pPr>
                  <w:r>
                    <w:rPr>
                      <w:rFonts w:hint="eastAsia"/>
                      <w:color w:val="auto"/>
                      <w:kern w:val="2"/>
                      <w:sz w:val="21"/>
                      <w:szCs w:val="21"/>
                      <w:highlight w:val="none"/>
                      <w:vertAlign w:val="baseline"/>
                      <w:lang w:val="en-US" w:eastAsia="zh-CN"/>
                    </w:rPr>
                    <w:t>额定蒸汽温度</w:t>
                  </w:r>
                </w:p>
              </w:tc>
              <w:tc>
                <w:tcPr>
                  <w:tcW w:w="2010" w:type="dxa"/>
                </w:tcPr>
                <w:p w14:paraId="1B2B17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highlight w:val="none"/>
                      <w:vertAlign w:val="baseline"/>
                      <w:lang w:val="en-US" w:eastAsia="zh-CN"/>
                    </w:rPr>
                  </w:pPr>
                  <w:r>
                    <w:rPr>
                      <w:rFonts w:hint="eastAsia"/>
                      <w:color w:val="auto"/>
                      <w:kern w:val="2"/>
                      <w:sz w:val="21"/>
                      <w:szCs w:val="21"/>
                      <w:highlight w:val="none"/>
                      <w:vertAlign w:val="baseline"/>
                      <w:lang w:val="en-US" w:eastAsia="zh-CN"/>
                    </w:rPr>
                    <w:t>194</w:t>
                  </w:r>
                  <w:r>
                    <w:rPr>
                      <w:rFonts w:hint="default" w:ascii="Times New Roman" w:hAnsi="Times New Roman" w:cs="Times New Roman"/>
                      <w:b w:val="0"/>
                      <w:bCs w:val="0"/>
                      <w:color w:val="auto"/>
                      <w:sz w:val="21"/>
                      <w:szCs w:val="21"/>
                      <w:highlight w:val="none"/>
                    </w:rPr>
                    <w:t>℃</w:t>
                  </w:r>
                </w:p>
              </w:tc>
              <w:tc>
                <w:tcPr>
                  <w:tcW w:w="1778" w:type="dxa"/>
                </w:tcPr>
                <w:p w14:paraId="22DE1C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rPr>
                    <w:t>175℃</w:t>
                  </w:r>
                </w:p>
              </w:tc>
              <w:tc>
                <w:tcPr>
                  <w:tcW w:w="1614" w:type="dxa"/>
                </w:tcPr>
                <w:p w14:paraId="4DB71A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highlight w:val="none"/>
                      <w:vertAlign w:val="baseline"/>
                      <w:lang w:val="en-US" w:eastAsia="zh-CN"/>
                    </w:rPr>
                  </w:pPr>
                  <w:r>
                    <w:rPr>
                      <w:rFonts w:hint="eastAsia"/>
                      <w:color w:val="auto"/>
                      <w:kern w:val="2"/>
                      <w:sz w:val="21"/>
                      <w:szCs w:val="21"/>
                      <w:highlight w:val="none"/>
                      <w:vertAlign w:val="baseline"/>
                      <w:lang w:val="en-US" w:eastAsia="zh-CN"/>
                    </w:rPr>
                    <w:t>减小</w:t>
                  </w:r>
                </w:p>
              </w:tc>
            </w:tr>
            <w:tr w14:paraId="6902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14:paraId="7D8DC6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4</w:t>
                  </w:r>
                </w:p>
              </w:tc>
              <w:tc>
                <w:tcPr>
                  <w:tcW w:w="1845" w:type="dxa"/>
                </w:tcPr>
                <w:p w14:paraId="647B35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介质</w:t>
                  </w:r>
                </w:p>
              </w:tc>
              <w:tc>
                <w:tcPr>
                  <w:tcW w:w="2010" w:type="dxa"/>
                </w:tcPr>
                <w:p w14:paraId="4FACE3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水</w:t>
                  </w:r>
                </w:p>
              </w:tc>
              <w:tc>
                <w:tcPr>
                  <w:tcW w:w="1778" w:type="dxa"/>
                </w:tcPr>
                <w:p w14:paraId="068C90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2"/>
                      <w:sz w:val="21"/>
                      <w:szCs w:val="21"/>
                      <w:vertAlign w:val="baseline"/>
                      <w:lang w:val="en-US" w:eastAsia="zh-CN"/>
                    </w:rPr>
                  </w:pPr>
                  <w:r>
                    <w:rPr>
                      <w:rFonts w:hint="eastAsia"/>
                      <w:color w:val="auto"/>
                      <w:kern w:val="2"/>
                      <w:sz w:val="21"/>
                      <w:szCs w:val="21"/>
                      <w:vertAlign w:val="baseline"/>
                      <w:lang w:val="en-US" w:eastAsia="zh-CN"/>
                    </w:rPr>
                    <w:t>水</w:t>
                  </w:r>
                </w:p>
              </w:tc>
              <w:tc>
                <w:tcPr>
                  <w:tcW w:w="1614" w:type="dxa"/>
                </w:tcPr>
                <w:p w14:paraId="7AE4C7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不变</w:t>
                  </w:r>
                </w:p>
              </w:tc>
            </w:tr>
            <w:tr w14:paraId="6058E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14:paraId="71CFE3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5</w:t>
                  </w:r>
                </w:p>
              </w:tc>
              <w:tc>
                <w:tcPr>
                  <w:tcW w:w="1845" w:type="dxa"/>
                </w:tcPr>
                <w:p w14:paraId="595A41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highlight w:val="none"/>
                      <w:vertAlign w:val="baseline"/>
                      <w:lang w:val="en-US" w:eastAsia="zh-CN"/>
                    </w:rPr>
                  </w:pPr>
                  <w:r>
                    <w:rPr>
                      <w:rFonts w:hint="eastAsia"/>
                      <w:color w:val="auto"/>
                      <w:kern w:val="2"/>
                      <w:sz w:val="21"/>
                      <w:szCs w:val="21"/>
                      <w:highlight w:val="none"/>
                      <w:vertAlign w:val="baseline"/>
                      <w:lang w:val="en-US" w:eastAsia="zh-CN"/>
                    </w:rPr>
                    <w:t>设计热效率</w:t>
                  </w:r>
                </w:p>
              </w:tc>
              <w:tc>
                <w:tcPr>
                  <w:tcW w:w="2010" w:type="dxa"/>
                </w:tcPr>
                <w:p w14:paraId="4BB8C5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highlight w:val="none"/>
                      <w:vertAlign w:val="baseline"/>
                      <w:lang w:val="en-US" w:eastAsia="zh-CN"/>
                    </w:rPr>
                  </w:pPr>
                  <w:r>
                    <w:rPr>
                      <w:rFonts w:hint="eastAsia"/>
                      <w:color w:val="auto"/>
                      <w:kern w:val="2"/>
                      <w:sz w:val="21"/>
                      <w:szCs w:val="21"/>
                      <w:highlight w:val="none"/>
                      <w:vertAlign w:val="baseline"/>
                      <w:lang w:val="en-US" w:eastAsia="zh-CN"/>
                    </w:rPr>
                    <w:t>84.66%</w:t>
                  </w:r>
                </w:p>
              </w:tc>
              <w:tc>
                <w:tcPr>
                  <w:tcW w:w="1778" w:type="dxa"/>
                </w:tcPr>
                <w:p w14:paraId="2B8B33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highlight w:val="none"/>
                      <w:vertAlign w:val="baseline"/>
                      <w:lang w:val="en-US" w:eastAsia="zh-CN"/>
                    </w:rPr>
                  </w:pPr>
                  <w:r>
                    <w:rPr>
                      <w:rFonts w:hint="eastAsia"/>
                      <w:color w:val="auto"/>
                      <w:kern w:val="2"/>
                      <w:sz w:val="21"/>
                      <w:szCs w:val="21"/>
                      <w:highlight w:val="none"/>
                      <w:vertAlign w:val="baseline"/>
                      <w:lang w:val="en-US" w:eastAsia="zh-CN"/>
                    </w:rPr>
                    <w:t>98.5%</w:t>
                  </w:r>
                </w:p>
              </w:tc>
              <w:tc>
                <w:tcPr>
                  <w:tcW w:w="1614" w:type="dxa"/>
                </w:tcPr>
                <w:p w14:paraId="57846B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highlight w:val="none"/>
                      <w:vertAlign w:val="baseline"/>
                      <w:lang w:val="en-US" w:eastAsia="zh-CN"/>
                    </w:rPr>
                  </w:pPr>
                  <w:r>
                    <w:rPr>
                      <w:rFonts w:hint="eastAsia"/>
                      <w:color w:val="auto"/>
                      <w:kern w:val="2"/>
                      <w:sz w:val="21"/>
                      <w:szCs w:val="21"/>
                      <w:highlight w:val="none"/>
                      <w:vertAlign w:val="baseline"/>
                      <w:lang w:val="en-US" w:eastAsia="zh-CN"/>
                    </w:rPr>
                    <w:t>增加</w:t>
                  </w:r>
                </w:p>
              </w:tc>
            </w:tr>
            <w:tr w14:paraId="546C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14:paraId="73CDC6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6</w:t>
                  </w:r>
                </w:p>
              </w:tc>
              <w:tc>
                <w:tcPr>
                  <w:tcW w:w="1845" w:type="dxa"/>
                </w:tcPr>
                <w:p w14:paraId="639C55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燃烧方式</w:t>
                  </w:r>
                </w:p>
              </w:tc>
              <w:tc>
                <w:tcPr>
                  <w:tcW w:w="2010" w:type="dxa"/>
                </w:tcPr>
                <w:p w14:paraId="5E126F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层燃</w:t>
                  </w:r>
                </w:p>
              </w:tc>
              <w:tc>
                <w:tcPr>
                  <w:tcW w:w="1778" w:type="dxa"/>
                </w:tcPr>
                <w:p w14:paraId="022666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2"/>
                      <w:sz w:val="21"/>
                      <w:szCs w:val="21"/>
                      <w:vertAlign w:val="baseline"/>
                      <w:lang w:val="en-US" w:eastAsia="zh-CN"/>
                    </w:rPr>
                  </w:pPr>
                  <w:r>
                    <w:rPr>
                      <w:rFonts w:hint="eastAsia"/>
                      <w:color w:val="auto"/>
                      <w:kern w:val="2"/>
                      <w:sz w:val="21"/>
                      <w:szCs w:val="21"/>
                      <w:vertAlign w:val="baseline"/>
                      <w:lang w:val="en-US" w:eastAsia="zh-CN"/>
                    </w:rPr>
                    <w:t>层燃</w:t>
                  </w:r>
                </w:p>
              </w:tc>
              <w:tc>
                <w:tcPr>
                  <w:tcW w:w="1614" w:type="dxa"/>
                </w:tcPr>
                <w:p w14:paraId="2B9F52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2"/>
                      <w:sz w:val="21"/>
                      <w:szCs w:val="21"/>
                      <w:vertAlign w:val="baseline"/>
                      <w:lang w:val="en-US" w:eastAsia="zh-CN"/>
                    </w:rPr>
                  </w:pPr>
                  <w:r>
                    <w:rPr>
                      <w:rFonts w:hint="eastAsia"/>
                      <w:color w:val="auto"/>
                      <w:kern w:val="2"/>
                      <w:sz w:val="21"/>
                      <w:szCs w:val="21"/>
                      <w:vertAlign w:val="baseline"/>
                      <w:lang w:val="en-US" w:eastAsia="zh-CN"/>
                    </w:rPr>
                    <w:t>不变</w:t>
                  </w:r>
                </w:p>
              </w:tc>
            </w:tr>
            <w:tr w14:paraId="6690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14:paraId="177447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7</w:t>
                  </w:r>
                </w:p>
              </w:tc>
              <w:tc>
                <w:tcPr>
                  <w:tcW w:w="1845" w:type="dxa"/>
                </w:tcPr>
                <w:p w14:paraId="0D7D0E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适应燃料</w:t>
                  </w:r>
                </w:p>
              </w:tc>
              <w:tc>
                <w:tcPr>
                  <w:tcW w:w="2010" w:type="dxa"/>
                </w:tcPr>
                <w:p w14:paraId="77DF6D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生物质成型燃料</w:t>
                  </w:r>
                </w:p>
              </w:tc>
              <w:tc>
                <w:tcPr>
                  <w:tcW w:w="1778" w:type="dxa"/>
                </w:tcPr>
                <w:p w14:paraId="232961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2"/>
                      <w:sz w:val="21"/>
                      <w:szCs w:val="21"/>
                      <w:vertAlign w:val="baseline"/>
                      <w:lang w:val="en-US" w:eastAsia="zh-CN"/>
                    </w:rPr>
                  </w:pPr>
                  <w:r>
                    <w:rPr>
                      <w:rFonts w:hint="eastAsia"/>
                      <w:color w:val="auto"/>
                      <w:kern w:val="2"/>
                      <w:sz w:val="21"/>
                      <w:szCs w:val="21"/>
                      <w:vertAlign w:val="baseline"/>
                      <w:lang w:val="en-US" w:eastAsia="zh-CN"/>
                    </w:rPr>
                    <w:t>生物质成型燃料</w:t>
                  </w:r>
                </w:p>
              </w:tc>
              <w:tc>
                <w:tcPr>
                  <w:tcW w:w="1614" w:type="dxa"/>
                </w:tcPr>
                <w:p w14:paraId="3CB8A5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2"/>
                      <w:sz w:val="21"/>
                      <w:szCs w:val="21"/>
                      <w:vertAlign w:val="baseline"/>
                      <w:lang w:val="en-US" w:eastAsia="zh-CN"/>
                    </w:rPr>
                  </w:pPr>
                  <w:r>
                    <w:rPr>
                      <w:rFonts w:hint="eastAsia"/>
                      <w:color w:val="auto"/>
                      <w:kern w:val="2"/>
                      <w:sz w:val="21"/>
                      <w:szCs w:val="21"/>
                      <w:vertAlign w:val="baseline"/>
                      <w:lang w:val="en-US" w:eastAsia="zh-CN"/>
                    </w:rPr>
                    <w:t>不变</w:t>
                  </w:r>
                </w:p>
              </w:tc>
            </w:tr>
            <w:tr w14:paraId="08CA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14:paraId="549005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8</w:t>
                  </w:r>
                </w:p>
              </w:tc>
              <w:tc>
                <w:tcPr>
                  <w:tcW w:w="1845" w:type="dxa"/>
                </w:tcPr>
                <w:p w14:paraId="4F82F9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年运行时间</w:t>
                  </w:r>
                </w:p>
              </w:tc>
              <w:tc>
                <w:tcPr>
                  <w:tcW w:w="2010" w:type="dxa"/>
                </w:tcPr>
                <w:p w14:paraId="5DC30E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320h</w:t>
                  </w:r>
                </w:p>
              </w:tc>
              <w:tc>
                <w:tcPr>
                  <w:tcW w:w="1778" w:type="dxa"/>
                </w:tcPr>
                <w:p w14:paraId="7F8199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2400h</w:t>
                  </w:r>
                </w:p>
              </w:tc>
              <w:tc>
                <w:tcPr>
                  <w:tcW w:w="1614" w:type="dxa"/>
                </w:tcPr>
                <w:p w14:paraId="0AD945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增加</w:t>
                  </w:r>
                </w:p>
              </w:tc>
            </w:tr>
          </w:tbl>
          <w:p w14:paraId="0A98E6D6">
            <w:pPr>
              <w:numPr>
                <w:ilvl w:val="0"/>
                <w:numId w:val="0"/>
              </w:numPr>
              <w:adjustRightInd w:val="0"/>
              <w:snapToGrid w:val="0"/>
              <w:spacing w:line="360" w:lineRule="auto"/>
              <w:rPr>
                <w:b/>
                <w:bCs/>
                <w:color w:val="auto"/>
                <w:sz w:val="24"/>
              </w:rPr>
            </w:pPr>
            <w:r>
              <w:rPr>
                <w:rFonts w:hint="eastAsia"/>
                <w:b/>
                <w:bCs/>
                <w:color w:val="auto"/>
                <w:sz w:val="24"/>
                <w:lang w:val="en-US" w:eastAsia="zh-CN"/>
              </w:rPr>
              <w:t>5、</w:t>
            </w:r>
            <w:r>
              <w:rPr>
                <w:b/>
                <w:bCs/>
                <w:color w:val="auto"/>
                <w:sz w:val="24"/>
              </w:rPr>
              <w:t>项目原辅料种类及用量</w:t>
            </w:r>
          </w:p>
          <w:p w14:paraId="4B3EDF91">
            <w:pPr>
              <w:pStyle w:val="21"/>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textAlignment w:val="auto"/>
              <w:rPr>
                <w:rFonts w:ascii="Times New Roman" w:hAnsi="Times New Roman"/>
                <w:color w:val="auto"/>
                <w:kern w:val="2"/>
                <w:szCs w:val="24"/>
              </w:rPr>
            </w:pPr>
            <w:r>
              <w:rPr>
                <w:rFonts w:hint="eastAsia" w:ascii="Times New Roman" w:hAnsi="Times New Roman"/>
                <w:color w:val="auto"/>
                <w:kern w:val="2"/>
                <w:szCs w:val="24"/>
                <w:lang w:val="en-US" w:eastAsia="zh-CN"/>
              </w:rPr>
              <w:t>本次技改除生物质燃料用量增加外，其余原辅材料及用量均与现有项目一致。本次技改前</w:t>
            </w:r>
            <w:r>
              <w:rPr>
                <w:rFonts w:hint="eastAsia" w:ascii="Times New Roman" w:hAnsi="Times New Roman"/>
                <w:color w:val="auto"/>
                <w:kern w:val="2"/>
                <w:szCs w:val="24"/>
              </w:rPr>
              <w:t>主要</w:t>
            </w:r>
            <w:r>
              <w:rPr>
                <w:rFonts w:ascii="Times New Roman" w:hAnsi="Times New Roman"/>
                <w:color w:val="auto"/>
                <w:kern w:val="2"/>
                <w:szCs w:val="24"/>
              </w:rPr>
              <w:t>原辅材料及能耗详见</w:t>
            </w:r>
            <w:r>
              <w:rPr>
                <w:rFonts w:hint="eastAsia" w:ascii="Times New Roman" w:hAnsi="Times New Roman"/>
                <w:color w:val="auto"/>
                <w:kern w:val="2"/>
                <w:szCs w:val="24"/>
                <w:lang w:val="en-US" w:eastAsia="zh-CN"/>
              </w:rPr>
              <w:t>下表</w:t>
            </w:r>
            <w:r>
              <w:rPr>
                <w:rFonts w:ascii="Times New Roman" w:hAnsi="Times New Roman"/>
                <w:color w:val="auto"/>
                <w:kern w:val="2"/>
                <w:szCs w:val="24"/>
              </w:rPr>
              <w:t>。</w:t>
            </w:r>
          </w:p>
          <w:p w14:paraId="7167FE75">
            <w:pPr>
              <w:adjustRightInd w:val="0"/>
              <w:snapToGrid w:val="0"/>
              <w:spacing w:line="240" w:lineRule="auto"/>
              <w:jc w:val="center"/>
              <w:rPr>
                <w:rFonts w:hint="default" w:eastAsia="宋体"/>
                <w:b/>
                <w:bCs/>
                <w:color w:val="auto"/>
                <w:szCs w:val="21"/>
                <w:lang w:val="en-US" w:eastAsia="zh-CN"/>
              </w:rPr>
            </w:pPr>
            <w:r>
              <w:rPr>
                <w:b/>
                <w:bCs/>
                <w:color w:val="auto"/>
                <w:szCs w:val="21"/>
              </w:rPr>
              <w:t>表2-</w:t>
            </w:r>
            <w:r>
              <w:rPr>
                <w:rFonts w:hint="eastAsia"/>
                <w:b/>
                <w:bCs/>
                <w:color w:val="auto"/>
                <w:szCs w:val="21"/>
                <w:lang w:val="en-US" w:eastAsia="zh-CN"/>
              </w:rPr>
              <w:t>5  技改前后</w:t>
            </w:r>
            <w:r>
              <w:rPr>
                <w:b/>
                <w:bCs/>
                <w:color w:val="auto"/>
                <w:szCs w:val="21"/>
              </w:rPr>
              <w:t>主要原辅材料</w:t>
            </w:r>
            <w:r>
              <w:rPr>
                <w:rFonts w:hint="eastAsia"/>
                <w:b/>
                <w:bCs/>
                <w:color w:val="auto"/>
                <w:szCs w:val="21"/>
                <w:lang w:val="en-US" w:eastAsia="zh-CN"/>
              </w:rPr>
              <w:t>变化情况一览表</w:t>
            </w:r>
          </w:p>
          <w:tbl>
            <w:tblPr>
              <w:tblStyle w:val="22"/>
              <w:tblW w:w="49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3135"/>
              <w:gridCol w:w="1350"/>
              <w:gridCol w:w="929"/>
              <w:gridCol w:w="3"/>
              <w:gridCol w:w="1013"/>
              <w:gridCol w:w="1024"/>
            </w:tblGrid>
            <w:tr w14:paraId="37A7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40" w:type="pct"/>
                  <w:vMerge w:val="restart"/>
                  <w:noWrap w:val="0"/>
                  <w:vAlign w:val="center"/>
                </w:tcPr>
                <w:p w14:paraId="562BEE4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序号</w:t>
                  </w:r>
                </w:p>
              </w:tc>
              <w:tc>
                <w:tcPr>
                  <w:tcW w:w="1959" w:type="pct"/>
                  <w:vMerge w:val="restart"/>
                  <w:noWrap w:val="0"/>
                  <w:vAlign w:val="center"/>
                </w:tcPr>
                <w:p w14:paraId="0896C31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原辅材料名称</w:t>
                  </w:r>
                </w:p>
              </w:tc>
              <w:tc>
                <w:tcPr>
                  <w:tcW w:w="843" w:type="pct"/>
                  <w:vMerge w:val="restart"/>
                  <w:noWrap w:val="0"/>
                  <w:vAlign w:val="center"/>
                </w:tcPr>
                <w:p w14:paraId="5592CCA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b/>
                      <w:bCs/>
                      <w:color w:val="auto"/>
                      <w:sz w:val="21"/>
                      <w:szCs w:val="21"/>
                      <w:highlight w:val="none"/>
                    </w:rPr>
                  </w:pPr>
                  <w:r>
                    <w:rPr>
                      <w:b/>
                      <w:color w:val="auto"/>
                      <w:szCs w:val="21"/>
                    </w:rPr>
                    <w:t>最大储存量（t）</w:t>
                  </w:r>
                </w:p>
              </w:tc>
              <w:tc>
                <w:tcPr>
                  <w:tcW w:w="1856" w:type="pct"/>
                  <w:gridSpan w:val="4"/>
                  <w:noWrap w:val="0"/>
                  <w:vAlign w:val="center"/>
                </w:tcPr>
                <w:p w14:paraId="5AE73D5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年消耗量（t/a）</w:t>
                  </w:r>
                </w:p>
              </w:tc>
            </w:tr>
            <w:tr w14:paraId="0287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40" w:type="pct"/>
                  <w:vMerge w:val="continue"/>
                  <w:noWrap w:val="0"/>
                  <w:vAlign w:val="center"/>
                </w:tcPr>
                <w:p w14:paraId="315BB34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b/>
                      <w:bCs/>
                      <w:color w:val="auto"/>
                      <w:sz w:val="21"/>
                      <w:szCs w:val="21"/>
                      <w:highlight w:val="none"/>
                      <w:lang w:val="en-US" w:eastAsia="zh-CN"/>
                    </w:rPr>
                  </w:pPr>
                </w:p>
              </w:tc>
              <w:tc>
                <w:tcPr>
                  <w:tcW w:w="1959" w:type="pct"/>
                  <w:vMerge w:val="continue"/>
                  <w:noWrap w:val="0"/>
                  <w:vAlign w:val="center"/>
                </w:tcPr>
                <w:p w14:paraId="6DFB438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b/>
                      <w:bCs/>
                      <w:color w:val="auto"/>
                      <w:sz w:val="21"/>
                      <w:szCs w:val="21"/>
                      <w:highlight w:val="none"/>
                      <w:lang w:val="en-US" w:eastAsia="zh-CN"/>
                    </w:rPr>
                  </w:pPr>
                </w:p>
              </w:tc>
              <w:tc>
                <w:tcPr>
                  <w:tcW w:w="843" w:type="pct"/>
                  <w:vMerge w:val="continue"/>
                  <w:noWrap w:val="0"/>
                  <w:vAlign w:val="center"/>
                </w:tcPr>
                <w:p w14:paraId="694D744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b/>
                      <w:bCs/>
                      <w:color w:val="auto"/>
                      <w:sz w:val="21"/>
                      <w:szCs w:val="21"/>
                      <w:highlight w:val="none"/>
                      <w:lang w:val="en-US" w:eastAsia="zh-CN"/>
                    </w:rPr>
                  </w:pPr>
                </w:p>
              </w:tc>
              <w:tc>
                <w:tcPr>
                  <w:tcW w:w="580" w:type="pct"/>
                  <w:noWrap w:val="0"/>
                  <w:vAlign w:val="center"/>
                </w:tcPr>
                <w:p w14:paraId="6E40917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b/>
                      <w:bCs/>
                      <w:color w:val="auto"/>
                      <w:sz w:val="21"/>
                      <w:szCs w:val="21"/>
                      <w:highlight w:val="none"/>
                      <w:lang w:val="en-US" w:eastAsia="zh-CN"/>
                    </w:rPr>
                  </w:pPr>
                  <w:r>
                    <w:rPr>
                      <w:rFonts w:hint="eastAsia"/>
                      <w:b/>
                      <w:bCs/>
                      <w:color w:val="auto"/>
                      <w:sz w:val="21"/>
                      <w:szCs w:val="21"/>
                      <w:highlight w:val="none"/>
                      <w:lang w:val="en-US" w:eastAsia="zh-CN"/>
                    </w:rPr>
                    <w:t>现有工程</w:t>
                  </w:r>
                </w:p>
              </w:tc>
              <w:tc>
                <w:tcPr>
                  <w:tcW w:w="635" w:type="pct"/>
                  <w:gridSpan w:val="2"/>
                  <w:noWrap w:val="0"/>
                  <w:vAlign w:val="center"/>
                </w:tcPr>
                <w:p w14:paraId="5E3E1D0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b/>
                      <w:bCs/>
                      <w:color w:val="auto"/>
                      <w:sz w:val="21"/>
                      <w:szCs w:val="21"/>
                      <w:highlight w:val="none"/>
                      <w:lang w:val="en-US" w:eastAsia="zh-CN"/>
                    </w:rPr>
                  </w:pPr>
                  <w:r>
                    <w:rPr>
                      <w:rFonts w:hint="eastAsia"/>
                      <w:b/>
                      <w:bCs/>
                      <w:color w:val="auto"/>
                      <w:sz w:val="21"/>
                      <w:szCs w:val="21"/>
                      <w:highlight w:val="none"/>
                      <w:lang w:val="en-US" w:eastAsia="zh-CN"/>
                    </w:rPr>
                    <w:t>本次技改工程</w:t>
                  </w:r>
                </w:p>
              </w:tc>
              <w:tc>
                <w:tcPr>
                  <w:tcW w:w="640" w:type="pct"/>
                  <w:noWrap w:val="0"/>
                  <w:vAlign w:val="center"/>
                </w:tcPr>
                <w:p w14:paraId="059E306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b/>
                      <w:bCs/>
                      <w:color w:val="auto"/>
                      <w:sz w:val="21"/>
                      <w:szCs w:val="21"/>
                      <w:highlight w:val="none"/>
                      <w:lang w:val="en-US" w:eastAsia="zh-CN"/>
                    </w:rPr>
                  </w:pPr>
                  <w:r>
                    <w:rPr>
                      <w:rFonts w:hint="eastAsia"/>
                      <w:b/>
                      <w:bCs/>
                      <w:color w:val="auto"/>
                      <w:sz w:val="21"/>
                      <w:szCs w:val="21"/>
                      <w:highlight w:val="none"/>
                      <w:lang w:val="en-US" w:eastAsia="zh-CN"/>
                    </w:rPr>
                    <w:t>变化情况</w:t>
                  </w:r>
                </w:p>
              </w:tc>
            </w:tr>
            <w:tr w14:paraId="29A6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62D37BD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一</w:t>
                  </w:r>
                </w:p>
              </w:tc>
              <w:tc>
                <w:tcPr>
                  <w:tcW w:w="4659" w:type="pct"/>
                  <w:gridSpan w:val="6"/>
                  <w:noWrap w:val="0"/>
                  <w:vAlign w:val="center"/>
                </w:tcPr>
                <w:p w14:paraId="7507D58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原料</w:t>
                  </w:r>
                </w:p>
              </w:tc>
            </w:tr>
            <w:tr w14:paraId="472A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27CD2B5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1959" w:type="pct"/>
                  <w:noWrap w:val="0"/>
                  <w:vAlign w:val="center"/>
                </w:tcPr>
                <w:p w14:paraId="7457D3D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葡萄</w:t>
                  </w:r>
                </w:p>
              </w:tc>
              <w:tc>
                <w:tcPr>
                  <w:tcW w:w="843" w:type="pct"/>
                  <w:noWrap w:val="0"/>
                  <w:vAlign w:val="center"/>
                </w:tcPr>
                <w:p w14:paraId="0BE23DE8">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hAnsi="Times New Roman"/>
                      <w:color w:val="auto"/>
                      <w:sz w:val="21"/>
                      <w:szCs w:val="21"/>
                      <w:highlight w:val="none"/>
                      <w:lang w:val="en-US" w:eastAsia="zh-CN"/>
                    </w:rPr>
                  </w:pPr>
                  <w:r>
                    <w:rPr>
                      <w:color w:val="auto"/>
                      <w:szCs w:val="21"/>
                    </w:rPr>
                    <w:t>80</w:t>
                  </w:r>
                </w:p>
              </w:tc>
              <w:tc>
                <w:tcPr>
                  <w:tcW w:w="582" w:type="pct"/>
                  <w:gridSpan w:val="2"/>
                  <w:noWrap w:val="0"/>
                  <w:vAlign w:val="center"/>
                </w:tcPr>
                <w:p w14:paraId="0BC8AF9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2000</w:t>
                  </w:r>
                </w:p>
              </w:tc>
              <w:tc>
                <w:tcPr>
                  <w:tcW w:w="633" w:type="pct"/>
                  <w:noWrap w:val="0"/>
                  <w:vAlign w:val="center"/>
                </w:tcPr>
                <w:p w14:paraId="3B0A163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2000</w:t>
                  </w:r>
                </w:p>
              </w:tc>
              <w:tc>
                <w:tcPr>
                  <w:tcW w:w="640" w:type="pct"/>
                  <w:noWrap w:val="0"/>
                  <w:vAlign w:val="center"/>
                </w:tcPr>
                <w:p w14:paraId="664446A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color w:val="auto"/>
                      <w:sz w:val="21"/>
                      <w:szCs w:val="21"/>
                      <w:highlight w:val="none"/>
                      <w:lang w:val="en-US" w:eastAsia="zh-CN"/>
                    </w:rPr>
                    <w:t>0</w:t>
                  </w:r>
                </w:p>
              </w:tc>
            </w:tr>
            <w:tr w14:paraId="4DE5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19B86D0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2</w:t>
                  </w:r>
                </w:p>
              </w:tc>
              <w:tc>
                <w:tcPr>
                  <w:tcW w:w="1959" w:type="pct"/>
                  <w:noWrap w:val="0"/>
                  <w:vAlign w:val="center"/>
                </w:tcPr>
                <w:p w14:paraId="3971D63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芒果</w:t>
                  </w:r>
                </w:p>
              </w:tc>
              <w:tc>
                <w:tcPr>
                  <w:tcW w:w="843" w:type="pct"/>
                  <w:noWrap w:val="0"/>
                  <w:vAlign w:val="center"/>
                </w:tcPr>
                <w:p w14:paraId="4886D00D">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hAnsi="Times New Roman"/>
                      <w:color w:val="auto"/>
                      <w:sz w:val="21"/>
                      <w:szCs w:val="21"/>
                      <w:highlight w:val="none"/>
                      <w:lang w:val="en-US" w:eastAsia="zh-CN"/>
                    </w:rPr>
                  </w:pPr>
                  <w:r>
                    <w:rPr>
                      <w:color w:val="auto"/>
                      <w:szCs w:val="21"/>
                    </w:rPr>
                    <w:t>300</w:t>
                  </w:r>
                </w:p>
              </w:tc>
              <w:tc>
                <w:tcPr>
                  <w:tcW w:w="582" w:type="pct"/>
                  <w:gridSpan w:val="2"/>
                  <w:noWrap w:val="0"/>
                  <w:vAlign w:val="center"/>
                </w:tcPr>
                <w:p w14:paraId="244E8BB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3760</w:t>
                  </w:r>
                </w:p>
              </w:tc>
              <w:tc>
                <w:tcPr>
                  <w:tcW w:w="633" w:type="pct"/>
                  <w:noWrap w:val="0"/>
                  <w:vAlign w:val="center"/>
                </w:tcPr>
                <w:p w14:paraId="52EEFC2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3760</w:t>
                  </w:r>
                </w:p>
              </w:tc>
              <w:tc>
                <w:tcPr>
                  <w:tcW w:w="640" w:type="pct"/>
                  <w:noWrap w:val="0"/>
                  <w:vAlign w:val="center"/>
                </w:tcPr>
                <w:p w14:paraId="0DAD42F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color w:val="auto"/>
                      <w:sz w:val="21"/>
                      <w:szCs w:val="21"/>
                      <w:highlight w:val="none"/>
                      <w:lang w:val="en-US" w:eastAsia="zh-CN"/>
                    </w:rPr>
                    <w:t>0</w:t>
                  </w:r>
                </w:p>
              </w:tc>
            </w:tr>
            <w:tr w14:paraId="36F4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6BC61BB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3</w:t>
                  </w:r>
                </w:p>
              </w:tc>
              <w:tc>
                <w:tcPr>
                  <w:tcW w:w="1959" w:type="pct"/>
                  <w:noWrap w:val="0"/>
                  <w:vAlign w:val="center"/>
                </w:tcPr>
                <w:p w14:paraId="196A6D9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eastAsia="宋体" w:cs="Arial"/>
                      <w:i w:val="0"/>
                      <w:iCs w:val="0"/>
                      <w:caps w:val="0"/>
                      <w:color w:val="auto"/>
                      <w:spacing w:val="0"/>
                      <w:sz w:val="21"/>
                      <w:szCs w:val="21"/>
                      <w:highlight w:val="none"/>
                      <w:shd w:val="clear" w:color="auto" w:fill="FFFFFF"/>
                    </w:rPr>
                    <w:t>油柑</w:t>
                  </w:r>
                </w:p>
              </w:tc>
              <w:tc>
                <w:tcPr>
                  <w:tcW w:w="843" w:type="pct"/>
                  <w:noWrap w:val="0"/>
                  <w:vAlign w:val="center"/>
                </w:tcPr>
                <w:p w14:paraId="24E1EBC6">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hAnsi="Times New Roman"/>
                      <w:color w:val="auto"/>
                      <w:sz w:val="21"/>
                      <w:szCs w:val="21"/>
                      <w:highlight w:val="none"/>
                      <w:lang w:val="en-US" w:eastAsia="zh-CN"/>
                    </w:rPr>
                  </w:pPr>
                  <w:r>
                    <w:rPr>
                      <w:color w:val="auto"/>
                      <w:szCs w:val="21"/>
                    </w:rPr>
                    <w:t>50</w:t>
                  </w:r>
                </w:p>
              </w:tc>
              <w:tc>
                <w:tcPr>
                  <w:tcW w:w="582" w:type="pct"/>
                  <w:gridSpan w:val="2"/>
                  <w:noWrap w:val="0"/>
                  <w:vAlign w:val="center"/>
                </w:tcPr>
                <w:p w14:paraId="16437F5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1500</w:t>
                  </w:r>
                </w:p>
              </w:tc>
              <w:tc>
                <w:tcPr>
                  <w:tcW w:w="633" w:type="pct"/>
                  <w:noWrap w:val="0"/>
                  <w:vAlign w:val="center"/>
                </w:tcPr>
                <w:p w14:paraId="4D4894A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1500</w:t>
                  </w:r>
                </w:p>
              </w:tc>
              <w:tc>
                <w:tcPr>
                  <w:tcW w:w="640" w:type="pct"/>
                  <w:noWrap w:val="0"/>
                  <w:vAlign w:val="center"/>
                </w:tcPr>
                <w:p w14:paraId="2A4AB6C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color w:val="auto"/>
                      <w:sz w:val="21"/>
                      <w:szCs w:val="21"/>
                      <w:highlight w:val="none"/>
                      <w:lang w:val="en-US" w:eastAsia="zh-CN"/>
                    </w:rPr>
                    <w:t>0</w:t>
                  </w:r>
                </w:p>
              </w:tc>
            </w:tr>
            <w:tr w14:paraId="7F77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01FA051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4</w:t>
                  </w:r>
                </w:p>
              </w:tc>
              <w:tc>
                <w:tcPr>
                  <w:tcW w:w="1959" w:type="pct"/>
                  <w:noWrap w:val="0"/>
                  <w:vAlign w:val="center"/>
                </w:tcPr>
                <w:p w14:paraId="4FCD5D8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柠檬</w:t>
                  </w:r>
                </w:p>
              </w:tc>
              <w:tc>
                <w:tcPr>
                  <w:tcW w:w="843" w:type="pct"/>
                  <w:noWrap w:val="0"/>
                  <w:vAlign w:val="center"/>
                </w:tcPr>
                <w:p w14:paraId="3A814D6F">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hAnsi="Times New Roman"/>
                      <w:color w:val="auto"/>
                      <w:sz w:val="21"/>
                      <w:szCs w:val="21"/>
                      <w:highlight w:val="none"/>
                      <w:lang w:val="en-US" w:eastAsia="zh-CN"/>
                    </w:rPr>
                  </w:pPr>
                  <w:r>
                    <w:rPr>
                      <w:color w:val="auto"/>
                      <w:szCs w:val="21"/>
                    </w:rPr>
                    <w:t>60</w:t>
                  </w:r>
                </w:p>
              </w:tc>
              <w:tc>
                <w:tcPr>
                  <w:tcW w:w="582" w:type="pct"/>
                  <w:gridSpan w:val="2"/>
                  <w:noWrap w:val="0"/>
                  <w:vAlign w:val="center"/>
                </w:tcPr>
                <w:p w14:paraId="4B36A7D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4000</w:t>
                  </w:r>
                </w:p>
              </w:tc>
              <w:tc>
                <w:tcPr>
                  <w:tcW w:w="633" w:type="pct"/>
                  <w:noWrap w:val="0"/>
                  <w:vAlign w:val="center"/>
                </w:tcPr>
                <w:p w14:paraId="00F5981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4000</w:t>
                  </w:r>
                </w:p>
              </w:tc>
              <w:tc>
                <w:tcPr>
                  <w:tcW w:w="640" w:type="pct"/>
                  <w:noWrap w:val="0"/>
                  <w:vAlign w:val="center"/>
                </w:tcPr>
                <w:p w14:paraId="0FF932A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color w:val="auto"/>
                      <w:sz w:val="21"/>
                      <w:szCs w:val="21"/>
                      <w:highlight w:val="none"/>
                      <w:lang w:val="en-US" w:eastAsia="zh-CN"/>
                    </w:rPr>
                    <w:t>0</w:t>
                  </w:r>
                </w:p>
              </w:tc>
            </w:tr>
            <w:tr w14:paraId="7A49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5A61178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5</w:t>
                  </w:r>
                </w:p>
              </w:tc>
              <w:tc>
                <w:tcPr>
                  <w:tcW w:w="1959" w:type="pct"/>
                  <w:noWrap w:val="0"/>
                  <w:vAlign w:val="center"/>
                </w:tcPr>
                <w:p w14:paraId="72047EC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草莓</w:t>
                  </w:r>
                </w:p>
              </w:tc>
              <w:tc>
                <w:tcPr>
                  <w:tcW w:w="843" w:type="pct"/>
                  <w:noWrap w:val="0"/>
                  <w:vAlign w:val="center"/>
                </w:tcPr>
                <w:p w14:paraId="2CC3D213">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hAnsi="Times New Roman"/>
                      <w:color w:val="auto"/>
                      <w:sz w:val="21"/>
                      <w:szCs w:val="21"/>
                      <w:highlight w:val="none"/>
                      <w:lang w:val="en-US" w:eastAsia="zh-CN"/>
                    </w:rPr>
                  </w:pPr>
                  <w:r>
                    <w:rPr>
                      <w:color w:val="auto"/>
                      <w:szCs w:val="21"/>
                    </w:rPr>
                    <w:t>60</w:t>
                  </w:r>
                </w:p>
              </w:tc>
              <w:tc>
                <w:tcPr>
                  <w:tcW w:w="582" w:type="pct"/>
                  <w:gridSpan w:val="2"/>
                  <w:noWrap w:val="0"/>
                  <w:vAlign w:val="center"/>
                </w:tcPr>
                <w:p w14:paraId="346C663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2000</w:t>
                  </w:r>
                </w:p>
              </w:tc>
              <w:tc>
                <w:tcPr>
                  <w:tcW w:w="633" w:type="pct"/>
                  <w:noWrap w:val="0"/>
                  <w:vAlign w:val="center"/>
                </w:tcPr>
                <w:p w14:paraId="2889690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2000</w:t>
                  </w:r>
                </w:p>
              </w:tc>
              <w:tc>
                <w:tcPr>
                  <w:tcW w:w="640" w:type="pct"/>
                  <w:noWrap w:val="0"/>
                  <w:vAlign w:val="center"/>
                </w:tcPr>
                <w:p w14:paraId="1A70EDB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color w:val="auto"/>
                      <w:sz w:val="21"/>
                      <w:szCs w:val="21"/>
                      <w:highlight w:val="none"/>
                      <w:lang w:val="en-US" w:eastAsia="zh-CN"/>
                    </w:rPr>
                    <w:t>0</w:t>
                  </w:r>
                </w:p>
              </w:tc>
            </w:tr>
            <w:tr w14:paraId="05DC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396410F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6</w:t>
                  </w:r>
                </w:p>
              </w:tc>
              <w:tc>
                <w:tcPr>
                  <w:tcW w:w="1959" w:type="pct"/>
                  <w:noWrap w:val="0"/>
                  <w:vAlign w:val="center"/>
                </w:tcPr>
                <w:p w14:paraId="5027382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桃</w:t>
                  </w:r>
                </w:p>
              </w:tc>
              <w:tc>
                <w:tcPr>
                  <w:tcW w:w="843" w:type="pct"/>
                  <w:noWrap w:val="0"/>
                  <w:vAlign w:val="center"/>
                </w:tcPr>
                <w:p w14:paraId="715F4AD5">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hAnsi="Times New Roman"/>
                      <w:color w:val="auto"/>
                      <w:sz w:val="21"/>
                      <w:szCs w:val="21"/>
                      <w:highlight w:val="none"/>
                      <w:lang w:val="en-US" w:eastAsia="zh-CN"/>
                    </w:rPr>
                  </w:pPr>
                  <w:r>
                    <w:rPr>
                      <w:color w:val="auto"/>
                      <w:szCs w:val="21"/>
                    </w:rPr>
                    <w:t>60</w:t>
                  </w:r>
                </w:p>
              </w:tc>
              <w:tc>
                <w:tcPr>
                  <w:tcW w:w="582" w:type="pct"/>
                  <w:gridSpan w:val="2"/>
                  <w:noWrap w:val="0"/>
                  <w:vAlign w:val="center"/>
                </w:tcPr>
                <w:p w14:paraId="17A6022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1880</w:t>
                  </w:r>
                </w:p>
              </w:tc>
              <w:tc>
                <w:tcPr>
                  <w:tcW w:w="633" w:type="pct"/>
                  <w:noWrap w:val="0"/>
                  <w:vAlign w:val="center"/>
                </w:tcPr>
                <w:p w14:paraId="2B97BC4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1880</w:t>
                  </w:r>
                </w:p>
              </w:tc>
              <w:tc>
                <w:tcPr>
                  <w:tcW w:w="640" w:type="pct"/>
                  <w:noWrap w:val="0"/>
                  <w:vAlign w:val="center"/>
                </w:tcPr>
                <w:p w14:paraId="762CA2A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color w:val="auto"/>
                      <w:sz w:val="21"/>
                      <w:szCs w:val="21"/>
                      <w:highlight w:val="none"/>
                      <w:lang w:val="en-US" w:eastAsia="zh-CN"/>
                    </w:rPr>
                    <w:t>0</w:t>
                  </w:r>
                </w:p>
              </w:tc>
            </w:tr>
            <w:tr w14:paraId="23319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788B96A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7</w:t>
                  </w:r>
                </w:p>
              </w:tc>
              <w:tc>
                <w:tcPr>
                  <w:tcW w:w="1959" w:type="pct"/>
                  <w:noWrap w:val="0"/>
                  <w:vAlign w:val="center"/>
                </w:tcPr>
                <w:p w14:paraId="775BE92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杨梅</w:t>
                  </w:r>
                </w:p>
              </w:tc>
              <w:tc>
                <w:tcPr>
                  <w:tcW w:w="843" w:type="pct"/>
                  <w:noWrap w:val="0"/>
                  <w:vAlign w:val="center"/>
                </w:tcPr>
                <w:p w14:paraId="30B9F36B">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hAnsi="Times New Roman"/>
                      <w:color w:val="auto"/>
                      <w:sz w:val="21"/>
                      <w:szCs w:val="21"/>
                      <w:highlight w:val="none"/>
                      <w:lang w:val="en-US" w:eastAsia="zh-CN"/>
                    </w:rPr>
                  </w:pPr>
                  <w:r>
                    <w:rPr>
                      <w:color w:val="auto"/>
                      <w:szCs w:val="21"/>
                    </w:rPr>
                    <w:t>40</w:t>
                  </w:r>
                </w:p>
              </w:tc>
              <w:tc>
                <w:tcPr>
                  <w:tcW w:w="582" w:type="pct"/>
                  <w:gridSpan w:val="2"/>
                  <w:noWrap w:val="0"/>
                  <w:vAlign w:val="center"/>
                </w:tcPr>
                <w:p w14:paraId="58C806E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1000</w:t>
                  </w:r>
                </w:p>
              </w:tc>
              <w:tc>
                <w:tcPr>
                  <w:tcW w:w="633" w:type="pct"/>
                  <w:noWrap w:val="0"/>
                  <w:vAlign w:val="center"/>
                </w:tcPr>
                <w:p w14:paraId="748A2FA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1000</w:t>
                  </w:r>
                </w:p>
              </w:tc>
              <w:tc>
                <w:tcPr>
                  <w:tcW w:w="640" w:type="pct"/>
                  <w:noWrap w:val="0"/>
                  <w:vAlign w:val="center"/>
                </w:tcPr>
                <w:p w14:paraId="3273937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color w:val="auto"/>
                      <w:sz w:val="21"/>
                      <w:szCs w:val="21"/>
                      <w:highlight w:val="none"/>
                      <w:lang w:val="en-US" w:eastAsia="zh-CN"/>
                    </w:rPr>
                    <w:t>0</w:t>
                  </w:r>
                </w:p>
              </w:tc>
            </w:tr>
            <w:tr w14:paraId="49D6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574B324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8</w:t>
                  </w:r>
                </w:p>
              </w:tc>
              <w:tc>
                <w:tcPr>
                  <w:tcW w:w="1959" w:type="pct"/>
                  <w:noWrap w:val="0"/>
                  <w:vAlign w:val="center"/>
                </w:tcPr>
                <w:p w14:paraId="545E716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其它水果</w:t>
                  </w:r>
                </w:p>
              </w:tc>
              <w:tc>
                <w:tcPr>
                  <w:tcW w:w="843" w:type="pct"/>
                  <w:noWrap w:val="0"/>
                  <w:vAlign w:val="center"/>
                </w:tcPr>
                <w:p w14:paraId="47ACD104">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hAnsi="Times New Roman"/>
                      <w:color w:val="auto"/>
                      <w:sz w:val="21"/>
                      <w:szCs w:val="21"/>
                      <w:highlight w:val="none"/>
                      <w:lang w:val="en-US" w:eastAsia="zh-CN"/>
                    </w:rPr>
                  </w:pPr>
                  <w:r>
                    <w:rPr>
                      <w:color w:val="auto"/>
                      <w:szCs w:val="21"/>
                    </w:rPr>
                    <w:t>60</w:t>
                  </w:r>
                </w:p>
              </w:tc>
              <w:tc>
                <w:tcPr>
                  <w:tcW w:w="582" w:type="pct"/>
                  <w:gridSpan w:val="2"/>
                  <w:noWrap w:val="0"/>
                  <w:vAlign w:val="center"/>
                </w:tcPr>
                <w:p w14:paraId="7BCDCBB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3290</w:t>
                  </w:r>
                </w:p>
              </w:tc>
              <w:tc>
                <w:tcPr>
                  <w:tcW w:w="633" w:type="pct"/>
                  <w:noWrap w:val="0"/>
                  <w:vAlign w:val="center"/>
                </w:tcPr>
                <w:p w14:paraId="5402B93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3290</w:t>
                  </w:r>
                </w:p>
              </w:tc>
              <w:tc>
                <w:tcPr>
                  <w:tcW w:w="640" w:type="pct"/>
                  <w:noWrap w:val="0"/>
                  <w:vAlign w:val="center"/>
                </w:tcPr>
                <w:p w14:paraId="29CEED8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color w:val="auto"/>
                      <w:sz w:val="21"/>
                      <w:szCs w:val="21"/>
                      <w:highlight w:val="none"/>
                      <w:lang w:val="en-US" w:eastAsia="zh-CN"/>
                    </w:rPr>
                    <w:t>0</w:t>
                  </w:r>
                </w:p>
              </w:tc>
            </w:tr>
            <w:tr w14:paraId="7074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14F21D2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二</w:t>
                  </w:r>
                </w:p>
              </w:tc>
              <w:tc>
                <w:tcPr>
                  <w:tcW w:w="4659" w:type="pct"/>
                  <w:gridSpan w:val="6"/>
                  <w:noWrap w:val="0"/>
                  <w:vAlign w:val="center"/>
                </w:tcPr>
                <w:p w14:paraId="2A991410">
                  <w:pPr>
                    <w:keepNext w:val="0"/>
                    <w:keepLines w:val="0"/>
                    <w:pageBreakBefore w:val="0"/>
                    <w:widowControl w:val="0"/>
                    <w:tabs>
                      <w:tab w:val="left" w:pos="3015"/>
                    </w:tabs>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辅料</w:t>
                  </w:r>
                </w:p>
              </w:tc>
            </w:tr>
            <w:tr w14:paraId="4C77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340" w:type="pct"/>
                  <w:noWrap w:val="0"/>
                  <w:vAlign w:val="center"/>
                </w:tcPr>
                <w:p w14:paraId="6C960AB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w:t>
                  </w:r>
                </w:p>
              </w:tc>
              <w:tc>
                <w:tcPr>
                  <w:tcW w:w="1959" w:type="pct"/>
                  <w:noWrap w:val="0"/>
                  <w:vAlign w:val="center"/>
                </w:tcPr>
                <w:p w14:paraId="0EF4DDC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制冷剂R507</w:t>
                  </w:r>
                </w:p>
              </w:tc>
              <w:tc>
                <w:tcPr>
                  <w:tcW w:w="843" w:type="pct"/>
                  <w:noWrap w:val="0"/>
                  <w:vAlign w:val="center"/>
                </w:tcPr>
                <w:p w14:paraId="102E7FB9">
                  <w:pPr>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color w:val="auto"/>
                      <w:sz w:val="21"/>
                      <w:szCs w:val="21"/>
                      <w:highlight w:val="none"/>
                    </w:rPr>
                  </w:pPr>
                  <w:r>
                    <w:rPr>
                      <w:color w:val="auto"/>
                      <w:szCs w:val="21"/>
                    </w:rPr>
                    <w:t>/</w:t>
                  </w:r>
                </w:p>
              </w:tc>
              <w:tc>
                <w:tcPr>
                  <w:tcW w:w="582" w:type="pct"/>
                  <w:gridSpan w:val="2"/>
                  <w:noWrap w:val="0"/>
                  <w:vAlign w:val="center"/>
                </w:tcPr>
                <w:p w14:paraId="06D0ED9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一次加注800公斤</w:t>
                  </w:r>
                </w:p>
              </w:tc>
              <w:tc>
                <w:tcPr>
                  <w:tcW w:w="633" w:type="pct"/>
                  <w:noWrap w:val="0"/>
                  <w:vAlign w:val="center"/>
                </w:tcPr>
                <w:p w14:paraId="294BCDB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一次加注800公斤</w:t>
                  </w:r>
                </w:p>
              </w:tc>
              <w:tc>
                <w:tcPr>
                  <w:tcW w:w="640" w:type="pct"/>
                  <w:noWrap w:val="0"/>
                  <w:vAlign w:val="center"/>
                </w:tcPr>
                <w:p w14:paraId="7117050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color w:val="auto"/>
                      <w:sz w:val="21"/>
                      <w:szCs w:val="21"/>
                      <w:highlight w:val="none"/>
                      <w:lang w:val="en-US" w:eastAsia="zh-CN"/>
                    </w:rPr>
                    <w:t>0</w:t>
                  </w:r>
                </w:p>
              </w:tc>
            </w:tr>
            <w:tr w14:paraId="48087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 w:type="pct"/>
                  <w:noWrap w:val="0"/>
                  <w:vAlign w:val="center"/>
                </w:tcPr>
                <w:p w14:paraId="4A60B4C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w:t>
                  </w:r>
                </w:p>
              </w:tc>
              <w:tc>
                <w:tcPr>
                  <w:tcW w:w="1959" w:type="pct"/>
                  <w:noWrap w:val="0"/>
                  <w:vAlign w:val="center"/>
                </w:tcPr>
                <w:p w14:paraId="639FDD0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碱性剂（2%的NaOH）</w:t>
                  </w:r>
                </w:p>
              </w:tc>
              <w:tc>
                <w:tcPr>
                  <w:tcW w:w="843" w:type="pct"/>
                  <w:noWrap w:val="0"/>
                  <w:vAlign w:val="center"/>
                </w:tcPr>
                <w:p w14:paraId="1326DF82">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hAnsi="Times New Roman" w:eastAsia="宋体"/>
                      <w:color w:val="auto"/>
                      <w:sz w:val="21"/>
                      <w:szCs w:val="21"/>
                      <w:highlight w:val="none"/>
                      <w:lang w:val="en-US" w:eastAsia="zh-CN"/>
                    </w:rPr>
                  </w:pPr>
                  <w:r>
                    <w:rPr>
                      <w:color w:val="auto"/>
                    </w:rPr>
                    <w:t>500L</w:t>
                  </w:r>
                  <w:r>
                    <w:rPr>
                      <w:rFonts w:hint="eastAsia"/>
                      <w:color w:val="auto"/>
                      <w:lang w:eastAsia="zh-CN"/>
                    </w:rPr>
                    <w:t>，</w:t>
                  </w:r>
                  <w:r>
                    <w:rPr>
                      <w:rFonts w:hint="eastAsia"/>
                      <w:color w:val="auto"/>
                      <w:szCs w:val="21"/>
                      <w:lang w:val="en-US" w:eastAsia="zh-CN"/>
                    </w:rPr>
                    <w:t>置于</w:t>
                  </w:r>
                  <w:r>
                    <w:rPr>
                      <w:rFonts w:hint="eastAsia"/>
                      <w:color w:val="auto"/>
                      <w:szCs w:val="21"/>
                    </w:rPr>
                    <w:t>碱液间</w:t>
                  </w:r>
                </w:p>
              </w:tc>
              <w:tc>
                <w:tcPr>
                  <w:tcW w:w="582" w:type="pct"/>
                  <w:gridSpan w:val="2"/>
                  <w:noWrap w:val="0"/>
                  <w:vAlign w:val="center"/>
                </w:tcPr>
                <w:p w14:paraId="2EA5DBE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10000</w:t>
                  </w:r>
                  <w:r>
                    <w:rPr>
                      <w:rFonts w:ascii="Times New Roman" w:hAnsi="Times New Roman"/>
                      <w:color w:val="auto"/>
                      <w:sz w:val="21"/>
                      <w:szCs w:val="21"/>
                      <w:highlight w:val="none"/>
                    </w:rPr>
                    <w:t>L</w:t>
                  </w:r>
                </w:p>
              </w:tc>
              <w:tc>
                <w:tcPr>
                  <w:tcW w:w="633" w:type="pct"/>
                  <w:noWrap w:val="0"/>
                  <w:vAlign w:val="center"/>
                </w:tcPr>
                <w:p w14:paraId="57592D6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10000</w:t>
                  </w:r>
                  <w:r>
                    <w:rPr>
                      <w:rFonts w:ascii="Times New Roman" w:hAnsi="Times New Roman"/>
                      <w:color w:val="auto"/>
                      <w:sz w:val="21"/>
                      <w:szCs w:val="21"/>
                      <w:highlight w:val="none"/>
                    </w:rPr>
                    <w:t>L</w:t>
                  </w:r>
                </w:p>
              </w:tc>
              <w:tc>
                <w:tcPr>
                  <w:tcW w:w="640" w:type="pct"/>
                  <w:noWrap w:val="0"/>
                  <w:vAlign w:val="center"/>
                </w:tcPr>
                <w:p w14:paraId="525D0A4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color w:val="auto"/>
                      <w:sz w:val="21"/>
                      <w:szCs w:val="21"/>
                      <w:highlight w:val="none"/>
                      <w:lang w:val="en-US" w:eastAsia="zh-CN"/>
                    </w:rPr>
                    <w:t>0</w:t>
                  </w:r>
                </w:p>
              </w:tc>
            </w:tr>
            <w:tr w14:paraId="23FC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 w:type="pct"/>
                  <w:noWrap w:val="0"/>
                  <w:vAlign w:val="center"/>
                </w:tcPr>
                <w:p w14:paraId="0A3586A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w:t>
                  </w:r>
                </w:p>
              </w:tc>
              <w:tc>
                <w:tcPr>
                  <w:tcW w:w="1959" w:type="pct"/>
                  <w:noWrap w:val="0"/>
                  <w:vAlign w:val="center"/>
                </w:tcPr>
                <w:p w14:paraId="2B2D35D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酸性剂清洗液（1%~2%的硝酸溶液）</w:t>
                  </w:r>
                </w:p>
              </w:tc>
              <w:tc>
                <w:tcPr>
                  <w:tcW w:w="843" w:type="pct"/>
                  <w:noWrap w:val="0"/>
                  <w:vAlign w:val="center"/>
                </w:tcPr>
                <w:p w14:paraId="44AB6604">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hAnsi="Times New Roman" w:eastAsia="宋体"/>
                      <w:color w:val="auto"/>
                      <w:sz w:val="21"/>
                      <w:szCs w:val="21"/>
                      <w:highlight w:val="none"/>
                      <w:lang w:eastAsia="zh-CN"/>
                    </w:rPr>
                  </w:pPr>
                  <w:r>
                    <w:rPr>
                      <w:color w:val="auto"/>
                    </w:rPr>
                    <w:t>500L</w:t>
                  </w:r>
                  <w:r>
                    <w:rPr>
                      <w:rFonts w:hint="eastAsia"/>
                      <w:color w:val="auto"/>
                      <w:lang w:eastAsia="zh-CN"/>
                    </w:rPr>
                    <w:t>，</w:t>
                  </w:r>
                  <w:r>
                    <w:rPr>
                      <w:rFonts w:hint="eastAsia"/>
                      <w:color w:val="auto"/>
                      <w:szCs w:val="21"/>
                      <w:lang w:val="en-US" w:eastAsia="zh-CN"/>
                    </w:rPr>
                    <w:t>置于酸</w:t>
                  </w:r>
                  <w:r>
                    <w:rPr>
                      <w:rFonts w:hint="eastAsia"/>
                      <w:color w:val="auto"/>
                      <w:szCs w:val="21"/>
                    </w:rPr>
                    <w:t>液间</w:t>
                  </w:r>
                </w:p>
              </w:tc>
              <w:tc>
                <w:tcPr>
                  <w:tcW w:w="582" w:type="pct"/>
                  <w:gridSpan w:val="2"/>
                  <w:noWrap w:val="0"/>
                  <w:vAlign w:val="center"/>
                </w:tcPr>
                <w:p w14:paraId="750569D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3000L</w:t>
                  </w:r>
                </w:p>
              </w:tc>
              <w:tc>
                <w:tcPr>
                  <w:tcW w:w="633" w:type="pct"/>
                  <w:noWrap w:val="0"/>
                  <w:vAlign w:val="center"/>
                </w:tcPr>
                <w:p w14:paraId="1B9721B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3000L</w:t>
                  </w:r>
                </w:p>
              </w:tc>
              <w:tc>
                <w:tcPr>
                  <w:tcW w:w="640" w:type="pct"/>
                  <w:noWrap w:val="0"/>
                  <w:vAlign w:val="center"/>
                </w:tcPr>
                <w:p w14:paraId="545CEAD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color w:val="auto"/>
                      <w:sz w:val="21"/>
                      <w:szCs w:val="21"/>
                      <w:highlight w:val="none"/>
                      <w:lang w:val="en-US" w:eastAsia="zh-CN"/>
                    </w:rPr>
                    <w:t>0</w:t>
                  </w:r>
                </w:p>
              </w:tc>
            </w:tr>
            <w:tr w14:paraId="0266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40" w:type="pct"/>
                  <w:noWrap w:val="0"/>
                  <w:vAlign w:val="center"/>
                </w:tcPr>
                <w:p w14:paraId="5AA962A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w:t>
                  </w:r>
                </w:p>
              </w:tc>
              <w:tc>
                <w:tcPr>
                  <w:tcW w:w="1959" w:type="pct"/>
                  <w:noWrap w:val="0"/>
                  <w:vAlign w:val="center"/>
                </w:tcPr>
                <w:p w14:paraId="55F0C2A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eastAsia="zh-CN"/>
                    </w:rPr>
                  </w:pPr>
                  <w:r>
                    <w:rPr>
                      <w:rFonts w:ascii="Times New Roman" w:hAnsi="Times New Roman"/>
                      <w:color w:val="auto"/>
                      <w:sz w:val="21"/>
                      <w:szCs w:val="21"/>
                      <w:highlight w:val="none"/>
                    </w:rPr>
                    <w:t>苏纳米100</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仅用于第三道鼓泡消毒</w:t>
                  </w:r>
                  <w:r>
                    <w:rPr>
                      <w:rFonts w:hint="eastAsia"/>
                      <w:color w:val="auto"/>
                      <w:sz w:val="21"/>
                      <w:szCs w:val="21"/>
                      <w:highlight w:val="none"/>
                      <w:lang w:val="en-US" w:eastAsia="zh-CN"/>
                    </w:rPr>
                    <w:t>）</w:t>
                  </w:r>
                </w:p>
              </w:tc>
              <w:tc>
                <w:tcPr>
                  <w:tcW w:w="843" w:type="pct"/>
                  <w:noWrap w:val="0"/>
                  <w:vAlign w:val="center"/>
                </w:tcPr>
                <w:p w14:paraId="27F21CF5">
                  <w:pPr>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color w:val="auto"/>
                      <w:sz w:val="21"/>
                      <w:szCs w:val="21"/>
                      <w:highlight w:val="none"/>
                    </w:rPr>
                  </w:pPr>
                  <w:r>
                    <w:rPr>
                      <w:color w:val="auto"/>
                    </w:rPr>
                    <w:t>0.3</w:t>
                  </w:r>
                </w:p>
              </w:tc>
              <w:tc>
                <w:tcPr>
                  <w:tcW w:w="582" w:type="pct"/>
                  <w:gridSpan w:val="2"/>
                  <w:noWrap w:val="0"/>
                  <w:vAlign w:val="center"/>
                </w:tcPr>
                <w:p w14:paraId="7576297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633" w:type="pct"/>
                  <w:noWrap w:val="0"/>
                  <w:vAlign w:val="center"/>
                </w:tcPr>
                <w:p w14:paraId="5010037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640" w:type="pct"/>
                  <w:noWrap w:val="0"/>
                  <w:vAlign w:val="center"/>
                </w:tcPr>
                <w:p w14:paraId="67B3045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color w:val="auto"/>
                      <w:sz w:val="21"/>
                      <w:szCs w:val="21"/>
                      <w:highlight w:val="none"/>
                      <w:lang w:val="en-US" w:eastAsia="zh-CN"/>
                    </w:rPr>
                    <w:t>0</w:t>
                  </w:r>
                </w:p>
              </w:tc>
            </w:tr>
            <w:tr w14:paraId="5FD0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1822959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5</w:t>
                  </w:r>
                </w:p>
              </w:tc>
              <w:tc>
                <w:tcPr>
                  <w:tcW w:w="1959" w:type="pct"/>
                  <w:noWrap w:val="0"/>
                  <w:vAlign w:val="center"/>
                </w:tcPr>
                <w:p w14:paraId="7985D09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内包装材料（尼龙袋）</w:t>
                  </w:r>
                </w:p>
              </w:tc>
              <w:tc>
                <w:tcPr>
                  <w:tcW w:w="843" w:type="pct"/>
                  <w:noWrap w:val="0"/>
                  <w:vAlign w:val="center"/>
                </w:tcPr>
                <w:p w14:paraId="66620894">
                  <w:pPr>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color w:val="auto"/>
                      <w:sz w:val="21"/>
                      <w:szCs w:val="21"/>
                      <w:highlight w:val="none"/>
                    </w:rPr>
                  </w:pPr>
                  <w:r>
                    <w:rPr>
                      <w:color w:val="auto"/>
                      <w:szCs w:val="21"/>
                    </w:rPr>
                    <w:t>10万个</w:t>
                  </w:r>
                </w:p>
              </w:tc>
              <w:tc>
                <w:tcPr>
                  <w:tcW w:w="582" w:type="pct"/>
                  <w:gridSpan w:val="2"/>
                  <w:noWrap w:val="0"/>
                  <w:vAlign w:val="center"/>
                </w:tcPr>
                <w:p w14:paraId="75C6806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40万个</w:t>
                  </w:r>
                </w:p>
              </w:tc>
              <w:tc>
                <w:tcPr>
                  <w:tcW w:w="633" w:type="pct"/>
                  <w:noWrap w:val="0"/>
                  <w:vAlign w:val="center"/>
                </w:tcPr>
                <w:p w14:paraId="0009C82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40万个</w:t>
                  </w:r>
                </w:p>
              </w:tc>
              <w:tc>
                <w:tcPr>
                  <w:tcW w:w="640" w:type="pct"/>
                  <w:noWrap w:val="0"/>
                  <w:vAlign w:val="center"/>
                </w:tcPr>
                <w:p w14:paraId="6DC1008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color w:val="auto"/>
                      <w:sz w:val="21"/>
                      <w:szCs w:val="21"/>
                      <w:highlight w:val="none"/>
                      <w:lang w:val="en-US" w:eastAsia="zh-CN"/>
                    </w:rPr>
                    <w:t>0</w:t>
                  </w:r>
                </w:p>
              </w:tc>
            </w:tr>
            <w:tr w14:paraId="5614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1FD2A13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6</w:t>
                  </w:r>
                </w:p>
              </w:tc>
              <w:tc>
                <w:tcPr>
                  <w:tcW w:w="1959" w:type="pct"/>
                  <w:noWrap w:val="0"/>
                  <w:vAlign w:val="center"/>
                </w:tcPr>
                <w:p w14:paraId="66EB88B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外包装材料（塑料框）</w:t>
                  </w:r>
                </w:p>
              </w:tc>
              <w:tc>
                <w:tcPr>
                  <w:tcW w:w="843" w:type="pct"/>
                  <w:noWrap w:val="0"/>
                  <w:vAlign w:val="center"/>
                </w:tcPr>
                <w:p w14:paraId="0C3EA4AB">
                  <w:pPr>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color w:val="auto"/>
                      <w:sz w:val="21"/>
                      <w:szCs w:val="21"/>
                      <w:highlight w:val="none"/>
                    </w:rPr>
                  </w:pPr>
                  <w:r>
                    <w:rPr>
                      <w:color w:val="auto"/>
                      <w:szCs w:val="21"/>
                    </w:rPr>
                    <w:t>1万个</w:t>
                  </w:r>
                </w:p>
              </w:tc>
              <w:tc>
                <w:tcPr>
                  <w:tcW w:w="582" w:type="pct"/>
                  <w:gridSpan w:val="2"/>
                  <w:noWrap w:val="0"/>
                  <w:vAlign w:val="center"/>
                </w:tcPr>
                <w:p w14:paraId="7C66DC2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40万个</w:t>
                  </w:r>
                </w:p>
              </w:tc>
              <w:tc>
                <w:tcPr>
                  <w:tcW w:w="633" w:type="pct"/>
                  <w:noWrap w:val="0"/>
                  <w:vAlign w:val="center"/>
                </w:tcPr>
                <w:p w14:paraId="265830A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40万个</w:t>
                  </w:r>
                </w:p>
              </w:tc>
              <w:tc>
                <w:tcPr>
                  <w:tcW w:w="640" w:type="pct"/>
                  <w:noWrap w:val="0"/>
                  <w:vAlign w:val="center"/>
                </w:tcPr>
                <w:p w14:paraId="53AACD8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color w:val="auto"/>
                      <w:sz w:val="21"/>
                      <w:szCs w:val="21"/>
                      <w:highlight w:val="none"/>
                      <w:lang w:val="en-US" w:eastAsia="zh-CN"/>
                    </w:rPr>
                    <w:t>0</w:t>
                  </w:r>
                </w:p>
              </w:tc>
            </w:tr>
            <w:tr w14:paraId="6196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06677D5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7</w:t>
                  </w:r>
                </w:p>
              </w:tc>
              <w:tc>
                <w:tcPr>
                  <w:tcW w:w="1959" w:type="pct"/>
                  <w:noWrap w:val="0"/>
                  <w:vAlign w:val="center"/>
                </w:tcPr>
                <w:p w14:paraId="62E8B66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过氧乙酸</w:t>
                  </w:r>
                </w:p>
              </w:tc>
              <w:tc>
                <w:tcPr>
                  <w:tcW w:w="843" w:type="pct"/>
                  <w:noWrap w:val="0"/>
                  <w:vAlign w:val="center"/>
                </w:tcPr>
                <w:p w14:paraId="57C8A31C">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hAnsi="Times New Roman"/>
                      <w:color w:val="auto"/>
                      <w:sz w:val="21"/>
                      <w:szCs w:val="21"/>
                      <w:highlight w:val="none"/>
                      <w:lang w:val="en-US" w:eastAsia="zh-CN"/>
                    </w:rPr>
                  </w:pPr>
                  <w:r>
                    <w:rPr>
                      <w:color w:val="auto"/>
                    </w:rPr>
                    <w:t>0.3</w:t>
                  </w:r>
                </w:p>
              </w:tc>
              <w:tc>
                <w:tcPr>
                  <w:tcW w:w="582" w:type="pct"/>
                  <w:gridSpan w:val="2"/>
                  <w:noWrap w:val="0"/>
                  <w:vAlign w:val="center"/>
                </w:tcPr>
                <w:p w14:paraId="5F26102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3000</w:t>
                  </w:r>
                  <w:r>
                    <w:rPr>
                      <w:rFonts w:ascii="Times New Roman" w:hAnsi="Times New Roman"/>
                      <w:color w:val="auto"/>
                      <w:sz w:val="21"/>
                      <w:szCs w:val="21"/>
                      <w:highlight w:val="none"/>
                    </w:rPr>
                    <w:t>L</w:t>
                  </w:r>
                </w:p>
              </w:tc>
              <w:tc>
                <w:tcPr>
                  <w:tcW w:w="633" w:type="pct"/>
                  <w:noWrap w:val="0"/>
                  <w:vAlign w:val="center"/>
                </w:tcPr>
                <w:p w14:paraId="57EE0BB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3000</w:t>
                  </w:r>
                  <w:r>
                    <w:rPr>
                      <w:rFonts w:ascii="Times New Roman" w:hAnsi="Times New Roman"/>
                      <w:color w:val="auto"/>
                      <w:sz w:val="21"/>
                      <w:szCs w:val="21"/>
                      <w:highlight w:val="none"/>
                    </w:rPr>
                    <w:t>L</w:t>
                  </w:r>
                </w:p>
              </w:tc>
              <w:tc>
                <w:tcPr>
                  <w:tcW w:w="640" w:type="pct"/>
                  <w:noWrap w:val="0"/>
                  <w:vAlign w:val="center"/>
                </w:tcPr>
                <w:p w14:paraId="043BF52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color w:val="auto"/>
                      <w:sz w:val="21"/>
                      <w:szCs w:val="21"/>
                      <w:highlight w:val="none"/>
                      <w:lang w:val="en-US" w:eastAsia="zh-CN"/>
                    </w:rPr>
                    <w:t>0</w:t>
                  </w:r>
                </w:p>
              </w:tc>
            </w:tr>
            <w:tr w14:paraId="701E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3EC3C74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color w:val="auto"/>
                      <w:sz w:val="21"/>
                      <w:szCs w:val="21"/>
                      <w:highlight w:val="none"/>
                      <w:lang w:val="en-US" w:eastAsia="zh-CN"/>
                    </w:rPr>
                    <w:t>8</w:t>
                  </w:r>
                </w:p>
              </w:tc>
              <w:tc>
                <w:tcPr>
                  <w:tcW w:w="1959" w:type="pct"/>
                  <w:noWrap w:val="0"/>
                  <w:vAlign w:val="center"/>
                </w:tcPr>
                <w:p w14:paraId="2000701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color w:val="auto"/>
                      <w:sz w:val="21"/>
                      <w:szCs w:val="21"/>
                      <w:highlight w:val="none"/>
                      <w:lang w:val="en-US" w:eastAsia="zh-CN"/>
                    </w:rPr>
                    <w:t>冷冻油</w:t>
                  </w:r>
                </w:p>
              </w:tc>
              <w:tc>
                <w:tcPr>
                  <w:tcW w:w="843" w:type="pct"/>
                  <w:noWrap w:val="0"/>
                  <w:vAlign w:val="center"/>
                </w:tcPr>
                <w:p w14:paraId="15FE4866">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color w:val="auto"/>
                      <w:lang w:val="en-US" w:eastAsia="zh-CN"/>
                    </w:rPr>
                  </w:pPr>
                  <w:r>
                    <w:rPr>
                      <w:rFonts w:hint="eastAsia"/>
                      <w:color w:val="auto"/>
                      <w:lang w:val="en-US" w:eastAsia="zh-CN"/>
                    </w:rPr>
                    <w:t>0.5t（速冻车间最大在线量）</w:t>
                  </w:r>
                </w:p>
              </w:tc>
              <w:tc>
                <w:tcPr>
                  <w:tcW w:w="582" w:type="pct"/>
                  <w:gridSpan w:val="2"/>
                  <w:noWrap w:val="0"/>
                  <w:vAlign w:val="center"/>
                </w:tcPr>
                <w:p w14:paraId="36C5A69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color w:val="auto"/>
                      <w:sz w:val="21"/>
                      <w:szCs w:val="21"/>
                      <w:highlight w:val="none"/>
                      <w:lang w:val="en-US" w:eastAsia="zh-CN"/>
                    </w:rPr>
                    <w:t>/</w:t>
                  </w:r>
                </w:p>
              </w:tc>
              <w:tc>
                <w:tcPr>
                  <w:tcW w:w="633" w:type="pct"/>
                  <w:noWrap w:val="0"/>
                  <w:vAlign w:val="center"/>
                </w:tcPr>
                <w:p w14:paraId="4210ADE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color w:val="auto"/>
                      <w:sz w:val="21"/>
                      <w:szCs w:val="21"/>
                      <w:highlight w:val="none"/>
                      <w:lang w:val="en-US" w:eastAsia="zh-CN"/>
                    </w:rPr>
                    <w:t>/</w:t>
                  </w:r>
                </w:p>
              </w:tc>
              <w:tc>
                <w:tcPr>
                  <w:tcW w:w="640" w:type="pct"/>
                  <w:noWrap w:val="0"/>
                  <w:vAlign w:val="center"/>
                </w:tcPr>
                <w:p w14:paraId="68CE3B6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r>
            <w:tr w14:paraId="429E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6AE557A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b/>
                      <w:bCs/>
                      <w:color w:val="auto"/>
                      <w:sz w:val="21"/>
                      <w:szCs w:val="21"/>
                      <w:highlight w:val="none"/>
                      <w:lang w:val="en-US" w:eastAsia="zh-CN"/>
                    </w:rPr>
                  </w:pPr>
                  <w:r>
                    <w:rPr>
                      <w:rFonts w:hint="eastAsia"/>
                      <w:b/>
                      <w:bCs/>
                      <w:color w:val="auto"/>
                      <w:sz w:val="21"/>
                      <w:szCs w:val="21"/>
                      <w:highlight w:val="none"/>
                      <w:lang w:val="en-US" w:eastAsia="zh-CN"/>
                    </w:rPr>
                    <w:t>三</w:t>
                  </w:r>
                </w:p>
              </w:tc>
              <w:tc>
                <w:tcPr>
                  <w:tcW w:w="4659" w:type="pct"/>
                  <w:gridSpan w:val="6"/>
                  <w:noWrap w:val="0"/>
                  <w:vAlign w:val="center"/>
                </w:tcPr>
                <w:p w14:paraId="06EB4A1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实验检测</w:t>
                  </w:r>
                </w:p>
              </w:tc>
            </w:tr>
            <w:tr w14:paraId="70E4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3EF2F9A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w:t>
                  </w:r>
                </w:p>
              </w:tc>
              <w:tc>
                <w:tcPr>
                  <w:tcW w:w="1959" w:type="pct"/>
                  <w:noWrap w:val="0"/>
                  <w:vAlign w:val="center"/>
                </w:tcPr>
                <w:p w14:paraId="69025A9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平板计数琼脂培养基</w:t>
                  </w:r>
                </w:p>
              </w:tc>
              <w:tc>
                <w:tcPr>
                  <w:tcW w:w="843" w:type="pct"/>
                  <w:noWrap w:val="0"/>
                  <w:vAlign w:val="center"/>
                </w:tcPr>
                <w:p w14:paraId="1727E1C1">
                  <w:pPr>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color w:val="auto"/>
                      <w:sz w:val="21"/>
                      <w:szCs w:val="21"/>
                      <w:highlight w:val="none"/>
                    </w:rPr>
                  </w:pPr>
                  <w:r>
                    <w:rPr>
                      <w:color w:val="auto"/>
                      <w:szCs w:val="21"/>
                    </w:rPr>
                    <w:t>2kg</w:t>
                  </w:r>
                </w:p>
              </w:tc>
              <w:tc>
                <w:tcPr>
                  <w:tcW w:w="582" w:type="pct"/>
                  <w:gridSpan w:val="2"/>
                  <w:noWrap w:val="0"/>
                  <w:vAlign w:val="center"/>
                </w:tcPr>
                <w:p w14:paraId="4B6CAEA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10kg</w:t>
                  </w:r>
                  <w:r>
                    <w:rPr>
                      <w:rFonts w:hint="eastAsia" w:ascii="Times New Roman" w:hAnsi="Times New Roman"/>
                      <w:color w:val="auto"/>
                      <w:sz w:val="21"/>
                      <w:szCs w:val="21"/>
                      <w:highlight w:val="none"/>
                      <w:lang w:val="en-US" w:eastAsia="zh-CN"/>
                    </w:rPr>
                    <w:t>/a</w:t>
                  </w:r>
                </w:p>
              </w:tc>
              <w:tc>
                <w:tcPr>
                  <w:tcW w:w="633" w:type="pct"/>
                  <w:noWrap w:val="0"/>
                  <w:vAlign w:val="center"/>
                </w:tcPr>
                <w:p w14:paraId="71269D6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ascii="Times New Roman" w:hAnsi="Times New Roman"/>
                      <w:color w:val="auto"/>
                      <w:sz w:val="21"/>
                      <w:szCs w:val="21"/>
                      <w:highlight w:val="none"/>
                    </w:rPr>
                    <w:t>10kg</w:t>
                  </w:r>
                  <w:r>
                    <w:rPr>
                      <w:rFonts w:hint="eastAsia" w:ascii="Times New Roman" w:hAnsi="Times New Roman"/>
                      <w:color w:val="auto"/>
                      <w:sz w:val="21"/>
                      <w:szCs w:val="21"/>
                      <w:highlight w:val="none"/>
                      <w:lang w:val="en-US" w:eastAsia="zh-CN"/>
                    </w:rPr>
                    <w:t>/a</w:t>
                  </w:r>
                </w:p>
              </w:tc>
              <w:tc>
                <w:tcPr>
                  <w:tcW w:w="640" w:type="pct"/>
                  <w:noWrap w:val="0"/>
                  <w:vAlign w:val="center"/>
                </w:tcPr>
                <w:p w14:paraId="1D126C3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color w:val="auto"/>
                      <w:sz w:val="21"/>
                      <w:szCs w:val="21"/>
                      <w:highlight w:val="none"/>
                      <w:lang w:val="en-US" w:eastAsia="zh-CN"/>
                    </w:rPr>
                    <w:t>0</w:t>
                  </w:r>
                </w:p>
              </w:tc>
            </w:tr>
            <w:tr w14:paraId="1DEC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40" w:type="pct"/>
                  <w:noWrap w:val="0"/>
                  <w:vAlign w:val="center"/>
                </w:tcPr>
                <w:p w14:paraId="0A731A9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w:t>
                  </w:r>
                </w:p>
              </w:tc>
              <w:tc>
                <w:tcPr>
                  <w:tcW w:w="1959" w:type="pct"/>
                  <w:noWrap w:val="0"/>
                  <w:vAlign w:val="center"/>
                </w:tcPr>
                <w:p w14:paraId="40E2F35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kern w:val="0"/>
                      <w:sz w:val="21"/>
                      <w:szCs w:val="21"/>
                      <w:highlight w:val="none"/>
                    </w:rPr>
                    <w:t>月桂基硫酸盐胰蛋白胨肉汤</w:t>
                  </w:r>
                </w:p>
              </w:tc>
              <w:tc>
                <w:tcPr>
                  <w:tcW w:w="843" w:type="pct"/>
                  <w:noWrap w:val="0"/>
                  <w:vAlign w:val="center"/>
                </w:tcPr>
                <w:p w14:paraId="798C5886">
                  <w:pPr>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color w:val="auto"/>
                      <w:sz w:val="21"/>
                      <w:szCs w:val="21"/>
                      <w:highlight w:val="none"/>
                    </w:rPr>
                  </w:pPr>
                  <w:r>
                    <w:rPr>
                      <w:color w:val="auto"/>
                      <w:szCs w:val="21"/>
                    </w:rPr>
                    <w:t>0.5kg</w:t>
                  </w:r>
                </w:p>
              </w:tc>
              <w:tc>
                <w:tcPr>
                  <w:tcW w:w="582" w:type="pct"/>
                  <w:gridSpan w:val="2"/>
                  <w:noWrap w:val="0"/>
                  <w:vAlign w:val="center"/>
                </w:tcPr>
                <w:p w14:paraId="70D149E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2kg</w:t>
                  </w:r>
                  <w:r>
                    <w:rPr>
                      <w:rFonts w:hint="eastAsia" w:ascii="Times New Roman" w:hAnsi="Times New Roman"/>
                      <w:color w:val="auto"/>
                      <w:sz w:val="21"/>
                      <w:szCs w:val="21"/>
                      <w:highlight w:val="none"/>
                      <w:lang w:val="en-US" w:eastAsia="zh-CN"/>
                    </w:rPr>
                    <w:t>/a</w:t>
                  </w:r>
                </w:p>
              </w:tc>
              <w:tc>
                <w:tcPr>
                  <w:tcW w:w="633" w:type="pct"/>
                  <w:noWrap w:val="0"/>
                  <w:vAlign w:val="center"/>
                </w:tcPr>
                <w:p w14:paraId="27F8036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2kg</w:t>
                  </w:r>
                  <w:r>
                    <w:rPr>
                      <w:rFonts w:hint="eastAsia" w:ascii="Times New Roman" w:hAnsi="Times New Roman"/>
                      <w:color w:val="auto"/>
                      <w:sz w:val="21"/>
                      <w:szCs w:val="21"/>
                      <w:highlight w:val="none"/>
                      <w:lang w:val="en-US" w:eastAsia="zh-CN"/>
                    </w:rPr>
                    <w:t>/a</w:t>
                  </w:r>
                </w:p>
              </w:tc>
              <w:tc>
                <w:tcPr>
                  <w:tcW w:w="640" w:type="pct"/>
                  <w:noWrap w:val="0"/>
                  <w:vAlign w:val="center"/>
                </w:tcPr>
                <w:p w14:paraId="7E6C934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color w:val="auto"/>
                      <w:sz w:val="21"/>
                      <w:szCs w:val="21"/>
                      <w:highlight w:val="none"/>
                      <w:lang w:val="en-US" w:eastAsia="zh-CN"/>
                    </w:rPr>
                    <w:t>0</w:t>
                  </w:r>
                </w:p>
              </w:tc>
            </w:tr>
            <w:tr w14:paraId="7C1F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40" w:type="pct"/>
                  <w:noWrap w:val="0"/>
                  <w:vAlign w:val="center"/>
                </w:tcPr>
                <w:p w14:paraId="2C1C646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w:t>
                  </w:r>
                </w:p>
              </w:tc>
              <w:tc>
                <w:tcPr>
                  <w:tcW w:w="1959" w:type="pct"/>
                  <w:noWrap w:val="0"/>
                  <w:vAlign w:val="center"/>
                </w:tcPr>
                <w:p w14:paraId="4D15D03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kern w:val="0"/>
                      <w:sz w:val="21"/>
                      <w:szCs w:val="21"/>
                      <w:highlight w:val="none"/>
                    </w:rPr>
                    <w:t>结晶紫中性红胆盐琼脂（VRBA）</w:t>
                  </w:r>
                </w:p>
              </w:tc>
              <w:tc>
                <w:tcPr>
                  <w:tcW w:w="843" w:type="pct"/>
                  <w:noWrap w:val="0"/>
                  <w:vAlign w:val="center"/>
                </w:tcPr>
                <w:p w14:paraId="3CB9F276">
                  <w:pPr>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color w:val="auto"/>
                      <w:sz w:val="21"/>
                      <w:szCs w:val="21"/>
                      <w:highlight w:val="none"/>
                    </w:rPr>
                  </w:pPr>
                  <w:r>
                    <w:rPr>
                      <w:color w:val="auto"/>
                      <w:szCs w:val="21"/>
                    </w:rPr>
                    <w:t>0.5kg</w:t>
                  </w:r>
                </w:p>
              </w:tc>
              <w:tc>
                <w:tcPr>
                  <w:tcW w:w="582" w:type="pct"/>
                  <w:gridSpan w:val="2"/>
                  <w:noWrap w:val="0"/>
                  <w:vAlign w:val="center"/>
                </w:tcPr>
                <w:p w14:paraId="41BBCEF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2kg</w:t>
                  </w:r>
                  <w:r>
                    <w:rPr>
                      <w:rFonts w:hint="eastAsia" w:ascii="Times New Roman" w:hAnsi="Times New Roman"/>
                      <w:color w:val="auto"/>
                      <w:sz w:val="21"/>
                      <w:szCs w:val="21"/>
                      <w:highlight w:val="none"/>
                      <w:lang w:val="en-US" w:eastAsia="zh-CN"/>
                    </w:rPr>
                    <w:t>/a</w:t>
                  </w:r>
                </w:p>
              </w:tc>
              <w:tc>
                <w:tcPr>
                  <w:tcW w:w="633" w:type="pct"/>
                  <w:noWrap w:val="0"/>
                  <w:vAlign w:val="center"/>
                </w:tcPr>
                <w:p w14:paraId="3C98478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2kg</w:t>
                  </w:r>
                  <w:r>
                    <w:rPr>
                      <w:rFonts w:hint="eastAsia" w:ascii="Times New Roman" w:hAnsi="Times New Roman"/>
                      <w:color w:val="auto"/>
                      <w:sz w:val="21"/>
                      <w:szCs w:val="21"/>
                      <w:highlight w:val="none"/>
                      <w:lang w:val="en-US" w:eastAsia="zh-CN"/>
                    </w:rPr>
                    <w:t>/a</w:t>
                  </w:r>
                </w:p>
              </w:tc>
              <w:tc>
                <w:tcPr>
                  <w:tcW w:w="640" w:type="pct"/>
                  <w:noWrap w:val="0"/>
                  <w:vAlign w:val="center"/>
                </w:tcPr>
                <w:p w14:paraId="6FE533B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color w:val="auto"/>
                      <w:sz w:val="21"/>
                      <w:szCs w:val="21"/>
                      <w:highlight w:val="none"/>
                      <w:lang w:val="en-US" w:eastAsia="zh-CN"/>
                    </w:rPr>
                    <w:t>0</w:t>
                  </w:r>
                </w:p>
              </w:tc>
            </w:tr>
            <w:tr w14:paraId="3FD9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340" w:type="pct"/>
                  <w:noWrap w:val="0"/>
                  <w:vAlign w:val="center"/>
                </w:tcPr>
                <w:p w14:paraId="352DDB1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w:t>
                  </w:r>
                </w:p>
              </w:tc>
              <w:tc>
                <w:tcPr>
                  <w:tcW w:w="1959" w:type="pct"/>
                  <w:noWrap w:val="0"/>
                  <w:vAlign w:val="center"/>
                </w:tcPr>
                <w:p w14:paraId="2532E1E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kern w:val="0"/>
                      <w:sz w:val="21"/>
                      <w:szCs w:val="21"/>
                      <w:highlight w:val="none"/>
                    </w:rPr>
                    <w:t>煌绿乳糖胆盐肉汤培养基(BGLB)</w:t>
                  </w:r>
                </w:p>
              </w:tc>
              <w:tc>
                <w:tcPr>
                  <w:tcW w:w="843" w:type="pct"/>
                  <w:noWrap w:val="0"/>
                  <w:vAlign w:val="center"/>
                </w:tcPr>
                <w:p w14:paraId="4D67AAB5">
                  <w:pPr>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color w:val="auto"/>
                      <w:sz w:val="21"/>
                      <w:szCs w:val="21"/>
                      <w:highlight w:val="none"/>
                    </w:rPr>
                  </w:pPr>
                  <w:r>
                    <w:rPr>
                      <w:color w:val="auto"/>
                      <w:szCs w:val="21"/>
                    </w:rPr>
                    <w:t>0.5kg</w:t>
                  </w:r>
                </w:p>
              </w:tc>
              <w:tc>
                <w:tcPr>
                  <w:tcW w:w="582" w:type="pct"/>
                  <w:gridSpan w:val="2"/>
                  <w:noWrap w:val="0"/>
                  <w:vAlign w:val="center"/>
                </w:tcPr>
                <w:p w14:paraId="239BE9F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2kg</w:t>
                  </w:r>
                  <w:r>
                    <w:rPr>
                      <w:rFonts w:hint="eastAsia" w:ascii="Times New Roman" w:hAnsi="Times New Roman"/>
                      <w:color w:val="auto"/>
                      <w:sz w:val="21"/>
                      <w:szCs w:val="21"/>
                      <w:highlight w:val="none"/>
                      <w:lang w:val="en-US" w:eastAsia="zh-CN"/>
                    </w:rPr>
                    <w:t>/a</w:t>
                  </w:r>
                </w:p>
              </w:tc>
              <w:tc>
                <w:tcPr>
                  <w:tcW w:w="633" w:type="pct"/>
                  <w:noWrap w:val="0"/>
                  <w:vAlign w:val="center"/>
                </w:tcPr>
                <w:p w14:paraId="113AB1B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2kg</w:t>
                  </w:r>
                  <w:r>
                    <w:rPr>
                      <w:rFonts w:hint="eastAsia" w:ascii="Times New Roman" w:hAnsi="Times New Roman"/>
                      <w:color w:val="auto"/>
                      <w:sz w:val="21"/>
                      <w:szCs w:val="21"/>
                      <w:highlight w:val="none"/>
                      <w:lang w:val="en-US" w:eastAsia="zh-CN"/>
                    </w:rPr>
                    <w:t>/a</w:t>
                  </w:r>
                </w:p>
              </w:tc>
              <w:tc>
                <w:tcPr>
                  <w:tcW w:w="640" w:type="pct"/>
                  <w:noWrap w:val="0"/>
                  <w:vAlign w:val="center"/>
                </w:tcPr>
                <w:p w14:paraId="4F88E9C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color w:val="auto"/>
                      <w:sz w:val="21"/>
                      <w:szCs w:val="21"/>
                      <w:highlight w:val="none"/>
                      <w:lang w:val="en-US" w:eastAsia="zh-CN"/>
                    </w:rPr>
                    <w:t>0</w:t>
                  </w:r>
                </w:p>
              </w:tc>
            </w:tr>
            <w:tr w14:paraId="289F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3E5EADA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5</w:t>
                  </w:r>
                </w:p>
              </w:tc>
              <w:tc>
                <w:tcPr>
                  <w:tcW w:w="1959" w:type="pct"/>
                  <w:noWrap w:val="0"/>
                  <w:vAlign w:val="center"/>
                </w:tcPr>
                <w:p w14:paraId="3DDF89A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马玲薯葡萄糖琼脂</w:t>
                  </w:r>
                </w:p>
              </w:tc>
              <w:tc>
                <w:tcPr>
                  <w:tcW w:w="843" w:type="pct"/>
                  <w:noWrap w:val="0"/>
                  <w:vAlign w:val="center"/>
                </w:tcPr>
                <w:p w14:paraId="46213CCA">
                  <w:pPr>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color w:val="auto"/>
                      <w:sz w:val="21"/>
                      <w:szCs w:val="21"/>
                      <w:highlight w:val="none"/>
                    </w:rPr>
                  </w:pPr>
                  <w:r>
                    <w:rPr>
                      <w:color w:val="auto"/>
                      <w:szCs w:val="21"/>
                    </w:rPr>
                    <w:t>1kg</w:t>
                  </w:r>
                </w:p>
              </w:tc>
              <w:tc>
                <w:tcPr>
                  <w:tcW w:w="582" w:type="pct"/>
                  <w:gridSpan w:val="2"/>
                  <w:noWrap w:val="0"/>
                  <w:vAlign w:val="center"/>
                </w:tcPr>
                <w:p w14:paraId="4DA4ECA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5kg</w:t>
                  </w:r>
                  <w:r>
                    <w:rPr>
                      <w:rFonts w:hint="eastAsia" w:ascii="Times New Roman" w:hAnsi="Times New Roman"/>
                      <w:color w:val="auto"/>
                      <w:sz w:val="21"/>
                      <w:szCs w:val="21"/>
                      <w:highlight w:val="none"/>
                      <w:lang w:val="en-US" w:eastAsia="zh-CN"/>
                    </w:rPr>
                    <w:t>/a</w:t>
                  </w:r>
                </w:p>
              </w:tc>
              <w:tc>
                <w:tcPr>
                  <w:tcW w:w="633" w:type="pct"/>
                  <w:noWrap w:val="0"/>
                  <w:vAlign w:val="center"/>
                </w:tcPr>
                <w:p w14:paraId="3ABEC36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5kg</w:t>
                  </w:r>
                  <w:r>
                    <w:rPr>
                      <w:rFonts w:hint="eastAsia" w:ascii="Times New Roman" w:hAnsi="Times New Roman"/>
                      <w:color w:val="auto"/>
                      <w:sz w:val="21"/>
                      <w:szCs w:val="21"/>
                      <w:highlight w:val="none"/>
                      <w:lang w:val="en-US" w:eastAsia="zh-CN"/>
                    </w:rPr>
                    <w:t>/a</w:t>
                  </w:r>
                </w:p>
              </w:tc>
              <w:tc>
                <w:tcPr>
                  <w:tcW w:w="640" w:type="pct"/>
                  <w:noWrap w:val="0"/>
                  <w:vAlign w:val="center"/>
                </w:tcPr>
                <w:p w14:paraId="6E92EF7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color w:val="auto"/>
                      <w:sz w:val="21"/>
                      <w:szCs w:val="21"/>
                      <w:highlight w:val="none"/>
                      <w:lang w:val="en-US" w:eastAsia="zh-CN"/>
                    </w:rPr>
                    <w:t>0</w:t>
                  </w:r>
                </w:p>
              </w:tc>
            </w:tr>
            <w:tr w14:paraId="41B4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0985D27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6</w:t>
                  </w:r>
                </w:p>
              </w:tc>
              <w:tc>
                <w:tcPr>
                  <w:tcW w:w="1959" w:type="pct"/>
                  <w:noWrap w:val="0"/>
                  <w:vAlign w:val="center"/>
                </w:tcPr>
                <w:p w14:paraId="4A00479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孟加拉红</w:t>
                  </w:r>
                </w:p>
              </w:tc>
              <w:tc>
                <w:tcPr>
                  <w:tcW w:w="843" w:type="pct"/>
                  <w:noWrap w:val="0"/>
                  <w:vAlign w:val="center"/>
                </w:tcPr>
                <w:p w14:paraId="728F44B4">
                  <w:pPr>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color w:val="auto"/>
                      <w:sz w:val="21"/>
                      <w:szCs w:val="21"/>
                      <w:highlight w:val="none"/>
                    </w:rPr>
                  </w:pPr>
                  <w:r>
                    <w:rPr>
                      <w:color w:val="auto"/>
                      <w:szCs w:val="21"/>
                    </w:rPr>
                    <w:t>1kg</w:t>
                  </w:r>
                </w:p>
              </w:tc>
              <w:tc>
                <w:tcPr>
                  <w:tcW w:w="582" w:type="pct"/>
                  <w:gridSpan w:val="2"/>
                  <w:noWrap w:val="0"/>
                  <w:vAlign w:val="center"/>
                </w:tcPr>
                <w:p w14:paraId="4434A22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5kg</w:t>
                  </w:r>
                  <w:r>
                    <w:rPr>
                      <w:rFonts w:hint="eastAsia" w:ascii="Times New Roman" w:hAnsi="Times New Roman"/>
                      <w:color w:val="auto"/>
                      <w:sz w:val="21"/>
                      <w:szCs w:val="21"/>
                      <w:highlight w:val="none"/>
                      <w:lang w:val="en-US" w:eastAsia="zh-CN"/>
                    </w:rPr>
                    <w:t>/a</w:t>
                  </w:r>
                </w:p>
              </w:tc>
              <w:tc>
                <w:tcPr>
                  <w:tcW w:w="633" w:type="pct"/>
                  <w:noWrap w:val="0"/>
                  <w:vAlign w:val="center"/>
                </w:tcPr>
                <w:p w14:paraId="0CC8F3F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5kg</w:t>
                  </w:r>
                  <w:r>
                    <w:rPr>
                      <w:rFonts w:hint="eastAsia" w:ascii="Times New Roman" w:hAnsi="Times New Roman"/>
                      <w:color w:val="auto"/>
                      <w:sz w:val="21"/>
                      <w:szCs w:val="21"/>
                      <w:highlight w:val="none"/>
                      <w:lang w:val="en-US" w:eastAsia="zh-CN"/>
                    </w:rPr>
                    <w:t>/a</w:t>
                  </w:r>
                </w:p>
              </w:tc>
              <w:tc>
                <w:tcPr>
                  <w:tcW w:w="640" w:type="pct"/>
                  <w:noWrap w:val="0"/>
                  <w:vAlign w:val="center"/>
                </w:tcPr>
                <w:p w14:paraId="79F6FB4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color w:val="auto"/>
                      <w:sz w:val="21"/>
                      <w:szCs w:val="21"/>
                      <w:highlight w:val="none"/>
                      <w:lang w:val="en-US" w:eastAsia="zh-CN"/>
                    </w:rPr>
                    <w:t>0</w:t>
                  </w:r>
                </w:p>
              </w:tc>
            </w:tr>
            <w:tr w14:paraId="19A1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39FF139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7</w:t>
                  </w:r>
                </w:p>
              </w:tc>
              <w:tc>
                <w:tcPr>
                  <w:tcW w:w="1959" w:type="pct"/>
                  <w:noWrap w:val="0"/>
                  <w:vAlign w:val="center"/>
                </w:tcPr>
                <w:p w14:paraId="453992A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0.1mol/LNaOH标液</w:t>
                  </w:r>
                </w:p>
              </w:tc>
              <w:tc>
                <w:tcPr>
                  <w:tcW w:w="843" w:type="pct"/>
                  <w:noWrap w:val="0"/>
                  <w:vAlign w:val="center"/>
                </w:tcPr>
                <w:p w14:paraId="1AD939C0">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hAnsi="Times New Roman"/>
                      <w:color w:val="auto"/>
                      <w:sz w:val="21"/>
                      <w:szCs w:val="21"/>
                      <w:highlight w:val="none"/>
                      <w:lang w:val="en-US" w:eastAsia="zh-CN"/>
                    </w:rPr>
                  </w:pPr>
                  <w:r>
                    <w:rPr>
                      <w:rFonts w:hint="eastAsia"/>
                      <w:color w:val="auto"/>
                      <w:szCs w:val="21"/>
                      <w:highlight w:val="none"/>
                      <w:lang w:val="en-US" w:eastAsia="zh-CN"/>
                    </w:rPr>
                    <w:t>5L</w:t>
                  </w:r>
                </w:p>
              </w:tc>
              <w:tc>
                <w:tcPr>
                  <w:tcW w:w="582" w:type="pct"/>
                  <w:gridSpan w:val="2"/>
                  <w:noWrap w:val="0"/>
                  <w:vAlign w:val="center"/>
                </w:tcPr>
                <w:p w14:paraId="528C5B1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20L</w:t>
                  </w:r>
                </w:p>
              </w:tc>
              <w:tc>
                <w:tcPr>
                  <w:tcW w:w="633" w:type="pct"/>
                  <w:noWrap w:val="0"/>
                  <w:vAlign w:val="center"/>
                </w:tcPr>
                <w:p w14:paraId="244D2F6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20L</w:t>
                  </w:r>
                </w:p>
              </w:tc>
              <w:tc>
                <w:tcPr>
                  <w:tcW w:w="640" w:type="pct"/>
                  <w:noWrap w:val="0"/>
                  <w:vAlign w:val="center"/>
                </w:tcPr>
                <w:p w14:paraId="0456E7A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color w:val="auto"/>
                      <w:sz w:val="21"/>
                      <w:szCs w:val="21"/>
                      <w:highlight w:val="none"/>
                      <w:lang w:val="en-US" w:eastAsia="zh-CN"/>
                    </w:rPr>
                    <w:t>0</w:t>
                  </w:r>
                </w:p>
              </w:tc>
            </w:tr>
            <w:tr w14:paraId="03E95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64CE628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8</w:t>
                  </w:r>
                </w:p>
              </w:tc>
              <w:tc>
                <w:tcPr>
                  <w:tcW w:w="1959" w:type="pct"/>
                  <w:noWrap w:val="0"/>
                  <w:vAlign w:val="center"/>
                </w:tcPr>
                <w:p w14:paraId="68B8E05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0.1mol/L盐酸标液</w:t>
                  </w:r>
                </w:p>
              </w:tc>
              <w:tc>
                <w:tcPr>
                  <w:tcW w:w="843" w:type="pct"/>
                  <w:noWrap w:val="0"/>
                  <w:vAlign w:val="center"/>
                </w:tcPr>
                <w:p w14:paraId="042DADFC">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hAnsi="Times New Roman"/>
                      <w:color w:val="auto"/>
                      <w:sz w:val="21"/>
                      <w:szCs w:val="21"/>
                      <w:highlight w:val="none"/>
                      <w:lang w:val="en-US" w:eastAsia="zh-CN"/>
                    </w:rPr>
                  </w:pPr>
                  <w:r>
                    <w:rPr>
                      <w:rFonts w:hint="eastAsia"/>
                      <w:color w:val="auto"/>
                      <w:szCs w:val="21"/>
                      <w:lang w:val="en-US" w:eastAsia="zh-CN"/>
                    </w:rPr>
                    <w:t>2</w:t>
                  </w:r>
                  <w:r>
                    <w:rPr>
                      <w:color w:val="auto"/>
                      <w:szCs w:val="21"/>
                    </w:rPr>
                    <w:t>kg</w:t>
                  </w:r>
                </w:p>
              </w:tc>
              <w:tc>
                <w:tcPr>
                  <w:tcW w:w="582" w:type="pct"/>
                  <w:gridSpan w:val="2"/>
                  <w:noWrap w:val="0"/>
                  <w:vAlign w:val="center"/>
                </w:tcPr>
                <w:p w14:paraId="4D05143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5kg/a</w:t>
                  </w:r>
                </w:p>
              </w:tc>
              <w:tc>
                <w:tcPr>
                  <w:tcW w:w="633" w:type="pct"/>
                  <w:noWrap w:val="0"/>
                  <w:vAlign w:val="center"/>
                </w:tcPr>
                <w:p w14:paraId="7E67D8E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5kg/a</w:t>
                  </w:r>
                </w:p>
              </w:tc>
              <w:tc>
                <w:tcPr>
                  <w:tcW w:w="640" w:type="pct"/>
                  <w:noWrap w:val="0"/>
                  <w:vAlign w:val="center"/>
                </w:tcPr>
                <w:p w14:paraId="27DB440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color w:val="auto"/>
                      <w:sz w:val="21"/>
                      <w:szCs w:val="21"/>
                      <w:highlight w:val="none"/>
                      <w:lang w:val="en-US" w:eastAsia="zh-CN"/>
                    </w:rPr>
                    <w:t>0</w:t>
                  </w:r>
                </w:p>
              </w:tc>
            </w:tr>
            <w:tr w14:paraId="58FF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40" w:type="pct"/>
                  <w:noWrap w:val="0"/>
                  <w:vAlign w:val="center"/>
                </w:tcPr>
                <w:p w14:paraId="18BE83D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四</w:t>
                  </w:r>
                </w:p>
              </w:tc>
              <w:tc>
                <w:tcPr>
                  <w:tcW w:w="4659" w:type="pct"/>
                  <w:gridSpan w:val="6"/>
                  <w:noWrap w:val="0"/>
                  <w:vAlign w:val="center"/>
                </w:tcPr>
                <w:p w14:paraId="33C0E6C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能源消耗</w:t>
                  </w:r>
                </w:p>
              </w:tc>
            </w:tr>
            <w:tr w14:paraId="3D4C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40" w:type="pct"/>
                  <w:noWrap w:val="0"/>
                  <w:vAlign w:val="center"/>
                </w:tcPr>
                <w:p w14:paraId="2A93863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color w:val="auto"/>
                      <w:sz w:val="21"/>
                      <w:szCs w:val="21"/>
                      <w:highlight w:val="none"/>
                      <w:lang w:val="en-US" w:eastAsia="zh-CN"/>
                    </w:rPr>
                    <w:t>1</w:t>
                  </w:r>
                </w:p>
              </w:tc>
              <w:tc>
                <w:tcPr>
                  <w:tcW w:w="1959" w:type="pct"/>
                  <w:noWrap w:val="0"/>
                  <w:vAlign w:val="center"/>
                </w:tcPr>
                <w:p w14:paraId="643EDA0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生物质燃料</w:t>
                  </w:r>
                </w:p>
              </w:tc>
              <w:tc>
                <w:tcPr>
                  <w:tcW w:w="843" w:type="pct"/>
                  <w:noWrap w:val="0"/>
                  <w:vAlign w:val="center"/>
                </w:tcPr>
                <w:p w14:paraId="3D22F9F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color w:val="auto"/>
                      <w:szCs w:val="21"/>
                      <w:highlight w:val="none"/>
                      <w:lang w:val="en-US" w:eastAsia="zh-CN"/>
                    </w:rPr>
                    <w:t>4</w:t>
                  </w:r>
                </w:p>
              </w:tc>
              <w:tc>
                <w:tcPr>
                  <w:tcW w:w="582" w:type="pct"/>
                  <w:gridSpan w:val="2"/>
                  <w:noWrap w:val="0"/>
                  <w:vAlign w:val="center"/>
                </w:tcPr>
                <w:p w14:paraId="638E6B4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150t</w:t>
                  </w:r>
                </w:p>
              </w:tc>
              <w:tc>
                <w:tcPr>
                  <w:tcW w:w="633" w:type="pct"/>
                  <w:shd w:val="clear" w:color="auto" w:fill="auto"/>
                  <w:noWrap w:val="0"/>
                  <w:vAlign w:val="center"/>
                </w:tcPr>
                <w:p w14:paraId="06A085FC">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768</w:t>
                  </w:r>
                </w:p>
              </w:tc>
              <w:tc>
                <w:tcPr>
                  <w:tcW w:w="640" w:type="pct"/>
                  <w:shd w:val="clear" w:color="auto" w:fill="auto"/>
                  <w:noWrap w:val="0"/>
                  <w:vAlign w:val="center"/>
                </w:tcPr>
                <w:p w14:paraId="2E54065E">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+618</w:t>
                  </w:r>
                </w:p>
              </w:tc>
            </w:tr>
          </w:tbl>
          <w:p w14:paraId="7F9BD11C">
            <w:pPr>
              <w:keepNext w:val="0"/>
              <w:keepLines w:val="0"/>
              <w:pageBreakBefore w:val="0"/>
              <w:widowControl w:val="0"/>
              <w:kinsoku/>
              <w:wordWrap/>
              <w:overflowPunct/>
              <w:topLinePunct w:val="0"/>
              <w:autoSpaceDE/>
              <w:autoSpaceDN/>
              <w:bidi w:val="0"/>
              <w:adjustRightInd w:val="0"/>
              <w:snapToGrid w:val="0"/>
              <w:spacing w:before="157" w:beforeLines="50" w:line="276" w:lineRule="auto"/>
              <w:jc w:val="center"/>
              <w:textAlignment w:val="auto"/>
              <w:rPr>
                <w:rFonts w:hint="eastAsia" w:eastAsia="宋体"/>
                <w:b/>
                <w:bCs/>
                <w:color w:val="auto"/>
                <w:szCs w:val="21"/>
                <w:lang w:val="en-US" w:eastAsia="zh-CN"/>
              </w:rPr>
            </w:pPr>
            <w:r>
              <w:rPr>
                <w:rFonts w:hint="eastAsia"/>
                <w:b/>
                <w:bCs/>
                <w:color w:val="auto"/>
                <w:szCs w:val="21"/>
              </w:rPr>
              <w:t>表2-</w:t>
            </w:r>
            <w:r>
              <w:rPr>
                <w:rFonts w:hint="eastAsia"/>
                <w:b/>
                <w:bCs/>
                <w:color w:val="auto"/>
                <w:szCs w:val="21"/>
                <w:lang w:val="en-US" w:eastAsia="zh-CN"/>
              </w:rPr>
              <w:t>6 原辅料</w:t>
            </w:r>
            <w:r>
              <w:rPr>
                <w:rFonts w:hint="eastAsia"/>
                <w:b/>
                <w:bCs/>
                <w:color w:val="auto"/>
                <w:szCs w:val="21"/>
              </w:rPr>
              <w:t>理化性质</w:t>
            </w:r>
            <w:r>
              <w:rPr>
                <w:rFonts w:hint="eastAsia"/>
                <w:b/>
                <w:bCs/>
                <w:color w:val="auto"/>
                <w:szCs w:val="21"/>
                <w:lang w:val="en-US" w:eastAsia="zh-CN"/>
              </w:rPr>
              <w:t>表</w:t>
            </w:r>
          </w:p>
          <w:tbl>
            <w:tblPr>
              <w:tblStyle w:val="23"/>
              <w:tblW w:w="49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2009"/>
              <w:gridCol w:w="4478"/>
            </w:tblGrid>
            <w:tr w14:paraId="0B5A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913" w:type="pct"/>
                </w:tcPr>
                <w:p w14:paraId="3695477E">
                  <w:pPr>
                    <w:pStyle w:val="21"/>
                    <w:keepNext w:val="0"/>
                    <w:keepLines w:val="0"/>
                    <w:pageBreakBefore w:val="0"/>
                    <w:kinsoku/>
                    <w:wordWrap/>
                    <w:overflowPunct/>
                    <w:topLinePunct w:val="0"/>
                    <w:bidi w:val="0"/>
                    <w:spacing w:before="0" w:after="0" w:line="240" w:lineRule="auto"/>
                    <w:ind w:right="0" w:firstLine="0" w:firstLineChars="0"/>
                    <w:jc w:val="center"/>
                    <w:textAlignment w:val="auto"/>
                    <w:rPr>
                      <w:b/>
                      <w:bCs/>
                      <w:color w:val="auto"/>
                      <w:sz w:val="21"/>
                      <w:szCs w:val="21"/>
                    </w:rPr>
                  </w:pPr>
                  <w:r>
                    <w:rPr>
                      <w:rFonts w:hint="eastAsia"/>
                      <w:b/>
                      <w:bCs/>
                      <w:color w:val="auto"/>
                      <w:sz w:val="21"/>
                      <w:szCs w:val="21"/>
                    </w:rPr>
                    <w:t>名称</w:t>
                  </w:r>
                </w:p>
              </w:tc>
              <w:tc>
                <w:tcPr>
                  <w:tcW w:w="1265" w:type="pct"/>
                </w:tcPr>
                <w:p w14:paraId="175399A8">
                  <w:pPr>
                    <w:pStyle w:val="21"/>
                    <w:keepNext w:val="0"/>
                    <w:keepLines w:val="0"/>
                    <w:pageBreakBefore w:val="0"/>
                    <w:kinsoku/>
                    <w:wordWrap/>
                    <w:overflowPunct/>
                    <w:topLinePunct w:val="0"/>
                    <w:bidi w:val="0"/>
                    <w:spacing w:before="0" w:after="0" w:line="240" w:lineRule="auto"/>
                    <w:ind w:right="0" w:firstLine="0" w:firstLineChars="0"/>
                    <w:jc w:val="center"/>
                    <w:textAlignment w:val="auto"/>
                    <w:rPr>
                      <w:b/>
                      <w:bCs/>
                      <w:color w:val="auto"/>
                      <w:sz w:val="21"/>
                      <w:szCs w:val="21"/>
                    </w:rPr>
                  </w:pPr>
                  <w:r>
                    <w:rPr>
                      <w:rFonts w:hint="eastAsia"/>
                      <w:b/>
                      <w:bCs/>
                      <w:color w:val="auto"/>
                      <w:sz w:val="21"/>
                      <w:szCs w:val="21"/>
                    </w:rPr>
                    <w:t>成分</w:t>
                  </w:r>
                </w:p>
              </w:tc>
              <w:tc>
                <w:tcPr>
                  <w:tcW w:w="2820" w:type="pct"/>
                </w:tcPr>
                <w:p w14:paraId="186C4815">
                  <w:pPr>
                    <w:pStyle w:val="21"/>
                    <w:keepNext w:val="0"/>
                    <w:keepLines w:val="0"/>
                    <w:pageBreakBefore w:val="0"/>
                    <w:kinsoku/>
                    <w:wordWrap/>
                    <w:overflowPunct/>
                    <w:topLinePunct w:val="0"/>
                    <w:bidi w:val="0"/>
                    <w:spacing w:before="0" w:after="0" w:line="240" w:lineRule="auto"/>
                    <w:ind w:right="0" w:firstLine="0" w:firstLineChars="0"/>
                    <w:jc w:val="center"/>
                    <w:textAlignment w:val="auto"/>
                    <w:rPr>
                      <w:b/>
                      <w:bCs/>
                      <w:color w:val="auto"/>
                      <w:sz w:val="21"/>
                      <w:szCs w:val="21"/>
                    </w:rPr>
                  </w:pPr>
                  <w:r>
                    <w:rPr>
                      <w:rFonts w:hint="eastAsia"/>
                      <w:b/>
                      <w:bCs/>
                      <w:color w:val="auto"/>
                      <w:sz w:val="21"/>
                      <w:szCs w:val="21"/>
                    </w:rPr>
                    <w:t>性质</w:t>
                  </w:r>
                </w:p>
              </w:tc>
            </w:tr>
            <w:tr w14:paraId="5586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13" w:type="pct"/>
                  <w:vAlign w:val="center"/>
                </w:tcPr>
                <w:p w14:paraId="565E1DF3">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ascii="Times New Roman" w:hAnsi="Times New Roman"/>
                      <w:color w:val="auto"/>
                      <w:kern w:val="2"/>
                      <w:sz w:val="21"/>
                      <w:szCs w:val="21"/>
                    </w:rPr>
                  </w:pPr>
                  <w:r>
                    <w:rPr>
                      <w:rFonts w:ascii="Times New Roman" w:hAnsi="Times New Roman"/>
                      <w:color w:val="auto"/>
                      <w:kern w:val="2"/>
                      <w:sz w:val="21"/>
                      <w:szCs w:val="21"/>
                    </w:rPr>
                    <w:t>制冷剂R507</w:t>
                  </w:r>
                </w:p>
              </w:tc>
              <w:tc>
                <w:tcPr>
                  <w:tcW w:w="1265" w:type="pct"/>
                  <w:vAlign w:val="center"/>
                </w:tcPr>
                <w:p w14:paraId="05CDB9A8">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主要由两种氢氟碳化合物（HFC）组成：‌HFC-125‌（五氟乙烷）和‌HFC-143a‌（三氟丙烷）</w:t>
                  </w:r>
                  <w:r>
                    <w:rPr>
                      <w:rFonts w:hint="eastAsia" w:ascii="Times New Roman" w:hAnsi="Times New Roman"/>
                      <w:color w:val="auto"/>
                      <w:kern w:val="2"/>
                      <w:sz w:val="21"/>
                      <w:szCs w:val="21"/>
                      <w:lang w:eastAsia="zh-CN"/>
                    </w:rPr>
                    <w:t>，</w:t>
                  </w:r>
                  <w:r>
                    <w:rPr>
                      <w:rFonts w:ascii="Times New Roman" w:hAnsi="Times New Roman"/>
                      <w:color w:val="auto"/>
                      <w:kern w:val="2"/>
                      <w:sz w:val="21"/>
                      <w:szCs w:val="21"/>
                    </w:rPr>
                    <w:t>ODP值为零，不含任何破坏臭氧层的物质</w:t>
                  </w:r>
                </w:p>
              </w:tc>
              <w:tc>
                <w:tcPr>
                  <w:tcW w:w="2820" w:type="pct"/>
                  <w:vAlign w:val="center"/>
                </w:tcPr>
                <w:p w14:paraId="6D88EAF9">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其分子量为99，标准的沸点是-46.8℃，临界温度问71℃；R507制冷剂的临界压力是3.7MPa（绝压），临界密度为0.488g/cm</w:t>
                  </w:r>
                  <w:r>
                    <w:rPr>
                      <w:rFonts w:hint="eastAsia" w:ascii="Times New Roman" w:hAnsi="Times New Roman"/>
                      <w:color w:val="auto"/>
                      <w:kern w:val="2"/>
                      <w:sz w:val="21"/>
                      <w:szCs w:val="21"/>
                      <w:vertAlign w:val="superscript"/>
                      <w:lang w:val="en-US" w:eastAsia="zh-CN"/>
                    </w:rPr>
                    <w:t>3</w:t>
                  </w:r>
                  <w:r>
                    <w:rPr>
                      <w:rFonts w:hint="eastAsia" w:ascii="Times New Roman" w:hAnsi="Times New Roman"/>
                      <w:color w:val="auto"/>
                      <w:kern w:val="2"/>
                      <w:sz w:val="21"/>
                      <w:szCs w:val="21"/>
                      <w:lang w:val="en-US" w:eastAsia="zh-CN"/>
                    </w:rPr>
                    <w:t>；</w:t>
                  </w:r>
                </w:p>
                <w:p w14:paraId="05AD2AAA">
                  <w:pPr>
                    <w:pStyle w:val="2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lang w:val="en-US" w:eastAsia="zh-CN"/>
                    </w:rPr>
                    <w:t>它的CAS编号为354-33-6/420-46-2，对于臭氧的破坏潜能在ODP为0，属于</w:t>
                  </w:r>
                  <w:r>
                    <w:rPr>
                      <w:rFonts w:ascii="Times New Roman" w:hAnsi="Times New Roman"/>
                      <w:color w:val="auto"/>
                      <w:kern w:val="2"/>
                      <w:sz w:val="21"/>
                      <w:szCs w:val="21"/>
                      <w:lang w:val="en-US" w:eastAsia="zh-CN"/>
                    </w:rPr>
                    <w:t>环保制冷剂</w:t>
                  </w:r>
                  <w:r>
                    <w:rPr>
                      <w:rFonts w:hint="eastAsia" w:ascii="Times New Roman" w:hAnsi="Times New Roman"/>
                      <w:color w:val="auto"/>
                      <w:kern w:val="2"/>
                      <w:sz w:val="21"/>
                      <w:szCs w:val="21"/>
                      <w:lang w:val="en-US" w:eastAsia="zh-CN"/>
                    </w:rPr>
                    <w:t>，不会影响大气环境</w:t>
                  </w:r>
                </w:p>
              </w:tc>
            </w:tr>
            <w:tr w14:paraId="0C7A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trPr>
              <w:tc>
                <w:tcPr>
                  <w:tcW w:w="913" w:type="pct"/>
                  <w:vAlign w:val="center"/>
                </w:tcPr>
                <w:p w14:paraId="44E4EC5B">
                  <w:pPr>
                    <w:pStyle w:val="21"/>
                    <w:keepNext w:val="0"/>
                    <w:keepLines w:val="0"/>
                    <w:pageBreakBefore w:val="0"/>
                    <w:kinsoku/>
                    <w:wordWrap/>
                    <w:overflowPunct/>
                    <w:topLinePunct w:val="0"/>
                    <w:bidi w:val="0"/>
                    <w:spacing w:before="0" w:after="0" w:line="240" w:lineRule="auto"/>
                    <w:ind w:right="0" w:firstLine="0" w:firstLineChars="0"/>
                    <w:jc w:val="center"/>
                    <w:textAlignment w:val="auto"/>
                    <w:rPr>
                      <w:rFonts w:ascii="Times New Roman" w:hAnsi="Times New Roman"/>
                      <w:color w:val="auto"/>
                      <w:kern w:val="2"/>
                      <w:sz w:val="21"/>
                      <w:szCs w:val="21"/>
                    </w:rPr>
                  </w:pPr>
                  <w:r>
                    <w:rPr>
                      <w:rFonts w:ascii="Times New Roman" w:hAnsi="Times New Roman"/>
                      <w:color w:val="auto"/>
                      <w:kern w:val="2"/>
                      <w:sz w:val="21"/>
                      <w:szCs w:val="21"/>
                    </w:rPr>
                    <w:t>苏纳米100</w:t>
                  </w:r>
                </w:p>
              </w:tc>
              <w:tc>
                <w:tcPr>
                  <w:tcW w:w="1265" w:type="pct"/>
                  <w:vAlign w:val="center"/>
                </w:tcPr>
                <w:p w14:paraId="4E36FF47">
                  <w:pPr>
                    <w:pStyle w:val="21"/>
                    <w:keepNext w:val="0"/>
                    <w:keepLines w:val="0"/>
                    <w:pageBreakBefore w:val="0"/>
                    <w:kinsoku/>
                    <w:wordWrap/>
                    <w:overflowPunct/>
                    <w:topLinePunct w:val="0"/>
                    <w:bidi w:val="0"/>
                    <w:spacing w:before="0" w:after="0" w:line="240" w:lineRule="auto"/>
                    <w:ind w:right="0" w:firstLine="0" w:firstLineChars="0"/>
                    <w:jc w:val="center"/>
                    <w:textAlignment w:val="auto"/>
                    <w:rPr>
                      <w:rFonts w:ascii="Times New Roman" w:hAnsi="Times New Roman"/>
                      <w:color w:val="auto"/>
                      <w:kern w:val="2"/>
                      <w:sz w:val="21"/>
                      <w:szCs w:val="21"/>
                    </w:rPr>
                  </w:pPr>
                  <w:r>
                    <w:rPr>
                      <w:rFonts w:ascii="Times New Roman" w:hAnsi="Times New Roman"/>
                      <w:color w:val="auto"/>
                      <w:kern w:val="2"/>
                      <w:sz w:val="21"/>
                      <w:szCs w:val="21"/>
                    </w:rPr>
                    <w:t>过氧乙酸、过氧化氢、有效氧</w:t>
                  </w:r>
                </w:p>
              </w:tc>
              <w:tc>
                <w:tcPr>
                  <w:tcW w:w="2820" w:type="pct"/>
                  <w:vAlign w:val="center"/>
                </w:tcPr>
                <w:p w14:paraId="02FEB94C">
                  <w:pPr>
                    <w:pStyle w:val="21"/>
                    <w:keepNext w:val="0"/>
                    <w:keepLines w:val="0"/>
                    <w:pageBreakBefore w:val="0"/>
                    <w:kinsoku/>
                    <w:wordWrap/>
                    <w:overflowPunct/>
                    <w:topLinePunct w:val="0"/>
                    <w:bidi w:val="0"/>
                    <w:spacing w:before="0" w:after="0" w:line="240" w:lineRule="auto"/>
                    <w:ind w:right="0" w:firstLine="0" w:firstLineChars="0"/>
                    <w:jc w:val="center"/>
                    <w:textAlignment w:val="auto"/>
                    <w:rPr>
                      <w:rFonts w:ascii="Times New Roman" w:hAnsi="Times New Roman"/>
                      <w:color w:val="auto"/>
                      <w:kern w:val="2"/>
                      <w:sz w:val="21"/>
                      <w:szCs w:val="21"/>
                    </w:rPr>
                  </w:pPr>
                  <w:r>
                    <w:rPr>
                      <w:rFonts w:ascii="Times New Roman" w:hAnsi="Times New Roman"/>
                      <w:color w:val="auto"/>
                      <w:kern w:val="2"/>
                      <w:sz w:val="21"/>
                      <w:szCs w:val="21"/>
                    </w:rPr>
                    <w:t>是一款洁净、安全、高效、广谱的消毒杀菌产品能够杀灭够杀灭芽孢、真菌孢子等高抗性微生物体。高效杀菌；杀菌率&gt;99.999%</w:t>
                  </w:r>
                  <w:r>
                    <w:rPr>
                      <w:rFonts w:hint="eastAsia" w:ascii="Times New Roman" w:hAnsi="Times New Roman"/>
                      <w:color w:val="auto"/>
                      <w:kern w:val="2"/>
                      <w:sz w:val="21"/>
                      <w:szCs w:val="21"/>
                    </w:rPr>
                    <w:t>。</w:t>
                  </w:r>
                  <w:r>
                    <w:rPr>
                      <w:rFonts w:ascii="Times New Roman" w:hAnsi="Times New Roman"/>
                      <w:color w:val="auto"/>
                      <w:kern w:val="2"/>
                      <w:sz w:val="21"/>
                      <w:szCs w:val="21"/>
                    </w:rPr>
                    <w:t> 食品级；没有毒作用完分解为水和氧气，对产品、人体和环境无害。 不产生耐药性；不会出现效用递减，可长期使用。</w:t>
                  </w:r>
                </w:p>
              </w:tc>
            </w:tr>
            <w:tr w14:paraId="7691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913" w:type="pct"/>
                  <w:vAlign w:val="center"/>
                </w:tcPr>
                <w:p w14:paraId="199535ED">
                  <w:pPr>
                    <w:keepNext w:val="0"/>
                    <w:keepLines w:val="0"/>
                    <w:pageBreakBefore w:val="0"/>
                    <w:kinsoku/>
                    <w:wordWrap/>
                    <w:overflowPunct/>
                    <w:topLinePunct w:val="0"/>
                    <w:autoSpaceDE w:val="0"/>
                    <w:autoSpaceDN w:val="0"/>
                    <w:bidi w:val="0"/>
                    <w:adjustRightInd w:val="0"/>
                    <w:spacing w:line="240" w:lineRule="auto"/>
                    <w:ind w:right="0" w:firstLine="0" w:firstLineChars="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碱性剂</w:t>
                  </w:r>
                </w:p>
              </w:tc>
              <w:tc>
                <w:tcPr>
                  <w:tcW w:w="1265" w:type="pct"/>
                  <w:vAlign w:val="center"/>
                </w:tcPr>
                <w:p w14:paraId="165B9CBE">
                  <w:pPr>
                    <w:pStyle w:val="21"/>
                    <w:keepNext w:val="0"/>
                    <w:keepLines w:val="0"/>
                    <w:pageBreakBefore w:val="0"/>
                    <w:kinsoku/>
                    <w:wordWrap/>
                    <w:overflowPunct/>
                    <w:topLinePunct w:val="0"/>
                    <w:bidi w:val="0"/>
                    <w:spacing w:before="0" w:after="0" w:line="240" w:lineRule="auto"/>
                    <w:ind w:right="0" w:firstLine="0" w:firstLineChars="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2%的NaOH</w:t>
                  </w:r>
                </w:p>
              </w:tc>
              <w:tc>
                <w:tcPr>
                  <w:tcW w:w="2820" w:type="pct"/>
                  <w:vAlign w:val="center"/>
                </w:tcPr>
                <w:p w14:paraId="720E29BC">
                  <w:pPr>
                    <w:pStyle w:val="21"/>
                    <w:keepNext w:val="0"/>
                    <w:keepLines w:val="0"/>
                    <w:pageBreakBefore w:val="0"/>
                    <w:kinsoku/>
                    <w:wordWrap/>
                    <w:overflowPunct/>
                    <w:topLinePunct w:val="0"/>
                    <w:bidi w:val="0"/>
                    <w:spacing w:before="0" w:after="0" w:line="240" w:lineRule="auto"/>
                    <w:ind w:right="0" w:firstLine="0" w:firstLineChars="0"/>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是一种低浓度的清洗剂，不会产生较高的腐蚀性。</w:t>
                  </w:r>
                </w:p>
              </w:tc>
            </w:tr>
            <w:tr w14:paraId="026C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913" w:type="pct"/>
                  <w:vAlign w:val="center"/>
                </w:tcPr>
                <w:p w14:paraId="694AB855">
                  <w:pPr>
                    <w:keepNext w:val="0"/>
                    <w:keepLines w:val="0"/>
                    <w:pageBreakBefore w:val="0"/>
                    <w:kinsoku/>
                    <w:wordWrap/>
                    <w:overflowPunct/>
                    <w:topLinePunct w:val="0"/>
                    <w:autoSpaceDE w:val="0"/>
                    <w:autoSpaceDN w:val="0"/>
                    <w:bidi w:val="0"/>
                    <w:adjustRightInd w:val="0"/>
                    <w:spacing w:line="240" w:lineRule="auto"/>
                    <w:ind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酸性剂清洗液</w:t>
                  </w:r>
                </w:p>
              </w:tc>
              <w:tc>
                <w:tcPr>
                  <w:tcW w:w="1265" w:type="pct"/>
                  <w:vAlign w:val="center"/>
                </w:tcPr>
                <w:p w14:paraId="5A3E01C7">
                  <w:pPr>
                    <w:pStyle w:val="21"/>
                    <w:keepNext w:val="0"/>
                    <w:keepLines w:val="0"/>
                    <w:pageBreakBefore w:val="0"/>
                    <w:kinsoku/>
                    <w:wordWrap/>
                    <w:overflowPunct/>
                    <w:topLinePunct w:val="0"/>
                    <w:bidi w:val="0"/>
                    <w:spacing w:before="0" w:after="0" w:line="240" w:lineRule="auto"/>
                    <w:ind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1%~2%的硝酸溶液</w:t>
                  </w:r>
                </w:p>
              </w:tc>
              <w:tc>
                <w:tcPr>
                  <w:tcW w:w="2820" w:type="pct"/>
                  <w:vAlign w:val="center"/>
                </w:tcPr>
                <w:p w14:paraId="2310108E">
                  <w:pPr>
                    <w:pStyle w:val="21"/>
                    <w:keepNext w:val="0"/>
                    <w:keepLines w:val="0"/>
                    <w:pageBreakBefore w:val="0"/>
                    <w:kinsoku/>
                    <w:wordWrap/>
                    <w:overflowPunct/>
                    <w:topLinePunct w:val="0"/>
                    <w:bidi w:val="0"/>
                    <w:spacing w:before="0" w:after="0" w:line="240" w:lineRule="auto"/>
                    <w:ind w:right="0" w:firstLine="0" w:firstLineChars="0"/>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是一种低浓度的清洗剂，不会产生较高的腐蚀性。</w:t>
                  </w:r>
                </w:p>
              </w:tc>
            </w:tr>
          </w:tbl>
          <w:p w14:paraId="59BCFC43">
            <w:pPr>
              <w:pStyle w:val="10"/>
              <w:keepNext w:val="0"/>
              <w:keepLines w:val="0"/>
              <w:pageBreakBefore w:val="0"/>
              <w:widowControl w:val="0"/>
              <w:kinsoku/>
              <w:wordWrap/>
              <w:overflowPunct/>
              <w:topLinePunct w:val="0"/>
              <w:autoSpaceDE/>
              <w:autoSpaceDN/>
              <w:bidi w:val="0"/>
              <w:adjustRightInd/>
              <w:snapToGrid/>
              <w:spacing w:before="0" w:after="0" w:line="360" w:lineRule="auto"/>
              <w:ind w:right="113" w:firstLine="480" w:firstLineChars="200"/>
              <w:jc w:val="left"/>
              <w:textAlignment w:val="auto"/>
              <w:rPr>
                <w:rFonts w:hint="default" w:ascii="Times New Roman" w:hAnsi="Times New Roman" w:cs="Times New Roman"/>
                <w:b/>
                <w:bCs/>
                <w:color w:val="auto"/>
                <w:sz w:val="21"/>
                <w:szCs w:val="21"/>
                <w:lang w:val="en-US" w:eastAsia="zh-CN"/>
              </w:rPr>
            </w:pPr>
            <w:r>
              <w:rPr>
                <w:rFonts w:hint="eastAsia" w:cs="Times New Roman"/>
                <w:b w:val="0"/>
                <w:bCs w:val="0"/>
                <w:color w:val="auto"/>
                <w:sz w:val="24"/>
                <w:szCs w:val="24"/>
                <w:highlight w:val="none"/>
                <w:lang w:val="en-US" w:eastAsia="zh-CN"/>
              </w:rPr>
              <w:t>本次技改项目所用生物质燃料与现有项目一致，</w:t>
            </w:r>
            <w:r>
              <w:rPr>
                <w:rFonts w:hint="eastAsia"/>
                <w:color w:val="auto"/>
                <w:sz w:val="24"/>
                <w:szCs w:val="24"/>
                <w:highlight w:val="none"/>
                <w:lang w:val="en-US" w:eastAsia="zh-CN"/>
              </w:rPr>
              <w:t>置于锅炉房内，为袋装，来源于元江典灿生物科技有限公司</w:t>
            </w:r>
            <w:r>
              <w:rPr>
                <w:rFonts w:hint="eastAsia"/>
                <w:color w:val="auto"/>
                <w:szCs w:val="21"/>
                <w:highlight w:val="none"/>
                <w:lang w:val="en-US" w:eastAsia="zh-CN"/>
              </w:rPr>
              <w:t>，</w:t>
            </w:r>
            <w:r>
              <w:rPr>
                <w:rFonts w:hint="eastAsia" w:cs="Times New Roman"/>
                <w:b w:val="0"/>
                <w:bCs w:val="0"/>
                <w:color w:val="auto"/>
                <w:sz w:val="24"/>
                <w:szCs w:val="24"/>
                <w:highlight w:val="none"/>
                <w:lang w:val="en-US" w:eastAsia="zh-CN"/>
              </w:rPr>
              <w:t>根据生物质燃料成分检测报告（详见附件10），</w:t>
            </w:r>
            <w:r>
              <w:rPr>
                <w:rFonts w:hint="eastAsia" w:cs="Times New Roman"/>
                <w:b w:val="0"/>
                <w:bCs w:val="0"/>
                <w:color w:val="auto"/>
                <w:sz w:val="24"/>
                <w:szCs w:val="24"/>
                <w:lang w:val="en-US" w:eastAsia="zh-CN"/>
              </w:rPr>
              <w:t>生物质燃料的成分详见下表：</w:t>
            </w:r>
          </w:p>
          <w:p w14:paraId="3A83FBFC">
            <w:pPr>
              <w:pStyle w:val="10"/>
              <w:keepNext w:val="0"/>
              <w:keepLines w:val="0"/>
              <w:pageBreakBefore w:val="0"/>
              <w:widowControl w:val="0"/>
              <w:kinsoku/>
              <w:wordWrap/>
              <w:overflowPunct/>
              <w:topLinePunct w:val="0"/>
              <w:autoSpaceDE/>
              <w:autoSpaceDN/>
              <w:bidi w:val="0"/>
              <w:adjustRightInd/>
              <w:snapToGrid/>
              <w:spacing w:before="0" w:after="0" w:line="240" w:lineRule="auto"/>
              <w:ind w:right="113"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w:t>
            </w: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w:t>
            </w:r>
            <w:r>
              <w:rPr>
                <w:rFonts w:hint="eastAsia" w:cs="Times New Roman"/>
                <w:b/>
                <w:bCs/>
                <w:color w:val="auto"/>
                <w:sz w:val="21"/>
                <w:szCs w:val="21"/>
                <w:lang w:val="en-US" w:eastAsia="zh-CN"/>
              </w:rPr>
              <w:t>7</w:t>
            </w:r>
            <w:r>
              <w:rPr>
                <w:rFonts w:hint="default" w:ascii="Times New Roman" w:hAnsi="Times New Roman" w:cs="Times New Roman"/>
                <w:b/>
                <w:bCs/>
                <w:color w:val="auto"/>
                <w:sz w:val="21"/>
                <w:szCs w:val="21"/>
                <w:lang w:val="en-US" w:eastAsia="zh-CN"/>
              </w:rPr>
              <w:t xml:space="preserve">   生物质燃料成分表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2"/>
              <w:gridCol w:w="4025"/>
            </w:tblGrid>
            <w:tr w14:paraId="5B79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2" w:type="dxa"/>
                  <w:noWrap w:val="0"/>
                  <w:vAlign w:val="center"/>
                </w:tcPr>
                <w:p w14:paraId="0F01FC35">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检测项目</w:t>
                  </w:r>
                </w:p>
              </w:tc>
              <w:tc>
                <w:tcPr>
                  <w:tcW w:w="4153" w:type="dxa"/>
                  <w:noWrap w:val="0"/>
                  <w:vAlign w:val="center"/>
                </w:tcPr>
                <w:p w14:paraId="323BAC0C">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检测结果</w:t>
                  </w:r>
                </w:p>
              </w:tc>
            </w:tr>
            <w:tr w14:paraId="0E77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2" w:type="dxa"/>
                  <w:noWrap w:val="0"/>
                  <w:vAlign w:val="center"/>
                </w:tcPr>
                <w:p w14:paraId="32AF8401">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全水分（M</w:t>
                  </w:r>
                  <w:r>
                    <w:rPr>
                      <w:rFonts w:hint="default" w:ascii="Times New Roman" w:hAnsi="Times New Roman" w:cs="Times New Roman"/>
                      <w:b w:val="0"/>
                      <w:bCs w:val="0"/>
                      <w:color w:val="auto"/>
                      <w:sz w:val="21"/>
                      <w:szCs w:val="21"/>
                      <w:vertAlign w:val="subscript"/>
                      <w:lang w:val="en-US" w:eastAsia="zh-CN"/>
                    </w:rPr>
                    <w:t>t</w:t>
                  </w:r>
                  <w:r>
                    <w:rPr>
                      <w:rFonts w:hint="default" w:ascii="Times New Roman" w:hAnsi="Times New Roman" w:cs="Times New Roman"/>
                      <w:b w:val="0"/>
                      <w:bCs w:val="0"/>
                      <w:color w:val="auto"/>
                      <w:sz w:val="21"/>
                      <w:szCs w:val="21"/>
                      <w:vertAlign w:val="baseline"/>
                      <w:lang w:val="en-US" w:eastAsia="zh-CN"/>
                    </w:rPr>
                    <w:t>）</w:t>
                  </w:r>
                </w:p>
              </w:tc>
              <w:tc>
                <w:tcPr>
                  <w:tcW w:w="4153" w:type="dxa"/>
                  <w:noWrap w:val="0"/>
                  <w:vAlign w:val="center"/>
                </w:tcPr>
                <w:p w14:paraId="75E3318C">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6.7%</w:t>
                  </w:r>
                </w:p>
              </w:tc>
            </w:tr>
            <w:tr w14:paraId="329B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2" w:type="dxa"/>
                  <w:noWrap w:val="0"/>
                  <w:vAlign w:val="center"/>
                </w:tcPr>
                <w:p w14:paraId="53523651">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空气干燥基水分（M</w:t>
                  </w:r>
                  <w:r>
                    <w:rPr>
                      <w:rFonts w:hint="default" w:ascii="Times New Roman" w:hAnsi="Times New Roman" w:cs="Times New Roman"/>
                      <w:b w:val="0"/>
                      <w:bCs w:val="0"/>
                      <w:color w:val="auto"/>
                      <w:sz w:val="21"/>
                      <w:szCs w:val="21"/>
                      <w:vertAlign w:val="subscript"/>
                      <w:lang w:val="en-US" w:eastAsia="zh-CN"/>
                    </w:rPr>
                    <w:t>ad</w:t>
                  </w:r>
                  <w:r>
                    <w:rPr>
                      <w:rFonts w:hint="default" w:ascii="Times New Roman" w:hAnsi="Times New Roman" w:cs="Times New Roman"/>
                      <w:b w:val="0"/>
                      <w:bCs w:val="0"/>
                      <w:color w:val="auto"/>
                      <w:sz w:val="21"/>
                      <w:szCs w:val="21"/>
                      <w:vertAlign w:val="baseline"/>
                      <w:lang w:val="en-US" w:eastAsia="zh-CN"/>
                    </w:rPr>
                    <w:t>）</w:t>
                  </w:r>
                </w:p>
              </w:tc>
              <w:tc>
                <w:tcPr>
                  <w:tcW w:w="4153" w:type="dxa"/>
                  <w:noWrap w:val="0"/>
                  <w:vAlign w:val="center"/>
                </w:tcPr>
                <w:p w14:paraId="597737A2">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1.37%</w:t>
                  </w:r>
                </w:p>
              </w:tc>
            </w:tr>
            <w:tr w14:paraId="6752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2" w:type="dxa"/>
                  <w:noWrap w:val="0"/>
                  <w:vAlign w:val="center"/>
                </w:tcPr>
                <w:p w14:paraId="7F7E281C">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干燥基灰分（A</w:t>
                  </w:r>
                  <w:r>
                    <w:rPr>
                      <w:rFonts w:hint="default" w:ascii="Times New Roman" w:hAnsi="Times New Roman" w:cs="Times New Roman"/>
                      <w:b w:val="0"/>
                      <w:bCs w:val="0"/>
                      <w:color w:val="auto"/>
                      <w:sz w:val="21"/>
                      <w:szCs w:val="21"/>
                      <w:vertAlign w:val="subscript"/>
                      <w:lang w:val="en-US" w:eastAsia="zh-CN"/>
                    </w:rPr>
                    <w:t>d</w:t>
                  </w:r>
                  <w:r>
                    <w:rPr>
                      <w:rFonts w:hint="default" w:ascii="Times New Roman" w:hAnsi="Times New Roman" w:cs="Times New Roman"/>
                      <w:b w:val="0"/>
                      <w:bCs w:val="0"/>
                      <w:color w:val="auto"/>
                      <w:sz w:val="21"/>
                      <w:szCs w:val="21"/>
                      <w:vertAlign w:val="baseline"/>
                      <w:lang w:val="en-US" w:eastAsia="zh-CN"/>
                    </w:rPr>
                    <w:t>）</w:t>
                  </w:r>
                </w:p>
              </w:tc>
              <w:tc>
                <w:tcPr>
                  <w:tcW w:w="4153" w:type="dxa"/>
                  <w:noWrap w:val="0"/>
                  <w:vAlign w:val="center"/>
                </w:tcPr>
                <w:p w14:paraId="3EA455F9">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2.57%</w:t>
                  </w:r>
                </w:p>
              </w:tc>
            </w:tr>
            <w:tr w14:paraId="6211A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2" w:type="dxa"/>
                  <w:noWrap w:val="0"/>
                  <w:vAlign w:val="center"/>
                </w:tcPr>
                <w:p w14:paraId="2190C209">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干燥无灰基挥发分（V</w:t>
                  </w:r>
                  <w:r>
                    <w:rPr>
                      <w:rFonts w:hint="default" w:ascii="Times New Roman" w:hAnsi="Times New Roman" w:cs="Times New Roman"/>
                      <w:b w:val="0"/>
                      <w:bCs w:val="0"/>
                      <w:color w:val="auto"/>
                      <w:sz w:val="21"/>
                      <w:szCs w:val="21"/>
                      <w:vertAlign w:val="subscript"/>
                      <w:lang w:val="en-US" w:eastAsia="zh-CN"/>
                    </w:rPr>
                    <w:t>daf</w:t>
                  </w:r>
                  <w:r>
                    <w:rPr>
                      <w:rFonts w:hint="default" w:ascii="Times New Roman" w:hAnsi="Times New Roman" w:cs="Times New Roman"/>
                      <w:b w:val="0"/>
                      <w:bCs w:val="0"/>
                      <w:color w:val="auto"/>
                      <w:sz w:val="21"/>
                      <w:szCs w:val="21"/>
                      <w:vertAlign w:val="baseline"/>
                      <w:lang w:val="en-US" w:eastAsia="zh-CN"/>
                    </w:rPr>
                    <w:t>）</w:t>
                  </w:r>
                </w:p>
              </w:tc>
              <w:tc>
                <w:tcPr>
                  <w:tcW w:w="4153" w:type="dxa"/>
                  <w:noWrap w:val="0"/>
                  <w:vAlign w:val="center"/>
                </w:tcPr>
                <w:p w14:paraId="424AFEE1">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81.56%</w:t>
                  </w:r>
                </w:p>
              </w:tc>
            </w:tr>
            <w:tr w14:paraId="499AB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2" w:type="dxa"/>
                  <w:noWrap w:val="0"/>
                  <w:vAlign w:val="center"/>
                </w:tcPr>
                <w:p w14:paraId="1C47DC1F">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干燥基固定碳（FC</w:t>
                  </w:r>
                  <w:r>
                    <w:rPr>
                      <w:rFonts w:hint="default" w:ascii="Times New Roman" w:hAnsi="Times New Roman" w:cs="Times New Roman"/>
                      <w:b w:val="0"/>
                      <w:bCs w:val="0"/>
                      <w:color w:val="auto"/>
                      <w:sz w:val="21"/>
                      <w:szCs w:val="21"/>
                      <w:vertAlign w:val="subscript"/>
                      <w:lang w:val="en-US" w:eastAsia="zh-CN"/>
                    </w:rPr>
                    <w:t>d</w:t>
                  </w:r>
                  <w:r>
                    <w:rPr>
                      <w:rFonts w:hint="default" w:ascii="Times New Roman" w:hAnsi="Times New Roman" w:cs="Times New Roman"/>
                      <w:b w:val="0"/>
                      <w:bCs w:val="0"/>
                      <w:color w:val="auto"/>
                      <w:sz w:val="21"/>
                      <w:szCs w:val="21"/>
                      <w:vertAlign w:val="baseline"/>
                      <w:lang w:val="en-US" w:eastAsia="zh-CN"/>
                    </w:rPr>
                    <w:t>）</w:t>
                  </w:r>
                </w:p>
              </w:tc>
              <w:tc>
                <w:tcPr>
                  <w:tcW w:w="4153" w:type="dxa"/>
                  <w:noWrap w:val="0"/>
                  <w:vAlign w:val="center"/>
                </w:tcPr>
                <w:p w14:paraId="29192553">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17.97%</w:t>
                  </w:r>
                </w:p>
              </w:tc>
            </w:tr>
            <w:tr w14:paraId="2E55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2" w:type="dxa"/>
                  <w:noWrap w:val="0"/>
                  <w:vAlign w:val="center"/>
                </w:tcPr>
                <w:p w14:paraId="313E6162">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空气干燥基全硫（S</w:t>
                  </w:r>
                  <w:r>
                    <w:rPr>
                      <w:rFonts w:hint="default" w:ascii="Times New Roman" w:hAnsi="Times New Roman" w:cs="Times New Roman"/>
                      <w:b w:val="0"/>
                      <w:bCs w:val="0"/>
                      <w:color w:val="auto"/>
                      <w:sz w:val="21"/>
                      <w:szCs w:val="21"/>
                      <w:vertAlign w:val="subscript"/>
                      <w:lang w:val="en-US" w:eastAsia="zh-CN"/>
                    </w:rPr>
                    <w:t>t,ad</w:t>
                  </w:r>
                  <w:r>
                    <w:rPr>
                      <w:rFonts w:hint="default" w:ascii="Times New Roman" w:hAnsi="Times New Roman" w:cs="Times New Roman"/>
                      <w:b w:val="0"/>
                      <w:bCs w:val="0"/>
                      <w:color w:val="auto"/>
                      <w:sz w:val="21"/>
                      <w:szCs w:val="21"/>
                      <w:vertAlign w:val="baseline"/>
                      <w:lang w:val="en-US" w:eastAsia="zh-CN"/>
                    </w:rPr>
                    <w:t>）</w:t>
                  </w:r>
                </w:p>
              </w:tc>
              <w:tc>
                <w:tcPr>
                  <w:tcW w:w="4153" w:type="dxa"/>
                  <w:noWrap w:val="0"/>
                  <w:vAlign w:val="center"/>
                </w:tcPr>
                <w:p w14:paraId="7D9C6071">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0.03%</w:t>
                  </w:r>
                </w:p>
              </w:tc>
            </w:tr>
            <w:tr w14:paraId="6350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2" w:type="dxa"/>
                  <w:noWrap w:val="0"/>
                  <w:vAlign w:val="center"/>
                </w:tcPr>
                <w:p w14:paraId="7CC54DA4">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空气干燥基弹筒发热量（Q</w:t>
                  </w:r>
                  <w:r>
                    <w:rPr>
                      <w:rFonts w:hint="default" w:ascii="Times New Roman" w:hAnsi="Times New Roman" w:cs="Times New Roman"/>
                      <w:b w:val="0"/>
                      <w:bCs w:val="0"/>
                      <w:color w:val="auto"/>
                      <w:sz w:val="21"/>
                      <w:szCs w:val="21"/>
                      <w:vertAlign w:val="subscript"/>
                      <w:lang w:val="en-US" w:eastAsia="zh-CN"/>
                    </w:rPr>
                    <w:t>b,ad</w:t>
                  </w:r>
                  <w:r>
                    <w:rPr>
                      <w:rFonts w:hint="default" w:ascii="Times New Roman" w:hAnsi="Times New Roman" w:cs="Times New Roman"/>
                      <w:b w:val="0"/>
                      <w:bCs w:val="0"/>
                      <w:color w:val="auto"/>
                      <w:sz w:val="21"/>
                      <w:szCs w:val="21"/>
                      <w:vertAlign w:val="baseline"/>
                      <w:lang w:val="en-US" w:eastAsia="zh-CN"/>
                    </w:rPr>
                    <w:t>）</w:t>
                  </w:r>
                </w:p>
              </w:tc>
              <w:tc>
                <w:tcPr>
                  <w:tcW w:w="4153" w:type="dxa"/>
                  <w:noWrap w:val="0"/>
                  <w:vAlign w:val="center"/>
                </w:tcPr>
                <w:p w14:paraId="4E1FA128">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20.20MJ/kg</w:t>
                  </w:r>
                </w:p>
              </w:tc>
            </w:tr>
            <w:tr w14:paraId="4014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2" w:type="dxa"/>
                  <w:noWrap w:val="0"/>
                  <w:vAlign w:val="center"/>
                </w:tcPr>
                <w:p w14:paraId="3F5D212F">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空气干燥基高位发热量（Q</w:t>
                  </w:r>
                  <w:r>
                    <w:rPr>
                      <w:rFonts w:hint="default" w:ascii="Times New Roman" w:hAnsi="Times New Roman" w:cs="Times New Roman"/>
                      <w:b w:val="0"/>
                      <w:bCs w:val="0"/>
                      <w:color w:val="auto"/>
                      <w:sz w:val="21"/>
                      <w:szCs w:val="21"/>
                      <w:vertAlign w:val="subscript"/>
                      <w:lang w:val="en-US" w:eastAsia="zh-CN"/>
                    </w:rPr>
                    <w:t>gr,ad</w:t>
                  </w:r>
                  <w:r>
                    <w:rPr>
                      <w:rFonts w:hint="default" w:ascii="Times New Roman" w:hAnsi="Times New Roman" w:cs="Times New Roman"/>
                      <w:b w:val="0"/>
                      <w:bCs w:val="0"/>
                      <w:color w:val="auto"/>
                      <w:sz w:val="21"/>
                      <w:szCs w:val="21"/>
                      <w:vertAlign w:val="baseline"/>
                      <w:lang w:val="en-US" w:eastAsia="zh-CN"/>
                    </w:rPr>
                    <w:t>）</w:t>
                  </w:r>
                </w:p>
              </w:tc>
              <w:tc>
                <w:tcPr>
                  <w:tcW w:w="4153" w:type="dxa"/>
                  <w:noWrap w:val="0"/>
                  <w:vAlign w:val="center"/>
                </w:tcPr>
                <w:p w14:paraId="5B2B2335">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20.17MJ/kg</w:t>
                  </w:r>
                </w:p>
              </w:tc>
            </w:tr>
            <w:tr w14:paraId="0D41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2" w:type="dxa"/>
                  <w:noWrap w:val="0"/>
                  <w:vAlign w:val="center"/>
                </w:tcPr>
                <w:p w14:paraId="64DCB463">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收到基恒容低位发热量（Q</w:t>
                  </w:r>
                  <w:r>
                    <w:rPr>
                      <w:rFonts w:hint="default" w:ascii="Times New Roman" w:hAnsi="Times New Roman" w:cs="Times New Roman"/>
                      <w:b w:val="0"/>
                      <w:bCs w:val="0"/>
                      <w:color w:val="auto"/>
                      <w:sz w:val="21"/>
                      <w:szCs w:val="21"/>
                      <w:vertAlign w:val="subscript"/>
                      <w:lang w:val="en-US" w:eastAsia="zh-CN"/>
                    </w:rPr>
                    <w:t>net,v,ar</w:t>
                  </w:r>
                  <w:r>
                    <w:rPr>
                      <w:rFonts w:hint="default" w:ascii="Times New Roman" w:hAnsi="Times New Roman" w:cs="Times New Roman"/>
                      <w:b w:val="0"/>
                      <w:bCs w:val="0"/>
                      <w:color w:val="auto"/>
                      <w:sz w:val="21"/>
                      <w:szCs w:val="21"/>
                      <w:vertAlign w:val="baseline"/>
                      <w:lang w:val="en-US" w:eastAsia="zh-CN"/>
                    </w:rPr>
                    <w:t>）</w:t>
                  </w:r>
                </w:p>
              </w:tc>
              <w:tc>
                <w:tcPr>
                  <w:tcW w:w="4153" w:type="dxa"/>
                  <w:noWrap w:val="0"/>
                  <w:vAlign w:val="center"/>
                </w:tcPr>
                <w:p w14:paraId="181546A4">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17.71MJ/kg</w:t>
                  </w:r>
                </w:p>
              </w:tc>
            </w:tr>
            <w:tr w14:paraId="6558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2" w:type="dxa"/>
                  <w:noWrap w:val="0"/>
                  <w:vAlign w:val="center"/>
                </w:tcPr>
                <w:p w14:paraId="3A0BA9D0">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收到基恒压低位发热量（Q</w:t>
                  </w:r>
                  <w:r>
                    <w:rPr>
                      <w:rFonts w:hint="default" w:ascii="Times New Roman" w:hAnsi="Times New Roman" w:cs="Times New Roman"/>
                      <w:b w:val="0"/>
                      <w:bCs w:val="0"/>
                      <w:color w:val="auto"/>
                      <w:sz w:val="21"/>
                      <w:szCs w:val="21"/>
                      <w:vertAlign w:val="subscript"/>
                      <w:lang w:val="en-US" w:eastAsia="zh-CN"/>
                    </w:rPr>
                    <w:t>net,p,ar</w:t>
                  </w:r>
                  <w:r>
                    <w:rPr>
                      <w:rFonts w:hint="default" w:ascii="Times New Roman" w:hAnsi="Times New Roman" w:cs="Times New Roman"/>
                      <w:b w:val="0"/>
                      <w:bCs w:val="0"/>
                      <w:color w:val="auto"/>
                      <w:sz w:val="21"/>
                      <w:szCs w:val="21"/>
                      <w:vertAlign w:val="baseline"/>
                      <w:lang w:val="en-US" w:eastAsia="zh-CN"/>
                    </w:rPr>
                    <w:t>）</w:t>
                  </w:r>
                </w:p>
              </w:tc>
              <w:tc>
                <w:tcPr>
                  <w:tcW w:w="4153" w:type="dxa"/>
                  <w:noWrap w:val="0"/>
                  <w:vAlign w:val="center"/>
                </w:tcPr>
                <w:p w14:paraId="0131B66F">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17.64MJ/kg</w:t>
                  </w:r>
                </w:p>
              </w:tc>
            </w:tr>
            <w:tr w14:paraId="4871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2" w:type="dxa"/>
                  <w:noWrap w:val="0"/>
                  <w:vAlign w:val="center"/>
                </w:tcPr>
                <w:p w14:paraId="0633ED0C">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空气干燥基氢元素（Had）</w:t>
                  </w:r>
                </w:p>
              </w:tc>
              <w:tc>
                <w:tcPr>
                  <w:tcW w:w="4153" w:type="dxa"/>
                  <w:noWrap w:val="0"/>
                  <w:vAlign w:val="center"/>
                </w:tcPr>
                <w:p w14:paraId="261ABAD6">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6.24%</w:t>
                  </w:r>
                </w:p>
              </w:tc>
            </w:tr>
            <w:tr w14:paraId="36BA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2" w:type="dxa"/>
                  <w:noWrap w:val="0"/>
                  <w:vAlign w:val="center"/>
                </w:tcPr>
                <w:p w14:paraId="1C2666D6">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空气干燥基碳元素（Cad）</w:t>
                  </w:r>
                </w:p>
              </w:tc>
              <w:tc>
                <w:tcPr>
                  <w:tcW w:w="4153" w:type="dxa"/>
                  <w:noWrap w:val="0"/>
                  <w:vAlign w:val="center"/>
                </w:tcPr>
                <w:p w14:paraId="628DA0CA">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50.94%</w:t>
                  </w:r>
                </w:p>
              </w:tc>
            </w:tr>
            <w:tr w14:paraId="4CA08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2" w:type="dxa"/>
                  <w:noWrap w:val="0"/>
                  <w:vAlign w:val="center"/>
                </w:tcPr>
                <w:p w14:paraId="1D7FC383">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空气干燥基氮元素（Nad）</w:t>
                  </w:r>
                </w:p>
              </w:tc>
              <w:tc>
                <w:tcPr>
                  <w:tcW w:w="4153" w:type="dxa"/>
                  <w:noWrap w:val="0"/>
                  <w:vAlign w:val="center"/>
                </w:tcPr>
                <w:p w14:paraId="341AA610">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0.85</w:t>
                  </w:r>
                  <w:r>
                    <w:rPr>
                      <w:rFonts w:hint="eastAsia" w:cs="Times New Roman"/>
                      <w:b w:val="0"/>
                      <w:bCs w:val="0"/>
                      <w:color w:val="auto"/>
                      <w:sz w:val="21"/>
                      <w:szCs w:val="21"/>
                      <w:vertAlign w:val="baseline"/>
                      <w:lang w:val="en-US" w:eastAsia="zh-CN"/>
                    </w:rPr>
                    <w:t>%</w:t>
                  </w:r>
                </w:p>
              </w:tc>
            </w:tr>
            <w:tr w14:paraId="235A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5" w:type="dxa"/>
                  <w:gridSpan w:val="2"/>
                  <w:noWrap w:val="0"/>
                  <w:vAlign w:val="center"/>
                </w:tcPr>
                <w:p w14:paraId="11F17639">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备注：热量单位换算系数为：1MJ/kg（兆焦耳/千克）=239.14kcal/kg（千卡/千克）。全水分未经损失补正。</w:t>
                  </w:r>
                </w:p>
              </w:tc>
            </w:tr>
          </w:tbl>
          <w:p w14:paraId="583AA7DC">
            <w:pPr>
              <w:pStyle w:val="21"/>
              <w:keepNext w:val="0"/>
              <w:keepLines w:val="0"/>
              <w:pageBreakBefore w:val="0"/>
              <w:widowControl w:val="0"/>
              <w:kinsoku/>
              <w:wordWrap/>
              <w:overflowPunct/>
              <w:topLinePunct w:val="0"/>
              <w:autoSpaceDE/>
              <w:autoSpaceDN/>
              <w:bidi w:val="0"/>
              <w:adjustRightInd/>
              <w:snapToGrid/>
              <w:spacing w:before="0" w:after="0" w:line="360" w:lineRule="auto"/>
              <w:ind w:right="0" w:firstLine="0" w:firstLineChars="0"/>
              <w:textAlignment w:val="auto"/>
              <w:rPr>
                <w:rFonts w:ascii="Times New Roman" w:hAnsi="Times New Roman"/>
                <w:b/>
                <w:bCs/>
                <w:color w:val="auto"/>
                <w:szCs w:val="24"/>
                <w:highlight w:val="none"/>
              </w:rPr>
            </w:pPr>
            <w:r>
              <w:rPr>
                <w:rFonts w:ascii="Times New Roman" w:hAnsi="Times New Roman"/>
                <w:b/>
                <w:bCs/>
                <w:color w:val="auto"/>
                <w:szCs w:val="24"/>
                <w:highlight w:val="none"/>
              </w:rPr>
              <w:t>7</w:t>
            </w:r>
            <w:r>
              <w:rPr>
                <w:rFonts w:hint="eastAsia" w:ascii="Times New Roman" w:hAnsi="Times New Roman"/>
                <w:b/>
                <w:bCs/>
                <w:color w:val="auto"/>
                <w:szCs w:val="24"/>
                <w:highlight w:val="none"/>
                <w:lang w:eastAsia="zh-CN"/>
              </w:rPr>
              <w:t>、</w:t>
            </w:r>
            <w:r>
              <w:rPr>
                <w:rFonts w:hint="eastAsia" w:ascii="Times New Roman" w:hAnsi="Times New Roman"/>
                <w:b/>
                <w:bCs/>
                <w:color w:val="auto"/>
                <w:szCs w:val="24"/>
                <w:highlight w:val="none"/>
                <w:lang w:val="en-US" w:eastAsia="zh-CN"/>
              </w:rPr>
              <w:t>物料</w:t>
            </w:r>
            <w:r>
              <w:rPr>
                <w:rFonts w:ascii="Times New Roman" w:hAnsi="Times New Roman"/>
                <w:b/>
                <w:bCs/>
                <w:color w:val="auto"/>
                <w:szCs w:val="24"/>
                <w:highlight w:val="none"/>
              </w:rPr>
              <w:t>平衡分析</w:t>
            </w:r>
          </w:p>
          <w:p w14:paraId="336B63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物料平衡详见下表。</w:t>
            </w:r>
          </w:p>
          <w:p w14:paraId="0712D963">
            <w:pPr>
              <w:pStyle w:val="21"/>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b/>
                <w:bCs/>
                <w:color w:val="auto"/>
                <w:sz w:val="21"/>
                <w:szCs w:val="21"/>
                <w:lang w:val="en-US" w:eastAsia="zh-CN"/>
              </w:rPr>
            </w:pPr>
            <w:r>
              <w:rPr>
                <w:rFonts w:hint="eastAsia" w:ascii="Times New Roman" w:hAnsi="Times New Roman"/>
                <w:b/>
                <w:bCs/>
                <w:color w:val="auto"/>
                <w:sz w:val="21"/>
                <w:szCs w:val="21"/>
                <w:lang w:val="en-US" w:eastAsia="zh-CN"/>
              </w:rPr>
              <w:t>表2-8 物料平衡一览表</w:t>
            </w:r>
          </w:p>
          <w:tbl>
            <w:tblPr>
              <w:tblStyle w:val="22"/>
              <w:tblW w:w="7859"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097"/>
              <w:gridCol w:w="1908"/>
              <w:gridCol w:w="1529"/>
              <w:gridCol w:w="2325"/>
            </w:tblGrid>
            <w:tr w14:paraId="3E6E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 w:hRule="atLeast"/>
              </w:trPr>
              <w:tc>
                <w:tcPr>
                  <w:tcW w:w="4005" w:type="dxa"/>
                  <w:gridSpan w:val="2"/>
                  <w:shd w:val="clear" w:color="auto" w:fill="auto"/>
                  <w:vAlign w:val="center"/>
                </w:tcPr>
                <w:p w14:paraId="5B80018B">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投入</w:t>
                  </w:r>
                </w:p>
              </w:tc>
              <w:tc>
                <w:tcPr>
                  <w:tcW w:w="3854" w:type="dxa"/>
                  <w:gridSpan w:val="2"/>
                  <w:shd w:val="clear" w:color="auto" w:fill="auto"/>
                  <w:vAlign w:val="center"/>
                </w:tcPr>
                <w:p w14:paraId="1DE2AEC1">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产出</w:t>
                  </w:r>
                </w:p>
              </w:tc>
            </w:tr>
            <w:tr w14:paraId="5C58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097" w:type="dxa"/>
                  <w:shd w:val="clear" w:color="auto" w:fill="auto"/>
                  <w:vAlign w:val="center"/>
                </w:tcPr>
                <w:p w14:paraId="10EFA6F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葡萄</w:t>
                  </w:r>
                </w:p>
              </w:tc>
              <w:tc>
                <w:tcPr>
                  <w:tcW w:w="1908" w:type="dxa"/>
                  <w:shd w:val="clear" w:color="auto" w:fill="auto"/>
                  <w:vAlign w:val="center"/>
                </w:tcPr>
                <w:p w14:paraId="3F73FC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1529" w:type="dxa"/>
                  <w:shd w:val="clear" w:color="auto" w:fill="auto"/>
                  <w:vAlign w:val="center"/>
                </w:tcPr>
                <w:p w14:paraId="2237AF4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产品</w:t>
                  </w:r>
                </w:p>
              </w:tc>
              <w:tc>
                <w:tcPr>
                  <w:tcW w:w="2325" w:type="dxa"/>
                  <w:shd w:val="clear" w:color="auto" w:fill="auto"/>
                  <w:vAlign w:val="center"/>
                </w:tcPr>
                <w:p w14:paraId="7EF3CB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8000</w:t>
                  </w:r>
                </w:p>
              </w:tc>
            </w:tr>
            <w:tr w14:paraId="1BF0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097" w:type="dxa"/>
                  <w:shd w:val="clear" w:color="auto" w:fill="auto"/>
                  <w:vAlign w:val="center"/>
                </w:tcPr>
                <w:p w14:paraId="478E608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芒果</w:t>
                  </w:r>
                </w:p>
              </w:tc>
              <w:tc>
                <w:tcPr>
                  <w:tcW w:w="1908" w:type="dxa"/>
                  <w:shd w:val="clear" w:color="auto" w:fill="auto"/>
                  <w:vAlign w:val="center"/>
                </w:tcPr>
                <w:p w14:paraId="008C3D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3760</w:t>
                  </w:r>
                </w:p>
              </w:tc>
              <w:tc>
                <w:tcPr>
                  <w:tcW w:w="1529" w:type="dxa"/>
                  <w:shd w:val="clear" w:color="auto" w:fill="auto"/>
                  <w:vAlign w:val="center"/>
                </w:tcPr>
                <w:p w14:paraId="1A8E0EB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废果、</w:t>
                  </w:r>
                  <w:r>
                    <w:rPr>
                      <w:rStyle w:val="86"/>
                      <w:color w:val="auto"/>
                      <w:sz w:val="21"/>
                      <w:szCs w:val="21"/>
                      <w:lang w:val="en-US" w:eastAsia="zh-CN" w:bidi="ar"/>
                    </w:rPr>
                    <w:t>废果皮、废核及废果渣</w:t>
                  </w:r>
                </w:p>
              </w:tc>
              <w:tc>
                <w:tcPr>
                  <w:tcW w:w="2325" w:type="dxa"/>
                  <w:shd w:val="clear" w:color="auto" w:fill="auto"/>
                  <w:vAlign w:val="center"/>
                </w:tcPr>
                <w:p w14:paraId="67CD85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11430</w:t>
                  </w:r>
                </w:p>
              </w:tc>
            </w:tr>
            <w:tr w14:paraId="139F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097" w:type="dxa"/>
                  <w:shd w:val="clear" w:color="auto" w:fill="auto"/>
                  <w:vAlign w:val="center"/>
                </w:tcPr>
                <w:p w14:paraId="0D4DAAF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油柑</w:t>
                  </w:r>
                </w:p>
              </w:tc>
              <w:tc>
                <w:tcPr>
                  <w:tcW w:w="1908" w:type="dxa"/>
                  <w:shd w:val="clear" w:color="auto" w:fill="auto"/>
                  <w:vAlign w:val="center"/>
                </w:tcPr>
                <w:p w14:paraId="246035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529" w:type="dxa"/>
                  <w:shd w:val="clear" w:color="auto" w:fill="auto"/>
                  <w:vAlign w:val="center"/>
                </w:tcPr>
                <w:p w14:paraId="0D44AAD2">
                  <w:pPr>
                    <w:jc w:val="center"/>
                    <w:rPr>
                      <w:rFonts w:hint="eastAsia" w:ascii="宋体" w:hAnsi="宋体" w:eastAsia="宋体" w:cs="宋体"/>
                      <w:i w:val="0"/>
                      <w:iCs w:val="0"/>
                      <w:color w:val="auto"/>
                      <w:sz w:val="21"/>
                      <w:szCs w:val="21"/>
                      <w:u w:val="none"/>
                    </w:rPr>
                  </w:pPr>
                </w:p>
              </w:tc>
              <w:tc>
                <w:tcPr>
                  <w:tcW w:w="2325" w:type="dxa"/>
                  <w:shd w:val="clear" w:color="auto" w:fill="auto"/>
                  <w:vAlign w:val="center"/>
                </w:tcPr>
                <w:p w14:paraId="5EA85C4A">
                  <w:pPr>
                    <w:jc w:val="center"/>
                    <w:rPr>
                      <w:rFonts w:hint="default" w:ascii="Times New Roman" w:hAnsi="Times New Roman" w:eastAsia="宋体" w:cs="Times New Roman"/>
                      <w:i w:val="0"/>
                      <w:iCs w:val="0"/>
                      <w:color w:val="auto"/>
                      <w:sz w:val="21"/>
                      <w:szCs w:val="21"/>
                      <w:u w:val="none"/>
                    </w:rPr>
                  </w:pPr>
                </w:p>
              </w:tc>
            </w:tr>
            <w:tr w14:paraId="381A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097" w:type="dxa"/>
                  <w:shd w:val="clear" w:color="auto" w:fill="auto"/>
                  <w:vAlign w:val="center"/>
                </w:tcPr>
                <w:p w14:paraId="6CEF291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柠檬</w:t>
                  </w:r>
                </w:p>
              </w:tc>
              <w:tc>
                <w:tcPr>
                  <w:tcW w:w="1908" w:type="dxa"/>
                  <w:shd w:val="clear" w:color="auto" w:fill="auto"/>
                  <w:vAlign w:val="center"/>
                </w:tcPr>
                <w:p w14:paraId="4FA1AD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4000</w:t>
                  </w:r>
                </w:p>
              </w:tc>
              <w:tc>
                <w:tcPr>
                  <w:tcW w:w="1529" w:type="dxa"/>
                  <w:shd w:val="clear" w:color="auto" w:fill="auto"/>
                  <w:vAlign w:val="center"/>
                </w:tcPr>
                <w:p w14:paraId="7A5C9AB7">
                  <w:pPr>
                    <w:jc w:val="center"/>
                    <w:rPr>
                      <w:rFonts w:hint="eastAsia" w:ascii="宋体" w:hAnsi="宋体" w:eastAsia="宋体" w:cs="宋体"/>
                      <w:i w:val="0"/>
                      <w:iCs w:val="0"/>
                      <w:color w:val="auto"/>
                      <w:sz w:val="21"/>
                      <w:szCs w:val="21"/>
                      <w:u w:val="none"/>
                    </w:rPr>
                  </w:pPr>
                </w:p>
              </w:tc>
              <w:tc>
                <w:tcPr>
                  <w:tcW w:w="2325" w:type="dxa"/>
                  <w:shd w:val="clear" w:color="auto" w:fill="auto"/>
                  <w:vAlign w:val="center"/>
                </w:tcPr>
                <w:p w14:paraId="33F6DE56">
                  <w:pPr>
                    <w:jc w:val="center"/>
                    <w:rPr>
                      <w:rFonts w:hint="default" w:ascii="Times New Roman" w:hAnsi="Times New Roman" w:eastAsia="宋体" w:cs="Times New Roman"/>
                      <w:i w:val="0"/>
                      <w:iCs w:val="0"/>
                      <w:color w:val="auto"/>
                      <w:sz w:val="21"/>
                      <w:szCs w:val="21"/>
                      <w:u w:val="none"/>
                    </w:rPr>
                  </w:pPr>
                </w:p>
              </w:tc>
            </w:tr>
            <w:tr w14:paraId="69F1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097" w:type="dxa"/>
                  <w:shd w:val="clear" w:color="auto" w:fill="auto"/>
                  <w:vAlign w:val="center"/>
                </w:tcPr>
                <w:p w14:paraId="027534A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草莓</w:t>
                  </w:r>
                </w:p>
              </w:tc>
              <w:tc>
                <w:tcPr>
                  <w:tcW w:w="1908" w:type="dxa"/>
                  <w:shd w:val="clear" w:color="auto" w:fill="auto"/>
                  <w:vAlign w:val="center"/>
                </w:tcPr>
                <w:p w14:paraId="0E8623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1529" w:type="dxa"/>
                  <w:shd w:val="clear" w:color="auto" w:fill="auto"/>
                  <w:vAlign w:val="center"/>
                </w:tcPr>
                <w:p w14:paraId="6AD5ED32">
                  <w:pPr>
                    <w:jc w:val="center"/>
                    <w:rPr>
                      <w:rFonts w:hint="eastAsia" w:ascii="宋体" w:hAnsi="宋体" w:eastAsia="宋体" w:cs="宋体"/>
                      <w:i w:val="0"/>
                      <w:iCs w:val="0"/>
                      <w:color w:val="auto"/>
                      <w:sz w:val="21"/>
                      <w:szCs w:val="21"/>
                      <w:u w:val="none"/>
                    </w:rPr>
                  </w:pPr>
                </w:p>
              </w:tc>
              <w:tc>
                <w:tcPr>
                  <w:tcW w:w="2325" w:type="dxa"/>
                  <w:shd w:val="clear" w:color="auto" w:fill="auto"/>
                  <w:vAlign w:val="center"/>
                </w:tcPr>
                <w:p w14:paraId="38D2A9ED">
                  <w:pPr>
                    <w:jc w:val="center"/>
                    <w:rPr>
                      <w:rFonts w:hint="default" w:ascii="Times New Roman" w:hAnsi="Times New Roman" w:eastAsia="宋体" w:cs="Times New Roman"/>
                      <w:i w:val="0"/>
                      <w:iCs w:val="0"/>
                      <w:color w:val="auto"/>
                      <w:sz w:val="21"/>
                      <w:szCs w:val="21"/>
                      <w:u w:val="none"/>
                    </w:rPr>
                  </w:pPr>
                </w:p>
              </w:tc>
            </w:tr>
            <w:tr w14:paraId="7075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097" w:type="dxa"/>
                  <w:shd w:val="clear" w:color="auto" w:fill="auto"/>
                  <w:vAlign w:val="center"/>
                </w:tcPr>
                <w:p w14:paraId="5945F51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桃</w:t>
                  </w:r>
                </w:p>
              </w:tc>
              <w:tc>
                <w:tcPr>
                  <w:tcW w:w="1908" w:type="dxa"/>
                  <w:shd w:val="clear" w:color="auto" w:fill="auto"/>
                  <w:vAlign w:val="center"/>
                </w:tcPr>
                <w:p w14:paraId="293E23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1880</w:t>
                  </w:r>
                </w:p>
              </w:tc>
              <w:tc>
                <w:tcPr>
                  <w:tcW w:w="1529" w:type="dxa"/>
                  <w:shd w:val="clear" w:color="auto" w:fill="auto"/>
                  <w:vAlign w:val="center"/>
                </w:tcPr>
                <w:p w14:paraId="07D4C502">
                  <w:pPr>
                    <w:jc w:val="center"/>
                    <w:rPr>
                      <w:rFonts w:hint="eastAsia" w:ascii="宋体" w:hAnsi="宋体" w:eastAsia="宋体" w:cs="宋体"/>
                      <w:i w:val="0"/>
                      <w:iCs w:val="0"/>
                      <w:color w:val="auto"/>
                      <w:sz w:val="21"/>
                      <w:szCs w:val="21"/>
                      <w:u w:val="none"/>
                    </w:rPr>
                  </w:pPr>
                </w:p>
              </w:tc>
              <w:tc>
                <w:tcPr>
                  <w:tcW w:w="2325" w:type="dxa"/>
                  <w:shd w:val="clear" w:color="auto" w:fill="auto"/>
                  <w:vAlign w:val="center"/>
                </w:tcPr>
                <w:p w14:paraId="39381235">
                  <w:pPr>
                    <w:jc w:val="center"/>
                    <w:rPr>
                      <w:rFonts w:hint="default" w:ascii="Times New Roman" w:hAnsi="Times New Roman" w:eastAsia="宋体" w:cs="Times New Roman"/>
                      <w:i w:val="0"/>
                      <w:iCs w:val="0"/>
                      <w:color w:val="auto"/>
                      <w:sz w:val="21"/>
                      <w:szCs w:val="21"/>
                      <w:u w:val="none"/>
                    </w:rPr>
                  </w:pPr>
                </w:p>
              </w:tc>
            </w:tr>
            <w:tr w14:paraId="57EF7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097" w:type="dxa"/>
                  <w:shd w:val="clear" w:color="auto" w:fill="auto"/>
                  <w:vAlign w:val="center"/>
                </w:tcPr>
                <w:p w14:paraId="2B52320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杨梅</w:t>
                  </w:r>
                </w:p>
              </w:tc>
              <w:tc>
                <w:tcPr>
                  <w:tcW w:w="1908" w:type="dxa"/>
                  <w:shd w:val="clear" w:color="auto" w:fill="auto"/>
                  <w:vAlign w:val="center"/>
                </w:tcPr>
                <w:p w14:paraId="5FA195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529" w:type="dxa"/>
                  <w:shd w:val="clear" w:color="auto" w:fill="auto"/>
                  <w:vAlign w:val="center"/>
                </w:tcPr>
                <w:p w14:paraId="238E1442">
                  <w:pPr>
                    <w:jc w:val="center"/>
                    <w:rPr>
                      <w:rFonts w:hint="eastAsia" w:ascii="宋体" w:hAnsi="宋体" w:eastAsia="宋体" w:cs="宋体"/>
                      <w:i w:val="0"/>
                      <w:iCs w:val="0"/>
                      <w:color w:val="auto"/>
                      <w:sz w:val="21"/>
                      <w:szCs w:val="21"/>
                      <w:u w:val="none"/>
                    </w:rPr>
                  </w:pPr>
                </w:p>
              </w:tc>
              <w:tc>
                <w:tcPr>
                  <w:tcW w:w="2325" w:type="dxa"/>
                  <w:shd w:val="clear" w:color="auto" w:fill="auto"/>
                  <w:vAlign w:val="center"/>
                </w:tcPr>
                <w:p w14:paraId="1AB7F13D">
                  <w:pPr>
                    <w:jc w:val="center"/>
                    <w:rPr>
                      <w:rFonts w:hint="default" w:ascii="Times New Roman" w:hAnsi="Times New Roman" w:eastAsia="宋体" w:cs="Times New Roman"/>
                      <w:i w:val="0"/>
                      <w:iCs w:val="0"/>
                      <w:color w:val="auto"/>
                      <w:sz w:val="21"/>
                      <w:szCs w:val="21"/>
                      <w:u w:val="none"/>
                    </w:rPr>
                  </w:pPr>
                </w:p>
              </w:tc>
            </w:tr>
            <w:tr w14:paraId="3DD3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097" w:type="dxa"/>
                  <w:shd w:val="clear" w:color="auto" w:fill="auto"/>
                  <w:vAlign w:val="center"/>
                </w:tcPr>
                <w:p w14:paraId="5164FC5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其它水果</w:t>
                  </w:r>
                </w:p>
              </w:tc>
              <w:tc>
                <w:tcPr>
                  <w:tcW w:w="1908" w:type="dxa"/>
                  <w:shd w:val="clear" w:color="auto" w:fill="auto"/>
                  <w:vAlign w:val="center"/>
                </w:tcPr>
                <w:p w14:paraId="3CA964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3290</w:t>
                  </w:r>
                </w:p>
              </w:tc>
              <w:tc>
                <w:tcPr>
                  <w:tcW w:w="1529" w:type="dxa"/>
                  <w:shd w:val="clear" w:color="auto" w:fill="auto"/>
                  <w:noWrap/>
                  <w:vAlign w:val="center"/>
                </w:tcPr>
                <w:p w14:paraId="38581AB2">
                  <w:pPr>
                    <w:rPr>
                      <w:rFonts w:hint="eastAsia" w:ascii="宋体" w:hAnsi="宋体" w:eastAsia="宋体" w:cs="宋体"/>
                      <w:i w:val="0"/>
                      <w:iCs w:val="0"/>
                      <w:color w:val="auto"/>
                      <w:sz w:val="21"/>
                      <w:szCs w:val="21"/>
                      <w:u w:val="none"/>
                    </w:rPr>
                  </w:pPr>
                </w:p>
              </w:tc>
              <w:tc>
                <w:tcPr>
                  <w:tcW w:w="2325" w:type="dxa"/>
                  <w:shd w:val="clear" w:color="auto" w:fill="auto"/>
                  <w:noWrap/>
                  <w:vAlign w:val="center"/>
                </w:tcPr>
                <w:p w14:paraId="2DE63B97">
                  <w:pPr>
                    <w:rPr>
                      <w:rFonts w:hint="eastAsia" w:ascii="宋体" w:hAnsi="宋体" w:eastAsia="宋体" w:cs="宋体"/>
                      <w:i w:val="0"/>
                      <w:iCs w:val="0"/>
                      <w:color w:val="auto"/>
                      <w:sz w:val="21"/>
                      <w:szCs w:val="21"/>
                      <w:u w:val="none"/>
                    </w:rPr>
                  </w:pPr>
                </w:p>
              </w:tc>
            </w:tr>
            <w:tr w14:paraId="4B1A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097" w:type="dxa"/>
                  <w:shd w:val="clear" w:color="auto" w:fill="auto"/>
                  <w:vAlign w:val="center"/>
                </w:tcPr>
                <w:p w14:paraId="69F2321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合计</w:t>
                  </w:r>
                </w:p>
              </w:tc>
              <w:tc>
                <w:tcPr>
                  <w:tcW w:w="1908" w:type="dxa"/>
                  <w:shd w:val="clear" w:color="auto" w:fill="auto"/>
                  <w:vAlign w:val="center"/>
                </w:tcPr>
                <w:p w14:paraId="29F15A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19430</w:t>
                  </w:r>
                </w:p>
              </w:tc>
              <w:tc>
                <w:tcPr>
                  <w:tcW w:w="1529" w:type="dxa"/>
                  <w:shd w:val="clear" w:color="auto" w:fill="auto"/>
                  <w:vAlign w:val="center"/>
                </w:tcPr>
                <w:p w14:paraId="7E14F89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合计</w:t>
                  </w:r>
                </w:p>
              </w:tc>
              <w:tc>
                <w:tcPr>
                  <w:tcW w:w="2325" w:type="dxa"/>
                  <w:shd w:val="clear" w:color="auto" w:fill="auto"/>
                  <w:vAlign w:val="center"/>
                </w:tcPr>
                <w:p w14:paraId="19E9C5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19430</w:t>
                  </w:r>
                </w:p>
              </w:tc>
            </w:tr>
          </w:tbl>
          <w:p w14:paraId="4773A45E">
            <w:pPr>
              <w:pStyle w:val="21"/>
              <w:keepNext w:val="0"/>
              <w:keepLines w:val="0"/>
              <w:pageBreakBefore w:val="0"/>
              <w:widowControl w:val="0"/>
              <w:kinsoku/>
              <w:wordWrap/>
              <w:overflowPunct/>
              <w:topLinePunct w:val="0"/>
              <w:autoSpaceDE/>
              <w:autoSpaceDN/>
              <w:bidi w:val="0"/>
              <w:adjustRightInd/>
              <w:snapToGrid/>
              <w:spacing w:before="0" w:after="0" w:line="360" w:lineRule="auto"/>
              <w:ind w:right="0" w:firstLine="0" w:firstLineChars="0"/>
              <w:textAlignment w:val="auto"/>
              <w:rPr>
                <w:rFonts w:ascii="Times New Roman" w:hAnsi="Times New Roman"/>
                <w:b/>
                <w:bCs/>
                <w:color w:val="auto"/>
                <w:szCs w:val="24"/>
              </w:rPr>
            </w:pPr>
            <w:r>
              <w:rPr>
                <w:rFonts w:hint="eastAsia" w:ascii="Times New Roman" w:hAnsi="Times New Roman"/>
                <w:b/>
                <w:bCs/>
                <w:color w:val="auto"/>
                <w:szCs w:val="24"/>
                <w:lang w:val="en-US" w:eastAsia="zh-CN"/>
              </w:rPr>
              <w:t>8</w:t>
            </w:r>
            <w:r>
              <w:rPr>
                <w:rFonts w:hint="eastAsia" w:ascii="Times New Roman" w:hAnsi="Times New Roman"/>
                <w:b/>
                <w:bCs/>
                <w:color w:val="auto"/>
                <w:szCs w:val="24"/>
                <w:lang w:eastAsia="zh-CN"/>
              </w:rPr>
              <w:t>、</w:t>
            </w:r>
            <w:r>
              <w:rPr>
                <w:rFonts w:hint="eastAsia" w:ascii="Times New Roman" w:hAnsi="Times New Roman"/>
                <w:b/>
                <w:bCs/>
                <w:color w:val="auto"/>
                <w:szCs w:val="24"/>
                <w:lang w:val="en-US" w:eastAsia="zh-CN"/>
              </w:rPr>
              <w:t>水</w:t>
            </w:r>
            <w:r>
              <w:rPr>
                <w:rFonts w:ascii="Times New Roman" w:hAnsi="Times New Roman"/>
                <w:b/>
                <w:bCs/>
                <w:color w:val="auto"/>
                <w:szCs w:val="24"/>
              </w:rPr>
              <w:t>平衡分析</w:t>
            </w:r>
          </w:p>
          <w:p w14:paraId="4B0772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lang w:val="en-US" w:eastAsia="zh-CN"/>
              </w:rPr>
            </w:pPr>
            <w:r>
              <w:rPr>
                <w:rFonts w:hint="eastAsia"/>
                <w:color w:val="auto"/>
                <w:sz w:val="24"/>
                <w:lang w:val="en-US" w:eastAsia="zh-CN"/>
              </w:rPr>
              <w:t>本次技改涉及的用水环节主要为纯水制备系统用水、锅炉用水，但由于全厂生产共用1套纯水制备系统，用水量无法分开核算，因此，本次水平衡分析则对技改后全厂的用排水情况进行分析。</w:t>
            </w:r>
          </w:p>
          <w:p w14:paraId="36BD8E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sz w:val="24"/>
                <w:lang w:val="en-US" w:eastAsia="zh-CN"/>
              </w:rPr>
            </w:pPr>
            <w:r>
              <w:rPr>
                <w:rFonts w:hint="eastAsia"/>
                <w:color w:val="auto"/>
                <w:sz w:val="24"/>
                <w:lang w:val="en-US" w:eastAsia="zh-CN"/>
              </w:rPr>
              <w:t>本次技改后全厂</w:t>
            </w:r>
            <w:r>
              <w:rPr>
                <w:color w:val="auto"/>
                <w:sz w:val="24"/>
              </w:rPr>
              <w:t>用水主要为</w:t>
            </w:r>
            <w:r>
              <w:rPr>
                <w:rFonts w:hint="eastAsia"/>
                <w:color w:val="auto"/>
                <w:sz w:val="24"/>
                <w:lang w:val="en-US" w:eastAsia="zh-CN"/>
              </w:rPr>
              <w:t>纯水制备系统用水、水果清洗用水、CIP清洗系统用水、化验室用水、设备冷却用水、生产车间地面清洗用水、锅炉用水、生活用水等。</w:t>
            </w:r>
          </w:p>
          <w:p w14:paraId="3896672C">
            <w:pPr>
              <w:adjustRightInd w:val="0"/>
              <w:snapToGrid w:val="0"/>
              <w:spacing w:line="360" w:lineRule="auto"/>
              <w:ind w:firstLine="482" w:firstLineChars="200"/>
              <w:rPr>
                <w:b/>
                <w:bCs/>
                <w:color w:val="auto"/>
                <w:sz w:val="24"/>
              </w:rPr>
            </w:pPr>
            <w:r>
              <w:rPr>
                <w:rFonts w:hint="eastAsia"/>
                <w:b/>
                <w:bCs/>
                <w:color w:val="auto"/>
                <w:sz w:val="24"/>
                <w:lang w:eastAsia="zh-CN"/>
              </w:rPr>
              <w:t>（</w:t>
            </w:r>
            <w:r>
              <w:rPr>
                <w:rFonts w:hint="eastAsia"/>
                <w:b/>
                <w:bCs/>
                <w:color w:val="auto"/>
                <w:sz w:val="24"/>
                <w:lang w:val="en-US" w:eastAsia="zh-CN"/>
              </w:rPr>
              <w:t>1</w:t>
            </w:r>
            <w:r>
              <w:rPr>
                <w:rFonts w:hint="eastAsia"/>
                <w:b/>
                <w:bCs/>
                <w:color w:val="auto"/>
                <w:sz w:val="24"/>
                <w:lang w:eastAsia="zh-CN"/>
              </w:rPr>
              <w:t>）</w:t>
            </w:r>
            <w:r>
              <w:rPr>
                <w:b/>
                <w:bCs/>
                <w:color w:val="auto"/>
                <w:sz w:val="24"/>
              </w:rPr>
              <w:t>生产用水</w:t>
            </w:r>
          </w:p>
          <w:p w14:paraId="4CBA6A15">
            <w:pPr>
              <w:adjustRightInd w:val="0"/>
              <w:snapToGrid w:val="0"/>
              <w:spacing w:line="360" w:lineRule="auto"/>
              <w:ind w:firstLine="482" w:firstLineChars="200"/>
              <w:rPr>
                <w:rFonts w:hint="eastAsia" w:eastAsia="宋体"/>
                <w:b/>
                <w:bCs/>
                <w:color w:val="auto"/>
                <w:sz w:val="24"/>
                <w:lang w:val="en-US" w:eastAsia="zh-CN"/>
              </w:rPr>
            </w:pPr>
            <w:r>
              <w:rPr>
                <w:rFonts w:hint="eastAsia" w:ascii="宋体" w:hAnsi="宋体" w:eastAsia="宋体" w:cs="宋体"/>
                <w:b/>
                <w:bCs/>
                <w:color w:val="auto"/>
                <w:sz w:val="24"/>
              </w:rPr>
              <w:t>①</w:t>
            </w:r>
            <w:r>
              <w:rPr>
                <w:b/>
                <w:bCs/>
                <w:color w:val="auto"/>
                <w:sz w:val="24"/>
              </w:rPr>
              <w:t>纯水</w:t>
            </w:r>
            <w:r>
              <w:rPr>
                <w:rFonts w:hint="eastAsia"/>
                <w:b/>
                <w:bCs/>
                <w:color w:val="auto"/>
                <w:sz w:val="24"/>
                <w:lang w:val="en-US" w:eastAsia="zh-CN"/>
              </w:rPr>
              <w:t>制备</w:t>
            </w:r>
            <w:r>
              <w:rPr>
                <w:b/>
                <w:bCs/>
                <w:color w:val="auto"/>
                <w:sz w:val="24"/>
              </w:rPr>
              <w:t>系统</w:t>
            </w:r>
            <w:r>
              <w:rPr>
                <w:rFonts w:hint="eastAsia"/>
                <w:b/>
                <w:bCs/>
                <w:color w:val="auto"/>
                <w:sz w:val="24"/>
                <w:lang w:val="en-US" w:eastAsia="zh-CN"/>
              </w:rPr>
              <w:t>用水</w:t>
            </w:r>
          </w:p>
          <w:p w14:paraId="5E773D06">
            <w:pPr>
              <w:adjustRightInd w:val="0"/>
              <w:snapToGrid w:val="0"/>
              <w:spacing w:line="360" w:lineRule="auto"/>
              <w:ind w:firstLine="480" w:firstLineChars="200"/>
              <w:rPr>
                <w:rFonts w:hint="default" w:eastAsia="宋体"/>
                <w:color w:val="auto"/>
                <w:sz w:val="24"/>
                <w:lang w:val="en-US" w:eastAsia="zh-CN"/>
              </w:rPr>
            </w:pPr>
            <w:r>
              <w:rPr>
                <w:rFonts w:hint="eastAsia"/>
                <w:color w:val="auto"/>
                <w:sz w:val="24"/>
                <w:lang w:val="en-US" w:eastAsia="zh-CN"/>
              </w:rPr>
              <w:t>本次技改后，项目纯水制备系统制水能力不变，仍为10t/h，主要为第三道水果鼓泡消毒、第四道水果清洗、CIP清洗系统、化验室检测、锅炉提供纯水。纯水制备系统</w:t>
            </w:r>
            <w:r>
              <w:rPr>
                <w:rFonts w:hint="eastAsia" w:cs="Times New Roman"/>
                <w:color w:val="auto"/>
                <w:kern w:val="0"/>
                <w:sz w:val="24"/>
                <w:szCs w:val="24"/>
                <w:lang w:val="en-US" w:eastAsia="zh-CN" w:bidi="ar"/>
              </w:rPr>
              <w:t>每天约运行约6h</w:t>
            </w:r>
            <w:r>
              <w:rPr>
                <w:rFonts w:hint="default" w:ascii="Times New Roman" w:hAnsi="Times New Roman" w:eastAsia="宋体" w:cs="Times New Roman"/>
                <w:color w:val="auto"/>
                <w:kern w:val="0"/>
                <w:sz w:val="24"/>
                <w:szCs w:val="24"/>
                <w:lang w:val="en-US" w:eastAsia="zh-CN" w:bidi="ar"/>
              </w:rPr>
              <w:t>，产纯水量为</w:t>
            </w:r>
            <w:r>
              <w:rPr>
                <w:rFonts w:hint="eastAsia" w:cs="Times New Roman"/>
                <w:color w:val="auto"/>
                <w:kern w:val="0"/>
                <w:sz w:val="24"/>
                <w:szCs w:val="24"/>
                <w:lang w:val="en-US" w:eastAsia="zh-CN" w:bidi="ar"/>
              </w:rPr>
              <w:t>11726</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/a</w:t>
            </w:r>
            <w:r>
              <w:rPr>
                <w:rFonts w:hint="eastAsia" w:cs="Times New Roman"/>
                <w:color w:val="auto"/>
                <w:kern w:val="0"/>
                <w:sz w:val="24"/>
                <w:szCs w:val="24"/>
                <w:lang w:val="en-US" w:eastAsia="zh-CN" w:bidi="ar"/>
              </w:rPr>
              <w:t>，58.63m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/d</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highlight w:val="none"/>
                <w:lang w:val="en-US" w:eastAsia="zh-CN" w:bidi="ar"/>
              </w:rPr>
              <w:t>制水率约为75%，则自来水用量为</w:t>
            </w:r>
            <w:r>
              <w:rPr>
                <w:rFonts w:hint="eastAsia" w:cs="Times New Roman"/>
                <w:color w:val="auto"/>
                <w:kern w:val="0"/>
                <w:sz w:val="24"/>
                <w:szCs w:val="24"/>
                <w:highlight w:val="none"/>
                <w:lang w:val="en-US" w:eastAsia="zh-CN" w:bidi="ar"/>
              </w:rPr>
              <w:t>15635</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/a</w:t>
            </w:r>
            <w:r>
              <w:rPr>
                <w:rFonts w:hint="eastAsia" w:cs="Times New Roman"/>
                <w:color w:val="auto"/>
                <w:kern w:val="0"/>
                <w:sz w:val="24"/>
                <w:szCs w:val="24"/>
                <w:highlight w:val="none"/>
                <w:lang w:val="en-US" w:eastAsia="zh-CN" w:bidi="ar"/>
              </w:rPr>
              <w:t>（78.17m</w:t>
            </w:r>
            <w:r>
              <w:rPr>
                <w:rFonts w:hint="eastAsia" w:cs="Times New Roman"/>
                <w:color w:val="auto"/>
                <w:kern w:val="0"/>
                <w:sz w:val="24"/>
                <w:szCs w:val="24"/>
                <w:highlight w:val="none"/>
                <w:vertAlign w:val="superscript"/>
                <w:lang w:val="en-US" w:eastAsia="zh-CN" w:bidi="ar"/>
              </w:rPr>
              <w:t>3</w:t>
            </w:r>
            <w:r>
              <w:rPr>
                <w:rFonts w:hint="eastAsia" w:cs="Times New Roman"/>
                <w:color w:val="auto"/>
                <w:kern w:val="0"/>
                <w:sz w:val="24"/>
                <w:szCs w:val="24"/>
                <w:highlight w:val="none"/>
                <w:lang w:val="en-US" w:eastAsia="zh-CN" w:bidi="ar"/>
              </w:rPr>
              <w:t>/d）</w:t>
            </w:r>
            <w:r>
              <w:rPr>
                <w:rFonts w:hint="default" w:ascii="Times New Roman" w:hAnsi="Times New Roman" w:eastAsia="宋体" w:cs="Times New Roman"/>
                <w:color w:val="auto"/>
                <w:kern w:val="0"/>
                <w:sz w:val="24"/>
                <w:szCs w:val="24"/>
                <w:highlight w:val="none"/>
                <w:lang w:val="en-US" w:eastAsia="zh-CN" w:bidi="ar"/>
              </w:rPr>
              <w:t>，浓水产生量为</w:t>
            </w:r>
            <w:r>
              <w:rPr>
                <w:rFonts w:hint="eastAsia" w:ascii="Times New Roman" w:hAnsi="Times New Roman" w:eastAsia="宋体" w:cs="Times New Roman"/>
                <w:color w:val="auto"/>
                <w:kern w:val="0"/>
                <w:sz w:val="24"/>
                <w:szCs w:val="24"/>
                <w:highlight w:val="none"/>
                <w:lang w:val="en-US" w:eastAsia="zh-CN" w:bidi="ar"/>
              </w:rPr>
              <w:t>3908</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/a</w:t>
            </w:r>
            <w:r>
              <w:rPr>
                <w:rFonts w:hint="eastAsia" w:cs="Times New Roman"/>
                <w:color w:val="auto"/>
                <w:kern w:val="0"/>
                <w:sz w:val="24"/>
                <w:szCs w:val="24"/>
                <w:highlight w:val="none"/>
                <w:lang w:val="en-US" w:eastAsia="zh-CN" w:bidi="ar"/>
              </w:rPr>
              <w:t>，19.54</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d，其中第一道、第二道水果清洗使用浓水清洗，用水量为12.03</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d，2406</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/a</w:t>
            </w:r>
            <w:r>
              <w:rPr>
                <w:rFonts w:hint="eastAsia" w:cs="Times New Roman"/>
                <w:color w:val="auto"/>
                <w:kern w:val="0"/>
                <w:sz w:val="24"/>
                <w:szCs w:val="24"/>
                <w:highlight w:val="none"/>
                <w:lang w:val="en-US" w:eastAsia="zh-CN" w:bidi="ar"/>
              </w:rPr>
              <w:t>，故浓水外排量为7.51</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d，1502</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/a。</w:t>
            </w:r>
            <w:r>
              <w:rPr>
                <w:rFonts w:hint="eastAsia" w:cs="Times New Roman"/>
                <w:color w:val="auto"/>
                <w:kern w:val="0"/>
                <w:sz w:val="24"/>
                <w:szCs w:val="24"/>
                <w:highlight w:val="none"/>
                <w:lang w:val="en-US" w:eastAsia="zh-CN" w:bidi="ar"/>
              </w:rPr>
              <w:t>废水进入</w:t>
            </w:r>
            <w:r>
              <w:rPr>
                <w:rFonts w:hint="eastAsia" w:ascii="Times New Roman" w:hAnsi="Times New Roman" w:cs="Times New Roman"/>
                <w:color w:val="auto"/>
                <w:kern w:val="0"/>
                <w:sz w:val="24"/>
                <w:szCs w:val="24"/>
                <w:highlight w:val="none"/>
                <w:lang w:val="en-US" w:eastAsia="zh-CN" w:bidi="ar"/>
              </w:rPr>
              <w:t>沉淀池</w:t>
            </w:r>
            <w:r>
              <w:rPr>
                <w:rFonts w:hint="eastAsia" w:cs="Times New Roman"/>
                <w:color w:val="auto"/>
                <w:kern w:val="0"/>
                <w:sz w:val="24"/>
                <w:szCs w:val="24"/>
                <w:highlight w:val="none"/>
                <w:lang w:val="en-US" w:eastAsia="zh-CN" w:bidi="ar"/>
              </w:rPr>
              <w:t>（</w:t>
            </w:r>
            <w:r>
              <w:rPr>
                <w:rFonts w:hint="eastAsia" w:ascii="Times New Roman" w:hAnsi="Times New Roman"/>
                <w:color w:val="auto"/>
                <w:sz w:val="24"/>
                <w:szCs w:val="24"/>
                <w:highlight w:val="none"/>
                <w:lang w:val="en-US" w:eastAsia="zh-CN"/>
              </w:rPr>
              <w:t>调节+气浮沉淀</w:t>
            </w:r>
            <w:r>
              <w:rPr>
                <w:rFonts w:hint="eastAsia" w:cs="Times New Roman"/>
                <w:color w:val="auto"/>
                <w:kern w:val="0"/>
                <w:sz w:val="24"/>
                <w:szCs w:val="24"/>
                <w:highlight w:val="none"/>
                <w:lang w:val="en-US" w:eastAsia="zh-CN" w:bidi="ar"/>
              </w:rPr>
              <w:t>）处理。</w:t>
            </w:r>
          </w:p>
          <w:p w14:paraId="51C04D60">
            <w:pPr>
              <w:adjustRightInd w:val="0"/>
              <w:snapToGrid w:val="0"/>
              <w:spacing w:line="360" w:lineRule="auto"/>
              <w:ind w:firstLine="482" w:firstLineChars="200"/>
              <w:rPr>
                <w:rFonts w:hint="eastAsia" w:eastAsia="宋体"/>
                <w:color w:val="auto"/>
                <w:sz w:val="24"/>
                <w:lang w:eastAsia="zh-CN"/>
              </w:rPr>
            </w:pPr>
            <w:r>
              <w:rPr>
                <w:rFonts w:hint="eastAsia" w:ascii="宋体" w:hAnsi="宋体" w:eastAsia="宋体" w:cs="宋体"/>
                <w:b/>
                <w:bCs/>
                <w:color w:val="auto"/>
                <w:sz w:val="24"/>
              </w:rPr>
              <w:t>②</w:t>
            </w:r>
            <w:r>
              <w:rPr>
                <w:b/>
                <w:bCs/>
                <w:color w:val="auto"/>
                <w:sz w:val="24"/>
              </w:rPr>
              <w:t>纯水制备系统反冲洗</w:t>
            </w:r>
            <w:r>
              <w:rPr>
                <w:rFonts w:hint="eastAsia"/>
                <w:b/>
                <w:bCs/>
                <w:color w:val="auto"/>
                <w:sz w:val="24"/>
                <w:lang w:val="en-US" w:eastAsia="zh-CN"/>
              </w:rPr>
              <w:t>用水</w:t>
            </w:r>
          </w:p>
          <w:p w14:paraId="3E2B3FDB">
            <w:pPr>
              <w:adjustRightInd w:val="0"/>
              <w:snapToGrid w:val="0"/>
              <w:spacing w:line="360" w:lineRule="auto"/>
              <w:ind w:firstLine="480" w:firstLineChars="200"/>
              <w:rPr>
                <w:rFonts w:hint="default" w:eastAsia="宋体"/>
                <w:color w:val="auto"/>
                <w:sz w:val="24"/>
                <w:lang w:val="en-US" w:eastAsia="zh-CN"/>
              </w:rPr>
            </w:pPr>
            <w:r>
              <w:rPr>
                <w:rFonts w:hint="eastAsia"/>
                <w:color w:val="auto"/>
                <w:sz w:val="24"/>
                <w:lang w:val="en-US" w:eastAsia="zh-CN"/>
              </w:rPr>
              <w:t>本次技改后，纯水制备系统每天仍使用自来水进行反冲洗一次，</w:t>
            </w:r>
            <w:r>
              <w:rPr>
                <w:color w:val="auto"/>
                <w:sz w:val="24"/>
              </w:rPr>
              <w:t>冲洗用水量</w:t>
            </w:r>
            <w:r>
              <w:rPr>
                <w:rFonts w:hint="eastAsia"/>
                <w:color w:val="auto"/>
                <w:sz w:val="24"/>
                <w:lang w:val="en-US" w:eastAsia="zh-CN"/>
              </w:rPr>
              <w:t>不变，</w:t>
            </w:r>
            <w:r>
              <w:rPr>
                <w:color w:val="auto"/>
                <w:sz w:val="24"/>
              </w:rPr>
              <w:t>约1m</w:t>
            </w:r>
            <w:r>
              <w:rPr>
                <w:color w:val="auto"/>
                <w:sz w:val="24"/>
                <w:vertAlign w:val="superscript"/>
              </w:rPr>
              <w:t>3</w:t>
            </w:r>
            <w:r>
              <w:rPr>
                <w:color w:val="auto"/>
                <w:sz w:val="24"/>
              </w:rPr>
              <w:t>/d</w:t>
            </w:r>
            <w:r>
              <w:rPr>
                <w:rFonts w:hint="eastAsia"/>
                <w:color w:val="auto"/>
                <w:sz w:val="24"/>
                <w:lang w:eastAsia="zh-CN"/>
              </w:rPr>
              <w:t>，</w:t>
            </w:r>
            <w:r>
              <w:rPr>
                <w:rFonts w:hint="eastAsia"/>
                <w:color w:val="auto"/>
                <w:sz w:val="24"/>
                <w:lang w:val="en-US" w:eastAsia="zh-CN"/>
              </w:rPr>
              <w:t>200m</w:t>
            </w:r>
            <w:r>
              <w:rPr>
                <w:rFonts w:hint="eastAsia"/>
                <w:color w:val="auto"/>
                <w:sz w:val="24"/>
                <w:vertAlign w:val="superscript"/>
                <w:lang w:val="en-US" w:eastAsia="zh-CN"/>
              </w:rPr>
              <w:t>3</w:t>
            </w:r>
            <w:r>
              <w:rPr>
                <w:rFonts w:hint="eastAsia"/>
                <w:color w:val="auto"/>
                <w:sz w:val="24"/>
                <w:lang w:val="en-US" w:eastAsia="zh-CN"/>
              </w:rPr>
              <w:t>/a</w:t>
            </w:r>
            <w:r>
              <w:rPr>
                <w:color w:val="auto"/>
                <w:sz w:val="24"/>
              </w:rPr>
              <w:t>，</w:t>
            </w:r>
            <w:r>
              <w:rPr>
                <w:rFonts w:hint="eastAsia"/>
                <w:color w:val="auto"/>
                <w:sz w:val="24"/>
                <w:szCs w:val="24"/>
              </w:rPr>
              <w:t>产污系数按</w:t>
            </w:r>
            <w:r>
              <w:rPr>
                <w:rFonts w:hint="eastAsia"/>
                <w:color w:val="auto"/>
                <w:sz w:val="24"/>
                <w:szCs w:val="24"/>
                <w:lang w:val="en-US" w:eastAsia="zh-CN"/>
              </w:rPr>
              <w:t>80%</w:t>
            </w:r>
            <w:r>
              <w:rPr>
                <w:rFonts w:hint="eastAsia"/>
                <w:color w:val="auto"/>
                <w:sz w:val="24"/>
                <w:szCs w:val="24"/>
              </w:rPr>
              <w:t>计，则冲洗废水产生量为</w:t>
            </w:r>
            <w:r>
              <w:rPr>
                <w:rFonts w:hint="eastAsia"/>
                <w:color w:val="auto"/>
                <w:sz w:val="24"/>
                <w:szCs w:val="24"/>
                <w:lang w:val="en-US" w:eastAsia="zh-CN"/>
              </w:rPr>
              <w:t>0.8</w:t>
            </w:r>
            <w:r>
              <w:rPr>
                <w:rFonts w:hint="eastAsia"/>
                <w:color w:val="auto"/>
                <w:sz w:val="24"/>
                <w:szCs w:val="24"/>
              </w:rPr>
              <w:t>m</w:t>
            </w:r>
            <w:r>
              <w:rPr>
                <w:rFonts w:hint="eastAsia"/>
                <w:color w:val="auto"/>
                <w:sz w:val="24"/>
                <w:szCs w:val="24"/>
                <w:vertAlign w:val="superscript"/>
              </w:rPr>
              <w:t>3</w:t>
            </w:r>
            <w:r>
              <w:rPr>
                <w:rFonts w:hint="eastAsia"/>
                <w:color w:val="auto"/>
                <w:sz w:val="24"/>
                <w:szCs w:val="24"/>
              </w:rPr>
              <w:t>/d</w:t>
            </w:r>
            <w:r>
              <w:rPr>
                <w:rFonts w:hint="eastAsia"/>
                <w:color w:val="auto"/>
                <w:sz w:val="24"/>
                <w:szCs w:val="24"/>
                <w:lang w:val="en-US" w:eastAsia="zh-CN"/>
              </w:rPr>
              <w:t>，160</w:t>
            </w:r>
            <w:r>
              <w:rPr>
                <w:rFonts w:hint="eastAsia"/>
                <w:color w:val="auto"/>
                <w:sz w:val="24"/>
                <w:lang w:val="en-US" w:eastAsia="zh-CN"/>
              </w:rPr>
              <w:t>m</w:t>
            </w:r>
            <w:r>
              <w:rPr>
                <w:rFonts w:hint="eastAsia"/>
                <w:color w:val="auto"/>
                <w:sz w:val="24"/>
                <w:vertAlign w:val="superscript"/>
                <w:lang w:val="en-US" w:eastAsia="zh-CN"/>
              </w:rPr>
              <w:t>3</w:t>
            </w:r>
            <w:r>
              <w:rPr>
                <w:rFonts w:hint="eastAsia"/>
                <w:color w:val="auto"/>
                <w:sz w:val="24"/>
                <w:lang w:val="en-US" w:eastAsia="zh-CN"/>
              </w:rPr>
              <w:t>/a</w:t>
            </w:r>
            <w:r>
              <w:rPr>
                <w:color w:val="auto"/>
                <w:sz w:val="24"/>
                <w:szCs w:val="24"/>
              </w:rPr>
              <w:t>。</w:t>
            </w:r>
            <w:r>
              <w:rPr>
                <w:rFonts w:hint="eastAsia" w:cs="Times New Roman"/>
                <w:color w:val="auto"/>
                <w:kern w:val="0"/>
                <w:sz w:val="24"/>
                <w:szCs w:val="24"/>
                <w:highlight w:val="none"/>
                <w:lang w:val="en-US" w:eastAsia="zh-CN" w:bidi="ar"/>
              </w:rPr>
              <w:t>废水进入</w:t>
            </w:r>
            <w:r>
              <w:rPr>
                <w:rFonts w:hint="eastAsia" w:ascii="Times New Roman" w:hAnsi="Times New Roman" w:cs="Times New Roman"/>
                <w:color w:val="auto"/>
                <w:kern w:val="0"/>
                <w:sz w:val="24"/>
                <w:szCs w:val="24"/>
                <w:highlight w:val="none"/>
                <w:lang w:val="en-US" w:eastAsia="zh-CN" w:bidi="ar"/>
              </w:rPr>
              <w:t>沉淀池</w:t>
            </w:r>
            <w:r>
              <w:rPr>
                <w:rFonts w:hint="eastAsia" w:cs="Times New Roman"/>
                <w:color w:val="auto"/>
                <w:kern w:val="0"/>
                <w:sz w:val="24"/>
                <w:szCs w:val="24"/>
                <w:highlight w:val="none"/>
                <w:lang w:val="en-US" w:eastAsia="zh-CN" w:bidi="ar"/>
              </w:rPr>
              <w:t>（</w:t>
            </w:r>
            <w:r>
              <w:rPr>
                <w:rFonts w:hint="eastAsia" w:ascii="Times New Roman" w:hAnsi="Times New Roman"/>
                <w:color w:val="auto"/>
                <w:sz w:val="24"/>
                <w:szCs w:val="24"/>
                <w:highlight w:val="none"/>
                <w:lang w:val="en-US" w:eastAsia="zh-CN"/>
              </w:rPr>
              <w:t>调节+气浮沉淀</w:t>
            </w:r>
            <w:r>
              <w:rPr>
                <w:rFonts w:hint="eastAsia" w:cs="Times New Roman"/>
                <w:color w:val="auto"/>
                <w:kern w:val="0"/>
                <w:sz w:val="24"/>
                <w:szCs w:val="24"/>
                <w:highlight w:val="none"/>
                <w:lang w:val="en-US" w:eastAsia="zh-CN" w:bidi="ar"/>
              </w:rPr>
              <w:t>）处理。</w:t>
            </w:r>
          </w:p>
          <w:p w14:paraId="44F1159E">
            <w:pPr>
              <w:adjustRightInd w:val="0"/>
              <w:snapToGrid w:val="0"/>
              <w:spacing w:line="360" w:lineRule="auto"/>
              <w:ind w:firstLine="482" w:firstLineChars="200"/>
              <w:rPr>
                <w:rFonts w:hint="eastAsia" w:eastAsia="宋体"/>
                <w:color w:val="auto"/>
                <w:sz w:val="24"/>
                <w:highlight w:val="none"/>
                <w:lang w:val="en-US" w:eastAsia="zh-CN"/>
              </w:rPr>
            </w:pPr>
            <w:r>
              <w:rPr>
                <w:rFonts w:hint="eastAsia" w:ascii="宋体" w:hAnsi="宋体" w:eastAsia="宋体" w:cs="宋体"/>
                <w:b/>
                <w:bCs/>
                <w:color w:val="auto"/>
                <w:sz w:val="24"/>
                <w:highlight w:val="none"/>
              </w:rPr>
              <w:t>③</w:t>
            </w:r>
            <w:r>
              <w:rPr>
                <w:b/>
                <w:bCs/>
                <w:color w:val="auto"/>
                <w:sz w:val="24"/>
                <w:highlight w:val="none"/>
              </w:rPr>
              <w:t>CIP清洗系统设备清洗</w:t>
            </w:r>
            <w:r>
              <w:rPr>
                <w:rFonts w:hint="eastAsia"/>
                <w:b/>
                <w:bCs/>
                <w:color w:val="auto"/>
                <w:sz w:val="24"/>
                <w:highlight w:val="none"/>
                <w:lang w:val="en-US" w:eastAsia="zh-CN"/>
              </w:rPr>
              <w:t>用水</w:t>
            </w:r>
          </w:p>
          <w:p w14:paraId="78D9802C">
            <w:pPr>
              <w:adjustRightInd w:val="0"/>
              <w:snapToGrid w:val="0"/>
              <w:spacing w:line="360" w:lineRule="auto"/>
              <w:ind w:firstLine="480" w:firstLineChars="200"/>
              <w:textAlignment w:val="baseline"/>
              <w:rPr>
                <w:rFonts w:hint="default" w:eastAsia="宋体"/>
                <w:color w:val="auto"/>
                <w:sz w:val="24"/>
                <w:highlight w:val="none"/>
                <w:lang w:val="en-US" w:eastAsia="zh-CN"/>
              </w:rPr>
            </w:pPr>
            <w:r>
              <w:rPr>
                <w:rFonts w:hint="eastAsia"/>
                <w:color w:val="auto"/>
                <w:sz w:val="24"/>
                <w:highlight w:val="none"/>
                <w:lang w:val="en-US" w:eastAsia="zh-CN"/>
              </w:rPr>
              <w:t>本次技改后，厂区仍设置1套CIP清洗系统每天使用纯水对项目工艺管道、设备（包含杀菌机）等进行1次清洗，</w:t>
            </w:r>
            <w:r>
              <w:rPr>
                <w:rFonts w:hint="eastAsia"/>
                <w:color w:val="auto"/>
                <w:sz w:val="24"/>
                <w:szCs w:val="24"/>
                <w:highlight w:val="none"/>
                <w:lang w:val="en-US" w:eastAsia="zh-CN"/>
              </w:rPr>
              <w:t>清洗过程中会使用</w:t>
            </w:r>
            <w:r>
              <w:rPr>
                <w:rFonts w:ascii="Times New Roman" w:hAnsi="Times New Roman"/>
                <w:color w:val="auto"/>
                <w:sz w:val="24"/>
                <w:szCs w:val="24"/>
                <w:highlight w:val="none"/>
              </w:rPr>
              <w:t>碱性剂</w:t>
            </w:r>
            <w:r>
              <w:rPr>
                <w:rFonts w:hint="eastAsia" w:ascii="Times New Roman" w:hAnsi="Times New Roman"/>
                <w:color w:val="auto"/>
                <w:sz w:val="24"/>
                <w:szCs w:val="24"/>
                <w:highlight w:val="none"/>
                <w:lang w:eastAsia="zh-CN"/>
              </w:rPr>
              <w:t>、</w:t>
            </w:r>
            <w:r>
              <w:rPr>
                <w:rFonts w:ascii="Times New Roman" w:hAnsi="Times New Roman"/>
                <w:color w:val="auto"/>
                <w:sz w:val="24"/>
                <w:szCs w:val="24"/>
                <w:highlight w:val="none"/>
              </w:rPr>
              <w:t>酸性剂清洗液</w:t>
            </w:r>
            <w:r>
              <w:rPr>
                <w:rFonts w:hint="eastAsia" w:ascii="Times New Roman" w:hAnsi="Times New Roman"/>
                <w:color w:val="auto"/>
                <w:sz w:val="24"/>
                <w:szCs w:val="24"/>
                <w:highlight w:val="none"/>
                <w:lang w:val="en-US" w:eastAsia="zh-CN"/>
              </w:rPr>
              <w:t>，</w:t>
            </w:r>
            <w:r>
              <w:rPr>
                <w:rFonts w:ascii="Times New Roman" w:hAnsi="Times New Roman"/>
                <w:color w:val="auto"/>
                <w:sz w:val="24"/>
                <w:szCs w:val="24"/>
                <w:highlight w:val="none"/>
              </w:rPr>
              <w:t>碱性剂</w:t>
            </w:r>
            <w:r>
              <w:rPr>
                <w:rFonts w:hint="eastAsia" w:ascii="Times New Roman" w:hAnsi="Times New Roman"/>
                <w:color w:val="auto"/>
                <w:sz w:val="24"/>
                <w:szCs w:val="24"/>
                <w:highlight w:val="none"/>
                <w:lang w:eastAsia="zh-CN"/>
              </w:rPr>
              <w:t>、</w:t>
            </w:r>
            <w:r>
              <w:rPr>
                <w:rFonts w:ascii="Times New Roman" w:hAnsi="Times New Roman"/>
                <w:color w:val="auto"/>
                <w:sz w:val="24"/>
                <w:szCs w:val="24"/>
                <w:highlight w:val="none"/>
              </w:rPr>
              <w:t>酸性剂清洗液</w:t>
            </w:r>
            <w:r>
              <w:rPr>
                <w:rFonts w:hint="eastAsia" w:ascii="Times New Roman" w:hAnsi="Times New Roman"/>
                <w:color w:val="auto"/>
                <w:sz w:val="24"/>
                <w:szCs w:val="24"/>
                <w:highlight w:val="none"/>
                <w:lang w:val="en-US" w:eastAsia="zh-CN"/>
              </w:rPr>
              <w:t>在设备内循环使用，浓度低时进行添加，不外排。</w:t>
            </w:r>
            <w:r>
              <w:rPr>
                <w:rFonts w:hint="eastAsia"/>
                <w:color w:val="auto"/>
                <w:sz w:val="24"/>
                <w:highlight w:val="none"/>
                <w:lang w:val="en-US" w:eastAsia="zh-CN"/>
              </w:rPr>
              <w:t>CIP清洗系统清洗纯水用水量为12.99m</w:t>
            </w:r>
            <w:r>
              <w:rPr>
                <w:rFonts w:hint="eastAsia"/>
                <w:color w:val="auto"/>
                <w:sz w:val="24"/>
                <w:highlight w:val="none"/>
                <w:vertAlign w:val="superscript"/>
                <w:lang w:val="en-US" w:eastAsia="zh-CN"/>
              </w:rPr>
              <w:t>3</w:t>
            </w:r>
            <w:r>
              <w:rPr>
                <w:rFonts w:hint="eastAsia"/>
                <w:color w:val="auto"/>
                <w:sz w:val="24"/>
                <w:highlight w:val="none"/>
                <w:lang w:val="en-US" w:eastAsia="zh-CN"/>
              </w:rPr>
              <w:t>/d（其中杀菌机清洗用水量约3m</w:t>
            </w:r>
            <w:r>
              <w:rPr>
                <w:rFonts w:hint="eastAsia"/>
                <w:color w:val="auto"/>
                <w:sz w:val="24"/>
                <w:highlight w:val="none"/>
                <w:vertAlign w:val="superscript"/>
                <w:lang w:val="en-US" w:eastAsia="zh-CN"/>
              </w:rPr>
              <w:t>3</w:t>
            </w:r>
            <w:r>
              <w:rPr>
                <w:rFonts w:hint="eastAsia"/>
                <w:color w:val="auto"/>
                <w:sz w:val="24"/>
                <w:highlight w:val="none"/>
                <w:lang w:val="en-US" w:eastAsia="zh-CN"/>
              </w:rPr>
              <w:t>/d，其余设备用水量约为9.99m</w:t>
            </w:r>
            <w:r>
              <w:rPr>
                <w:rFonts w:hint="eastAsia"/>
                <w:color w:val="auto"/>
                <w:sz w:val="24"/>
                <w:highlight w:val="none"/>
                <w:vertAlign w:val="superscript"/>
                <w:lang w:val="en-US" w:eastAsia="zh-CN"/>
              </w:rPr>
              <w:t>3</w:t>
            </w:r>
            <w:r>
              <w:rPr>
                <w:rFonts w:hint="eastAsia"/>
                <w:color w:val="auto"/>
                <w:sz w:val="24"/>
                <w:highlight w:val="none"/>
                <w:lang w:val="en-US" w:eastAsia="zh-CN"/>
              </w:rPr>
              <w:t>/d），2598</w:t>
            </w:r>
            <w:r>
              <w:rPr>
                <w:rFonts w:hint="eastAsia"/>
                <w:color w:val="auto"/>
                <w:sz w:val="24"/>
                <w:lang w:val="en-US" w:eastAsia="zh-CN"/>
              </w:rPr>
              <w:t>m</w:t>
            </w:r>
            <w:r>
              <w:rPr>
                <w:rFonts w:hint="eastAsia"/>
                <w:color w:val="auto"/>
                <w:sz w:val="24"/>
                <w:vertAlign w:val="superscript"/>
                <w:lang w:val="en-US" w:eastAsia="zh-CN"/>
              </w:rPr>
              <w:t>3</w:t>
            </w:r>
            <w:r>
              <w:rPr>
                <w:rFonts w:hint="eastAsia"/>
                <w:color w:val="auto"/>
                <w:sz w:val="24"/>
                <w:lang w:val="en-US" w:eastAsia="zh-CN"/>
              </w:rPr>
              <w:t>/a</w:t>
            </w:r>
            <w:r>
              <w:rPr>
                <w:rFonts w:hint="eastAsia"/>
                <w:color w:val="auto"/>
                <w:sz w:val="24"/>
                <w:highlight w:val="none"/>
                <w:lang w:val="en-US" w:eastAsia="zh-CN"/>
              </w:rPr>
              <w:t>，</w:t>
            </w:r>
            <w:r>
              <w:rPr>
                <w:rFonts w:hint="eastAsia"/>
                <w:color w:val="auto"/>
                <w:sz w:val="24"/>
                <w:szCs w:val="24"/>
              </w:rPr>
              <w:t>产污系数按</w:t>
            </w:r>
            <w:r>
              <w:rPr>
                <w:rFonts w:hint="eastAsia"/>
                <w:color w:val="auto"/>
                <w:sz w:val="24"/>
                <w:szCs w:val="24"/>
                <w:lang w:val="en-US" w:eastAsia="zh-CN"/>
              </w:rPr>
              <w:t>90%</w:t>
            </w:r>
            <w:r>
              <w:rPr>
                <w:rFonts w:hint="eastAsia"/>
                <w:color w:val="auto"/>
                <w:sz w:val="24"/>
                <w:szCs w:val="24"/>
              </w:rPr>
              <w:t>计，</w:t>
            </w:r>
            <w:r>
              <w:rPr>
                <w:rFonts w:hint="eastAsia"/>
                <w:color w:val="auto"/>
                <w:sz w:val="24"/>
                <w:szCs w:val="24"/>
                <w:lang w:val="en-US" w:eastAsia="zh-CN"/>
              </w:rPr>
              <w:t>故项目CIP清洗废水产生量为11.69</w:t>
            </w:r>
            <w:r>
              <w:rPr>
                <w:rFonts w:hint="eastAsia"/>
                <w:color w:val="auto"/>
                <w:sz w:val="24"/>
                <w:highlight w:val="none"/>
                <w:lang w:val="en-US" w:eastAsia="zh-CN"/>
              </w:rPr>
              <w:t>m</w:t>
            </w:r>
            <w:r>
              <w:rPr>
                <w:rFonts w:hint="eastAsia"/>
                <w:color w:val="auto"/>
                <w:sz w:val="24"/>
                <w:highlight w:val="none"/>
                <w:vertAlign w:val="superscript"/>
                <w:lang w:val="en-US" w:eastAsia="zh-CN"/>
              </w:rPr>
              <w:t>3</w:t>
            </w:r>
            <w:r>
              <w:rPr>
                <w:rFonts w:hint="eastAsia"/>
                <w:color w:val="auto"/>
                <w:sz w:val="24"/>
                <w:highlight w:val="none"/>
                <w:lang w:val="en-US" w:eastAsia="zh-CN"/>
              </w:rPr>
              <w:t>/d（其中杀菌机清洗废水量约2.7m</w:t>
            </w:r>
            <w:r>
              <w:rPr>
                <w:rFonts w:hint="eastAsia"/>
                <w:color w:val="auto"/>
                <w:sz w:val="24"/>
                <w:highlight w:val="none"/>
                <w:vertAlign w:val="superscript"/>
                <w:lang w:val="en-US" w:eastAsia="zh-CN"/>
              </w:rPr>
              <w:t>3</w:t>
            </w:r>
            <w:r>
              <w:rPr>
                <w:rFonts w:hint="eastAsia"/>
                <w:color w:val="auto"/>
                <w:sz w:val="24"/>
                <w:highlight w:val="none"/>
                <w:lang w:val="en-US" w:eastAsia="zh-CN"/>
              </w:rPr>
              <w:t>/d，其余设备废水量约为8.99m</w:t>
            </w:r>
            <w:r>
              <w:rPr>
                <w:rFonts w:hint="eastAsia"/>
                <w:color w:val="auto"/>
                <w:sz w:val="24"/>
                <w:highlight w:val="none"/>
                <w:vertAlign w:val="superscript"/>
                <w:lang w:val="en-US" w:eastAsia="zh-CN"/>
              </w:rPr>
              <w:t>3</w:t>
            </w:r>
            <w:r>
              <w:rPr>
                <w:rFonts w:hint="eastAsia"/>
                <w:color w:val="auto"/>
                <w:sz w:val="24"/>
                <w:highlight w:val="none"/>
                <w:lang w:val="en-US" w:eastAsia="zh-CN"/>
              </w:rPr>
              <w:t>/d），2338</w:t>
            </w:r>
            <w:r>
              <w:rPr>
                <w:rFonts w:hint="eastAsia"/>
                <w:color w:val="auto"/>
                <w:sz w:val="24"/>
                <w:lang w:val="en-US" w:eastAsia="zh-CN"/>
              </w:rPr>
              <w:t>m</w:t>
            </w:r>
            <w:r>
              <w:rPr>
                <w:rFonts w:hint="eastAsia"/>
                <w:color w:val="auto"/>
                <w:sz w:val="24"/>
                <w:vertAlign w:val="superscript"/>
                <w:lang w:val="en-US" w:eastAsia="zh-CN"/>
              </w:rPr>
              <w:t>3</w:t>
            </w:r>
            <w:r>
              <w:rPr>
                <w:rFonts w:hint="eastAsia"/>
                <w:color w:val="auto"/>
                <w:sz w:val="24"/>
                <w:lang w:val="en-US" w:eastAsia="zh-CN"/>
              </w:rPr>
              <w:t>/a</w:t>
            </w:r>
            <w:r>
              <w:rPr>
                <w:rFonts w:hint="eastAsia"/>
                <w:color w:val="auto"/>
                <w:sz w:val="24"/>
                <w:highlight w:val="none"/>
                <w:lang w:val="en-US" w:eastAsia="zh-CN"/>
              </w:rPr>
              <w:t>（其中杀菌机清洗废水量约108</w:t>
            </w:r>
            <w:r>
              <w:rPr>
                <w:rFonts w:hint="eastAsia"/>
                <w:color w:val="auto"/>
                <w:sz w:val="24"/>
                <w:highlight w:val="none"/>
                <w:vertAlign w:val="superscript"/>
                <w:lang w:val="en-US" w:eastAsia="zh-CN"/>
              </w:rPr>
              <w:t>3</w:t>
            </w:r>
            <w:r>
              <w:rPr>
                <w:rFonts w:hint="eastAsia"/>
                <w:color w:val="auto"/>
                <w:sz w:val="24"/>
                <w:highlight w:val="none"/>
                <w:lang w:val="en-US" w:eastAsia="zh-CN"/>
              </w:rPr>
              <w:t>/a，其余设备废水量约为1798m</w:t>
            </w:r>
            <w:r>
              <w:rPr>
                <w:rFonts w:hint="eastAsia"/>
                <w:color w:val="auto"/>
                <w:sz w:val="24"/>
                <w:highlight w:val="none"/>
                <w:vertAlign w:val="superscript"/>
                <w:lang w:val="en-US" w:eastAsia="zh-CN"/>
              </w:rPr>
              <w:t>3</w:t>
            </w:r>
            <w:r>
              <w:rPr>
                <w:rFonts w:hint="eastAsia"/>
                <w:color w:val="auto"/>
                <w:sz w:val="24"/>
                <w:highlight w:val="none"/>
                <w:lang w:val="en-US" w:eastAsia="zh-CN"/>
              </w:rPr>
              <w:t>/a）</w:t>
            </w:r>
            <w:r>
              <w:rPr>
                <w:rFonts w:hint="eastAsia"/>
                <w:color w:val="auto"/>
                <w:sz w:val="24"/>
                <w:lang w:val="en-US" w:eastAsia="zh-CN"/>
              </w:rPr>
              <w:t>。废水进入一体化污水处理站处理。</w:t>
            </w:r>
          </w:p>
          <w:p w14:paraId="691A05DE">
            <w:pPr>
              <w:adjustRightInd w:val="0"/>
              <w:snapToGrid w:val="0"/>
              <w:spacing w:line="360" w:lineRule="auto"/>
              <w:ind w:firstLine="482" w:firstLineChars="200"/>
              <w:textAlignment w:val="baseline"/>
              <w:rPr>
                <w:b/>
                <w:bCs/>
                <w:color w:val="auto"/>
                <w:sz w:val="24"/>
              </w:rPr>
            </w:pPr>
            <w:r>
              <w:rPr>
                <w:rFonts w:hint="eastAsia" w:ascii="宋体" w:hAnsi="宋体" w:eastAsia="宋体" w:cs="宋体"/>
                <w:b/>
                <w:bCs/>
                <w:color w:val="auto"/>
                <w:sz w:val="24"/>
              </w:rPr>
              <w:t>④</w:t>
            </w:r>
            <w:r>
              <w:rPr>
                <w:rFonts w:hint="eastAsia" w:ascii="宋体" w:hAnsi="宋体" w:cs="宋体"/>
                <w:b/>
                <w:bCs/>
                <w:color w:val="auto"/>
                <w:sz w:val="24"/>
                <w:lang w:val="en-US" w:eastAsia="zh-CN"/>
              </w:rPr>
              <w:t>第一道</w:t>
            </w:r>
            <w:r>
              <w:rPr>
                <w:rFonts w:hint="eastAsia" w:eastAsia="宋体"/>
                <w:b/>
                <w:bCs/>
                <w:color w:val="auto"/>
                <w:sz w:val="24"/>
                <w:lang w:val="en-US" w:eastAsia="zh-CN"/>
              </w:rPr>
              <w:t>水果</w:t>
            </w:r>
            <w:r>
              <w:rPr>
                <w:rFonts w:hint="eastAsia"/>
                <w:b/>
                <w:bCs/>
                <w:color w:val="auto"/>
                <w:sz w:val="24"/>
                <w:lang w:val="en-US" w:eastAsia="zh-CN"/>
              </w:rPr>
              <w:t>鼓泡</w:t>
            </w:r>
            <w:r>
              <w:rPr>
                <w:b/>
                <w:bCs/>
                <w:color w:val="auto"/>
                <w:sz w:val="24"/>
              </w:rPr>
              <w:t>清洗用水</w:t>
            </w:r>
          </w:p>
          <w:p w14:paraId="4DBC20CC">
            <w:pPr>
              <w:adjustRightInd w:val="0"/>
              <w:snapToGrid w:val="0"/>
              <w:spacing w:line="360" w:lineRule="auto"/>
              <w:ind w:firstLine="480" w:firstLineChars="200"/>
              <w:rPr>
                <w:rFonts w:hint="default" w:eastAsia="宋体"/>
                <w:color w:val="auto"/>
                <w:sz w:val="24"/>
                <w:lang w:val="en-US" w:eastAsia="zh-CN"/>
              </w:rPr>
            </w:pPr>
            <w:r>
              <w:rPr>
                <w:rFonts w:hint="eastAsia"/>
                <w:color w:val="auto"/>
                <w:sz w:val="24"/>
                <w:highlight w:val="none"/>
                <w:lang w:val="en-US" w:eastAsia="zh-CN"/>
              </w:rPr>
              <w:t>本次技改后，</w:t>
            </w:r>
            <w:r>
              <w:rPr>
                <w:rFonts w:hint="eastAsia"/>
                <w:color w:val="auto"/>
                <w:sz w:val="24"/>
                <w:lang w:val="en-US" w:eastAsia="zh-CN"/>
              </w:rPr>
              <w:t>水果第一道鼓泡清洗工艺及水量不变，使用浓水，用水量约为7.52m</w:t>
            </w:r>
            <w:r>
              <w:rPr>
                <w:rFonts w:hint="eastAsia"/>
                <w:color w:val="auto"/>
                <w:sz w:val="24"/>
                <w:vertAlign w:val="superscript"/>
                <w:lang w:val="en-US" w:eastAsia="zh-CN"/>
              </w:rPr>
              <w:t>3</w:t>
            </w:r>
            <w:r>
              <w:rPr>
                <w:rFonts w:hint="eastAsia"/>
                <w:color w:val="auto"/>
                <w:sz w:val="24"/>
                <w:lang w:val="en-US" w:eastAsia="zh-CN"/>
              </w:rPr>
              <w:t>/d，1504m</w:t>
            </w:r>
            <w:r>
              <w:rPr>
                <w:rFonts w:hint="eastAsia"/>
                <w:color w:val="auto"/>
                <w:sz w:val="24"/>
                <w:vertAlign w:val="superscript"/>
                <w:lang w:val="en-US" w:eastAsia="zh-CN"/>
              </w:rPr>
              <w:t>3</w:t>
            </w:r>
            <w:r>
              <w:rPr>
                <w:rFonts w:hint="eastAsia"/>
                <w:color w:val="auto"/>
                <w:sz w:val="24"/>
                <w:lang w:val="en-US" w:eastAsia="zh-CN"/>
              </w:rPr>
              <w:t>/a，</w:t>
            </w:r>
            <w:r>
              <w:rPr>
                <w:color w:val="auto"/>
                <w:sz w:val="24"/>
              </w:rPr>
              <w:t>排水量按90%计，则废水</w:t>
            </w:r>
            <w:r>
              <w:rPr>
                <w:rFonts w:hint="eastAsia"/>
                <w:color w:val="auto"/>
                <w:sz w:val="24"/>
                <w:lang w:val="en-US" w:eastAsia="zh-CN"/>
              </w:rPr>
              <w:t>产生量</w:t>
            </w:r>
            <w:r>
              <w:rPr>
                <w:color w:val="auto"/>
                <w:sz w:val="24"/>
              </w:rPr>
              <w:t>为</w:t>
            </w:r>
            <w:r>
              <w:rPr>
                <w:rFonts w:hint="eastAsia"/>
                <w:color w:val="auto"/>
                <w:sz w:val="24"/>
                <w:lang w:val="en-US" w:eastAsia="zh-CN"/>
              </w:rPr>
              <w:t>6.77</w:t>
            </w:r>
            <w:r>
              <w:rPr>
                <w:color w:val="auto"/>
                <w:sz w:val="24"/>
              </w:rPr>
              <w:t>m</w:t>
            </w:r>
            <w:r>
              <w:rPr>
                <w:color w:val="auto"/>
                <w:sz w:val="24"/>
                <w:vertAlign w:val="superscript"/>
              </w:rPr>
              <w:t>3</w:t>
            </w:r>
            <w:r>
              <w:rPr>
                <w:color w:val="auto"/>
                <w:sz w:val="24"/>
              </w:rPr>
              <w:t>/d</w:t>
            </w:r>
            <w:r>
              <w:rPr>
                <w:rFonts w:hint="eastAsia"/>
                <w:color w:val="auto"/>
                <w:sz w:val="24"/>
                <w:lang w:eastAsia="zh-CN"/>
              </w:rPr>
              <w:t>，</w:t>
            </w:r>
            <w:r>
              <w:rPr>
                <w:rFonts w:hint="eastAsia"/>
                <w:color w:val="auto"/>
                <w:sz w:val="24"/>
                <w:lang w:val="en-US" w:eastAsia="zh-CN"/>
              </w:rPr>
              <w:t>1354m</w:t>
            </w:r>
            <w:r>
              <w:rPr>
                <w:rFonts w:hint="eastAsia"/>
                <w:color w:val="auto"/>
                <w:sz w:val="24"/>
                <w:vertAlign w:val="superscript"/>
                <w:lang w:val="en-US" w:eastAsia="zh-CN"/>
              </w:rPr>
              <w:t>3</w:t>
            </w:r>
            <w:r>
              <w:rPr>
                <w:rFonts w:hint="eastAsia"/>
                <w:color w:val="auto"/>
                <w:sz w:val="24"/>
                <w:lang w:val="en-US" w:eastAsia="zh-CN"/>
              </w:rPr>
              <w:t>/a</w:t>
            </w:r>
            <w:r>
              <w:rPr>
                <w:color w:val="auto"/>
                <w:sz w:val="24"/>
              </w:rPr>
              <w:t>。</w:t>
            </w:r>
            <w:r>
              <w:rPr>
                <w:rFonts w:hint="eastAsia" w:cs="Times New Roman"/>
                <w:color w:val="auto"/>
                <w:kern w:val="0"/>
                <w:sz w:val="24"/>
                <w:szCs w:val="24"/>
                <w:highlight w:val="none"/>
                <w:lang w:val="en-US" w:eastAsia="zh-CN" w:bidi="ar"/>
              </w:rPr>
              <w:t>废水进入</w:t>
            </w:r>
            <w:r>
              <w:rPr>
                <w:rFonts w:hint="eastAsia" w:ascii="Times New Roman" w:hAnsi="Times New Roman" w:cs="Times New Roman"/>
                <w:color w:val="auto"/>
                <w:kern w:val="0"/>
                <w:sz w:val="24"/>
                <w:szCs w:val="24"/>
                <w:highlight w:val="none"/>
                <w:lang w:val="en-US" w:eastAsia="zh-CN" w:bidi="ar"/>
              </w:rPr>
              <w:t>沉淀池</w:t>
            </w:r>
            <w:r>
              <w:rPr>
                <w:rFonts w:hint="eastAsia" w:cs="Times New Roman"/>
                <w:color w:val="auto"/>
                <w:kern w:val="0"/>
                <w:sz w:val="24"/>
                <w:szCs w:val="24"/>
                <w:highlight w:val="none"/>
                <w:lang w:val="en-US" w:eastAsia="zh-CN" w:bidi="ar"/>
              </w:rPr>
              <w:t>（</w:t>
            </w:r>
            <w:r>
              <w:rPr>
                <w:rFonts w:hint="eastAsia" w:ascii="Times New Roman" w:hAnsi="Times New Roman"/>
                <w:color w:val="auto"/>
                <w:sz w:val="24"/>
                <w:szCs w:val="24"/>
                <w:highlight w:val="none"/>
                <w:lang w:val="en-US" w:eastAsia="zh-CN"/>
              </w:rPr>
              <w:t>调节+气浮沉淀</w:t>
            </w:r>
            <w:r>
              <w:rPr>
                <w:rFonts w:hint="eastAsia" w:cs="Times New Roman"/>
                <w:color w:val="auto"/>
                <w:kern w:val="0"/>
                <w:sz w:val="24"/>
                <w:szCs w:val="24"/>
                <w:highlight w:val="none"/>
                <w:lang w:val="en-US" w:eastAsia="zh-CN" w:bidi="ar"/>
              </w:rPr>
              <w:t>）处理。</w:t>
            </w:r>
          </w:p>
          <w:p w14:paraId="671D08AA">
            <w:pPr>
              <w:adjustRightInd w:val="0"/>
              <w:snapToGrid w:val="0"/>
              <w:spacing w:line="360" w:lineRule="auto"/>
              <w:ind w:firstLine="482" w:firstLineChars="200"/>
              <w:rPr>
                <w:rFonts w:hint="default" w:eastAsia="宋体"/>
                <w:b/>
                <w:bCs/>
                <w:color w:val="auto"/>
                <w:sz w:val="24"/>
                <w:lang w:val="en-US" w:eastAsia="zh-CN"/>
              </w:rPr>
            </w:pPr>
            <w:r>
              <w:rPr>
                <w:rFonts w:hint="eastAsia" w:ascii="宋体" w:hAnsi="宋体" w:eastAsia="宋体" w:cs="宋体"/>
                <w:b/>
                <w:bCs/>
                <w:color w:val="auto"/>
                <w:sz w:val="24"/>
              </w:rPr>
              <w:t>⑤</w:t>
            </w:r>
            <w:r>
              <w:rPr>
                <w:rFonts w:hint="eastAsia" w:eastAsia="宋体"/>
                <w:b/>
                <w:bCs/>
                <w:color w:val="auto"/>
                <w:sz w:val="24"/>
                <w:lang w:val="en-US" w:eastAsia="zh-CN"/>
              </w:rPr>
              <w:t>第二道水果毛刷清洗用水</w:t>
            </w:r>
          </w:p>
          <w:p w14:paraId="750AC0E2">
            <w:pPr>
              <w:adjustRightInd w:val="0"/>
              <w:snapToGrid w:val="0"/>
              <w:spacing w:line="360" w:lineRule="auto"/>
              <w:ind w:firstLine="480" w:firstLineChars="200"/>
              <w:rPr>
                <w:color w:val="auto"/>
                <w:sz w:val="24"/>
              </w:rPr>
            </w:pPr>
            <w:r>
              <w:rPr>
                <w:rFonts w:hint="eastAsia"/>
                <w:color w:val="auto"/>
                <w:sz w:val="24"/>
                <w:highlight w:val="none"/>
                <w:lang w:val="en-US" w:eastAsia="zh-CN"/>
              </w:rPr>
              <w:t>本次技改后，</w:t>
            </w:r>
            <w:r>
              <w:rPr>
                <w:rFonts w:hint="eastAsia"/>
                <w:color w:val="auto"/>
                <w:sz w:val="24"/>
                <w:lang w:val="en-US" w:eastAsia="zh-CN"/>
              </w:rPr>
              <w:t>水果第二道毛刷清洗工艺及水量不变，使用浓水，用水量约为4.51m</w:t>
            </w:r>
            <w:r>
              <w:rPr>
                <w:rFonts w:hint="eastAsia"/>
                <w:color w:val="auto"/>
                <w:sz w:val="24"/>
                <w:vertAlign w:val="superscript"/>
                <w:lang w:val="en-US" w:eastAsia="zh-CN"/>
              </w:rPr>
              <w:t>3</w:t>
            </w:r>
            <w:r>
              <w:rPr>
                <w:rFonts w:hint="eastAsia"/>
                <w:color w:val="auto"/>
                <w:sz w:val="24"/>
                <w:lang w:val="en-US" w:eastAsia="zh-CN"/>
              </w:rPr>
              <w:t>/d，902m</w:t>
            </w:r>
            <w:r>
              <w:rPr>
                <w:rFonts w:hint="eastAsia"/>
                <w:color w:val="auto"/>
                <w:sz w:val="24"/>
                <w:vertAlign w:val="superscript"/>
                <w:lang w:val="en-US" w:eastAsia="zh-CN"/>
              </w:rPr>
              <w:t>3</w:t>
            </w:r>
            <w:r>
              <w:rPr>
                <w:rFonts w:hint="eastAsia"/>
                <w:color w:val="auto"/>
                <w:sz w:val="24"/>
                <w:lang w:val="en-US" w:eastAsia="zh-CN"/>
              </w:rPr>
              <w:t>/a，</w:t>
            </w:r>
            <w:r>
              <w:rPr>
                <w:color w:val="auto"/>
                <w:sz w:val="24"/>
              </w:rPr>
              <w:t>排水量按90%计，则废水</w:t>
            </w:r>
            <w:r>
              <w:rPr>
                <w:rFonts w:hint="eastAsia"/>
                <w:color w:val="auto"/>
                <w:sz w:val="24"/>
                <w:lang w:val="en-US" w:eastAsia="zh-CN"/>
              </w:rPr>
              <w:t>产生量</w:t>
            </w:r>
            <w:r>
              <w:rPr>
                <w:color w:val="auto"/>
                <w:sz w:val="24"/>
              </w:rPr>
              <w:t>为</w:t>
            </w:r>
            <w:r>
              <w:rPr>
                <w:rFonts w:hint="eastAsia"/>
                <w:color w:val="auto"/>
                <w:sz w:val="24"/>
                <w:lang w:val="en-US" w:eastAsia="zh-CN"/>
              </w:rPr>
              <w:t>4.06</w:t>
            </w:r>
            <w:r>
              <w:rPr>
                <w:color w:val="auto"/>
                <w:sz w:val="24"/>
              </w:rPr>
              <w:t>m</w:t>
            </w:r>
            <w:r>
              <w:rPr>
                <w:color w:val="auto"/>
                <w:sz w:val="24"/>
                <w:vertAlign w:val="superscript"/>
              </w:rPr>
              <w:t>3</w:t>
            </w:r>
            <w:r>
              <w:rPr>
                <w:color w:val="auto"/>
                <w:sz w:val="24"/>
              </w:rPr>
              <w:t>/d</w:t>
            </w:r>
            <w:r>
              <w:rPr>
                <w:rFonts w:hint="eastAsia"/>
                <w:color w:val="auto"/>
                <w:sz w:val="24"/>
                <w:lang w:eastAsia="zh-CN"/>
              </w:rPr>
              <w:t>，</w:t>
            </w:r>
            <w:r>
              <w:rPr>
                <w:rFonts w:hint="eastAsia"/>
                <w:color w:val="auto"/>
                <w:sz w:val="24"/>
                <w:lang w:val="en-US" w:eastAsia="zh-CN"/>
              </w:rPr>
              <w:t>812m</w:t>
            </w:r>
            <w:r>
              <w:rPr>
                <w:rFonts w:hint="eastAsia"/>
                <w:color w:val="auto"/>
                <w:sz w:val="24"/>
                <w:vertAlign w:val="superscript"/>
                <w:lang w:val="en-US" w:eastAsia="zh-CN"/>
              </w:rPr>
              <w:t>3</w:t>
            </w:r>
            <w:r>
              <w:rPr>
                <w:rFonts w:hint="eastAsia"/>
                <w:color w:val="auto"/>
                <w:sz w:val="24"/>
                <w:lang w:val="en-US" w:eastAsia="zh-CN"/>
              </w:rPr>
              <w:t>/a</w:t>
            </w:r>
            <w:r>
              <w:rPr>
                <w:color w:val="auto"/>
                <w:sz w:val="24"/>
              </w:rPr>
              <w:t>。</w:t>
            </w:r>
            <w:r>
              <w:rPr>
                <w:rFonts w:hint="eastAsia" w:cs="Times New Roman"/>
                <w:color w:val="auto"/>
                <w:kern w:val="0"/>
                <w:sz w:val="24"/>
                <w:szCs w:val="24"/>
                <w:highlight w:val="none"/>
                <w:lang w:val="en-US" w:eastAsia="zh-CN" w:bidi="ar"/>
              </w:rPr>
              <w:t>废水进入</w:t>
            </w:r>
            <w:r>
              <w:rPr>
                <w:rFonts w:hint="eastAsia" w:ascii="Times New Roman" w:hAnsi="Times New Roman" w:cs="Times New Roman"/>
                <w:color w:val="auto"/>
                <w:kern w:val="0"/>
                <w:sz w:val="24"/>
                <w:szCs w:val="24"/>
                <w:highlight w:val="none"/>
                <w:lang w:val="en-US" w:eastAsia="zh-CN" w:bidi="ar"/>
              </w:rPr>
              <w:t>沉淀池</w:t>
            </w:r>
            <w:r>
              <w:rPr>
                <w:rFonts w:hint="eastAsia" w:cs="Times New Roman"/>
                <w:color w:val="auto"/>
                <w:kern w:val="0"/>
                <w:sz w:val="24"/>
                <w:szCs w:val="24"/>
                <w:highlight w:val="none"/>
                <w:lang w:val="en-US" w:eastAsia="zh-CN" w:bidi="ar"/>
              </w:rPr>
              <w:t>（</w:t>
            </w:r>
            <w:r>
              <w:rPr>
                <w:rFonts w:hint="eastAsia" w:ascii="Times New Roman" w:hAnsi="Times New Roman"/>
                <w:color w:val="auto"/>
                <w:sz w:val="24"/>
                <w:szCs w:val="24"/>
                <w:highlight w:val="none"/>
                <w:lang w:val="en-US" w:eastAsia="zh-CN"/>
              </w:rPr>
              <w:t>调节+气浮沉淀</w:t>
            </w:r>
            <w:r>
              <w:rPr>
                <w:rFonts w:hint="eastAsia" w:cs="Times New Roman"/>
                <w:color w:val="auto"/>
                <w:kern w:val="0"/>
                <w:sz w:val="24"/>
                <w:szCs w:val="24"/>
                <w:highlight w:val="none"/>
                <w:lang w:val="en-US" w:eastAsia="zh-CN" w:bidi="ar"/>
              </w:rPr>
              <w:t>）处理。</w:t>
            </w:r>
          </w:p>
          <w:p w14:paraId="3CD2A899">
            <w:pPr>
              <w:adjustRightInd w:val="0"/>
              <w:snapToGrid w:val="0"/>
              <w:spacing w:line="360" w:lineRule="auto"/>
              <w:ind w:firstLine="482" w:firstLineChars="200"/>
              <w:rPr>
                <w:rFonts w:hint="default"/>
                <w:b/>
                <w:bCs/>
                <w:color w:val="auto"/>
                <w:sz w:val="24"/>
                <w:lang w:val="en-US" w:eastAsia="zh-CN"/>
              </w:rPr>
            </w:pPr>
            <w:r>
              <w:rPr>
                <w:rFonts w:hint="eastAsia" w:ascii="宋体" w:hAnsi="宋体" w:eastAsia="宋体" w:cs="宋体"/>
                <w:b/>
                <w:bCs/>
                <w:color w:val="auto"/>
                <w:sz w:val="24"/>
                <w:lang w:val="en-US" w:eastAsia="zh-CN"/>
              </w:rPr>
              <w:t>⑥</w:t>
            </w:r>
            <w:r>
              <w:rPr>
                <w:rFonts w:hint="eastAsia"/>
                <w:b/>
                <w:bCs/>
                <w:color w:val="auto"/>
                <w:sz w:val="24"/>
                <w:lang w:val="en-US" w:eastAsia="zh-CN"/>
              </w:rPr>
              <w:t>第三道水果鼓泡消毒用水</w:t>
            </w:r>
          </w:p>
          <w:p w14:paraId="5F684B5B">
            <w:pPr>
              <w:adjustRightInd w:val="0"/>
              <w:snapToGrid w:val="0"/>
              <w:spacing w:line="360" w:lineRule="auto"/>
              <w:ind w:firstLine="480" w:firstLineChars="200"/>
              <w:rPr>
                <w:color w:val="auto"/>
                <w:sz w:val="24"/>
              </w:rPr>
            </w:pPr>
            <w:r>
              <w:rPr>
                <w:rFonts w:hint="eastAsia"/>
                <w:color w:val="auto"/>
                <w:sz w:val="24"/>
                <w:highlight w:val="none"/>
                <w:lang w:val="en-US" w:eastAsia="zh-CN"/>
              </w:rPr>
              <w:t>本次技改后，</w:t>
            </w:r>
            <w:r>
              <w:rPr>
                <w:rFonts w:hint="eastAsia"/>
                <w:color w:val="auto"/>
                <w:sz w:val="24"/>
                <w:lang w:val="en-US" w:eastAsia="zh-CN"/>
              </w:rPr>
              <w:t>水果第三道鼓泡消毒工艺及水量不变，使用纯水，鼓泡消毒过程需添加</w:t>
            </w:r>
            <w:r>
              <w:rPr>
                <w:color w:val="auto"/>
                <w:sz w:val="24"/>
              </w:rPr>
              <w:t>苏纳米100</w:t>
            </w:r>
            <w:r>
              <w:rPr>
                <w:rFonts w:hint="eastAsia"/>
                <w:color w:val="auto"/>
                <w:sz w:val="24"/>
                <w:lang w:val="en-US" w:eastAsia="zh-CN"/>
              </w:rPr>
              <w:t>，</w:t>
            </w:r>
            <w:r>
              <w:rPr>
                <w:color w:val="auto"/>
                <w:sz w:val="24"/>
              </w:rPr>
              <w:t>苏纳米100</w:t>
            </w:r>
            <w:r>
              <w:rPr>
                <w:rFonts w:hint="eastAsia"/>
                <w:color w:val="auto"/>
                <w:sz w:val="24"/>
                <w:lang w:val="en-US" w:eastAsia="zh-CN"/>
              </w:rPr>
              <w:t>可完全分解为水和氧气，对产品、人体和环境无害</w:t>
            </w:r>
            <w:r>
              <w:rPr>
                <w:rFonts w:hint="eastAsia"/>
                <w:color w:val="auto"/>
                <w:sz w:val="24"/>
                <w:szCs w:val="24"/>
                <w:lang w:val="en-US" w:eastAsia="zh-CN"/>
              </w:rPr>
              <w:t>，产生的废水无需进行中和处理。</w:t>
            </w:r>
            <w:r>
              <w:rPr>
                <w:rFonts w:hint="eastAsia"/>
                <w:color w:val="auto"/>
                <w:sz w:val="24"/>
                <w:lang w:val="en-US" w:eastAsia="zh-CN"/>
              </w:rPr>
              <w:t>此过程用水量约为2.82m</w:t>
            </w:r>
            <w:r>
              <w:rPr>
                <w:rFonts w:hint="eastAsia"/>
                <w:color w:val="auto"/>
                <w:sz w:val="24"/>
                <w:vertAlign w:val="superscript"/>
                <w:lang w:val="en-US" w:eastAsia="zh-CN"/>
              </w:rPr>
              <w:t>3</w:t>
            </w:r>
            <w:r>
              <w:rPr>
                <w:rFonts w:hint="eastAsia"/>
                <w:color w:val="auto"/>
                <w:sz w:val="24"/>
                <w:lang w:val="en-US" w:eastAsia="zh-CN"/>
              </w:rPr>
              <w:t>/d，564m</w:t>
            </w:r>
            <w:r>
              <w:rPr>
                <w:rFonts w:hint="eastAsia"/>
                <w:color w:val="auto"/>
                <w:sz w:val="24"/>
                <w:vertAlign w:val="superscript"/>
                <w:lang w:val="en-US" w:eastAsia="zh-CN"/>
              </w:rPr>
              <w:t>3</w:t>
            </w:r>
            <w:r>
              <w:rPr>
                <w:rFonts w:hint="eastAsia"/>
                <w:color w:val="auto"/>
                <w:sz w:val="24"/>
                <w:lang w:val="en-US" w:eastAsia="zh-CN"/>
              </w:rPr>
              <w:t>/a，</w:t>
            </w:r>
            <w:r>
              <w:rPr>
                <w:color w:val="auto"/>
                <w:sz w:val="24"/>
              </w:rPr>
              <w:t>排水量按90%计，则废水</w:t>
            </w:r>
            <w:r>
              <w:rPr>
                <w:rFonts w:hint="eastAsia"/>
                <w:color w:val="auto"/>
                <w:sz w:val="24"/>
                <w:lang w:val="en-US" w:eastAsia="zh-CN"/>
              </w:rPr>
              <w:t>产生量</w:t>
            </w:r>
            <w:r>
              <w:rPr>
                <w:color w:val="auto"/>
                <w:sz w:val="24"/>
              </w:rPr>
              <w:t>为</w:t>
            </w:r>
            <w:r>
              <w:rPr>
                <w:rFonts w:hint="eastAsia"/>
                <w:color w:val="auto"/>
                <w:sz w:val="24"/>
                <w:lang w:val="en-US" w:eastAsia="zh-CN"/>
              </w:rPr>
              <w:t>2.54</w:t>
            </w:r>
            <w:r>
              <w:rPr>
                <w:color w:val="auto"/>
                <w:sz w:val="24"/>
              </w:rPr>
              <w:t>m</w:t>
            </w:r>
            <w:r>
              <w:rPr>
                <w:color w:val="auto"/>
                <w:sz w:val="24"/>
                <w:vertAlign w:val="superscript"/>
              </w:rPr>
              <w:t>3</w:t>
            </w:r>
            <w:r>
              <w:rPr>
                <w:color w:val="auto"/>
                <w:sz w:val="24"/>
              </w:rPr>
              <w:t>/d</w:t>
            </w:r>
            <w:r>
              <w:rPr>
                <w:rFonts w:hint="eastAsia"/>
                <w:color w:val="auto"/>
                <w:sz w:val="24"/>
                <w:lang w:eastAsia="zh-CN"/>
              </w:rPr>
              <w:t>，</w:t>
            </w:r>
            <w:r>
              <w:rPr>
                <w:rFonts w:hint="eastAsia"/>
                <w:color w:val="auto"/>
                <w:sz w:val="24"/>
                <w:lang w:val="en-US" w:eastAsia="zh-CN"/>
              </w:rPr>
              <w:t>508m</w:t>
            </w:r>
            <w:r>
              <w:rPr>
                <w:rFonts w:hint="eastAsia"/>
                <w:color w:val="auto"/>
                <w:sz w:val="24"/>
                <w:vertAlign w:val="superscript"/>
                <w:lang w:val="en-US" w:eastAsia="zh-CN"/>
              </w:rPr>
              <w:t>3</w:t>
            </w:r>
            <w:r>
              <w:rPr>
                <w:rFonts w:hint="eastAsia"/>
                <w:color w:val="auto"/>
                <w:sz w:val="24"/>
                <w:lang w:val="en-US" w:eastAsia="zh-CN"/>
              </w:rPr>
              <w:t>/a</w:t>
            </w:r>
            <w:r>
              <w:rPr>
                <w:color w:val="auto"/>
                <w:sz w:val="24"/>
              </w:rPr>
              <w:t>。</w:t>
            </w:r>
            <w:r>
              <w:rPr>
                <w:rFonts w:hint="eastAsia" w:cs="Times New Roman"/>
                <w:color w:val="auto"/>
                <w:kern w:val="0"/>
                <w:sz w:val="24"/>
                <w:szCs w:val="24"/>
                <w:highlight w:val="none"/>
                <w:lang w:val="en-US" w:eastAsia="zh-CN" w:bidi="ar"/>
              </w:rPr>
              <w:t>废水进入</w:t>
            </w:r>
            <w:r>
              <w:rPr>
                <w:rFonts w:hint="eastAsia" w:ascii="Times New Roman" w:hAnsi="Times New Roman" w:cs="Times New Roman"/>
                <w:color w:val="auto"/>
                <w:kern w:val="0"/>
                <w:sz w:val="24"/>
                <w:szCs w:val="24"/>
                <w:highlight w:val="none"/>
                <w:lang w:val="en-US" w:eastAsia="zh-CN" w:bidi="ar"/>
              </w:rPr>
              <w:t>沉淀池</w:t>
            </w:r>
            <w:r>
              <w:rPr>
                <w:rFonts w:hint="eastAsia" w:cs="Times New Roman"/>
                <w:color w:val="auto"/>
                <w:kern w:val="0"/>
                <w:sz w:val="24"/>
                <w:szCs w:val="24"/>
                <w:highlight w:val="none"/>
                <w:lang w:val="en-US" w:eastAsia="zh-CN" w:bidi="ar"/>
              </w:rPr>
              <w:t>（</w:t>
            </w:r>
            <w:r>
              <w:rPr>
                <w:rFonts w:hint="eastAsia" w:ascii="Times New Roman" w:hAnsi="Times New Roman"/>
                <w:color w:val="auto"/>
                <w:sz w:val="24"/>
                <w:szCs w:val="24"/>
                <w:highlight w:val="none"/>
                <w:lang w:val="en-US" w:eastAsia="zh-CN"/>
              </w:rPr>
              <w:t>调节+气浮沉淀</w:t>
            </w:r>
            <w:r>
              <w:rPr>
                <w:rFonts w:hint="eastAsia" w:cs="Times New Roman"/>
                <w:color w:val="auto"/>
                <w:kern w:val="0"/>
                <w:sz w:val="24"/>
                <w:szCs w:val="24"/>
                <w:highlight w:val="none"/>
                <w:lang w:val="en-US" w:eastAsia="zh-CN" w:bidi="ar"/>
              </w:rPr>
              <w:t>）处理。</w:t>
            </w:r>
          </w:p>
          <w:p w14:paraId="1DAC5D38">
            <w:pPr>
              <w:adjustRightInd w:val="0"/>
              <w:snapToGrid w:val="0"/>
              <w:spacing w:line="360" w:lineRule="auto"/>
              <w:ind w:firstLine="482" w:firstLineChars="200"/>
              <w:rPr>
                <w:rFonts w:hint="default"/>
                <w:color w:val="auto"/>
                <w:sz w:val="24"/>
                <w:lang w:val="en-US" w:eastAsia="zh-CN"/>
              </w:rPr>
            </w:pPr>
            <w:r>
              <w:rPr>
                <w:rFonts w:hint="eastAsia" w:ascii="宋体" w:hAnsi="宋体" w:eastAsia="宋体" w:cs="宋体"/>
                <w:b/>
                <w:bCs/>
                <w:color w:val="auto"/>
                <w:sz w:val="24"/>
                <w:lang w:val="en-US" w:eastAsia="zh-CN"/>
              </w:rPr>
              <w:t>⑦</w:t>
            </w:r>
            <w:r>
              <w:rPr>
                <w:rFonts w:hint="eastAsia"/>
                <w:b/>
                <w:bCs/>
                <w:color w:val="auto"/>
                <w:sz w:val="24"/>
                <w:lang w:val="en-US" w:eastAsia="zh-CN"/>
              </w:rPr>
              <w:t>第四道水果鼓泡清洗用水</w:t>
            </w:r>
          </w:p>
          <w:p w14:paraId="48B92962">
            <w:pPr>
              <w:adjustRightInd w:val="0"/>
              <w:snapToGrid w:val="0"/>
              <w:spacing w:line="360" w:lineRule="auto"/>
              <w:ind w:firstLine="480" w:firstLineChars="200"/>
              <w:rPr>
                <w:color w:val="auto"/>
                <w:sz w:val="24"/>
              </w:rPr>
            </w:pPr>
            <w:r>
              <w:rPr>
                <w:rFonts w:hint="eastAsia"/>
                <w:color w:val="auto"/>
                <w:sz w:val="24"/>
                <w:highlight w:val="none"/>
                <w:lang w:val="en-US" w:eastAsia="zh-CN"/>
              </w:rPr>
              <w:t>本次技改后，</w:t>
            </w:r>
            <w:r>
              <w:rPr>
                <w:rFonts w:hint="eastAsia"/>
                <w:color w:val="auto"/>
                <w:sz w:val="24"/>
                <w:lang w:val="en-US" w:eastAsia="zh-CN"/>
              </w:rPr>
              <w:t>水果第四道鼓泡清洗工艺及水量不变，使用纯水，用水量约为15.04m</w:t>
            </w:r>
            <w:r>
              <w:rPr>
                <w:rFonts w:hint="eastAsia"/>
                <w:color w:val="auto"/>
                <w:sz w:val="24"/>
                <w:vertAlign w:val="superscript"/>
                <w:lang w:val="en-US" w:eastAsia="zh-CN"/>
              </w:rPr>
              <w:t>3</w:t>
            </w:r>
            <w:r>
              <w:rPr>
                <w:rFonts w:hint="eastAsia"/>
                <w:color w:val="auto"/>
                <w:sz w:val="24"/>
                <w:lang w:val="en-US" w:eastAsia="zh-CN"/>
              </w:rPr>
              <w:t>/d，3008m</w:t>
            </w:r>
            <w:r>
              <w:rPr>
                <w:rFonts w:hint="eastAsia"/>
                <w:color w:val="auto"/>
                <w:sz w:val="24"/>
                <w:vertAlign w:val="superscript"/>
                <w:lang w:val="en-US" w:eastAsia="zh-CN"/>
              </w:rPr>
              <w:t>3</w:t>
            </w:r>
            <w:r>
              <w:rPr>
                <w:rFonts w:hint="eastAsia"/>
                <w:color w:val="auto"/>
                <w:sz w:val="24"/>
                <w:lang w:val="en-US" w:eastAsia="zh-CN"/>
              </w:rPr>
              <w:t>/a，</w:t>
            </w:r>
            <w:r>
              <w:rPr>
                <w:color w:val="auto"/>
                <w:sz w:val="24"/>
              </w:rPr>
              <w:t>排水量按90%计，则废水</w:t>
            </w:r>
            <w:r>
              <w:rPr>
                <w:rFonts w:hint="eastAsia"/>
                <w:color w:val="auto"/>
                <w:sz w:val="24"/>
                <w:lang w:val="en-US" w:eastAsia="zh-CN"/>
              </w:rPr>
              <w:t>产生量</w:t>
            </w:r>
            <w:r>
              <w:rPr>
                <w:color w:val="auto"/>
                <w:sz w:val="24"/>
              </w:rPr>
              <w:t>为</w:t>
            </w:r>
            <w:r>
              <w:rPr>
                <w:rFonts w:hint="eastAsia"/>
                <w:color w:val="auto"/>
                <w:sz w:val="24"/>
                <w:lang w:val="en-US" w:eastAsia="zh-CN"/>
              </w:rPr>
              <w:t>13.54</w:t>
            </w:r>
            <w:r>
              <w:rPr>
                <w:color w:val="auto"/>
                <w:sz w:val="24"/>
              </w:rPr>
              <w:t>m</w:t>
            </w:r>
            <w:r>
              <w:rPr>
                <w:color w:val="auto"/>
                <w:sz w:val="24"/>
                <w:vertAlign w:val="superscript"/>
              </w:rPr>
              <w:t>3</w:t>
            </w:r>
            <w:r>
              <w:rPr>
                <w:color w:val="auto"/>
                <w:sz w:val="24"/>
              </w:rPr>
              <w:t>/d</w:t>
            </w:r>
            <w:r>
              <w:rPr>
                <w:rFonts w:hint="eastAsia"/>
                <w:color w:val="auto"/>
                <w:sz w:val="24"/>
                <w:lang w:eastAsia="zh-CN"/>
              </w:rPr>
              <w:t>，</w:t>
            </w:r>
            <w:r>
              <w:rPr>
                <w:rFonts w:hint="eastAsia"/>
                <w:color w:val="auto"/>
                <w:sz w:val="24"/>
                <w:lang w:val="en-US" w:eastAsia="zh-CN"/>
              </w:rPr>
              <w:t>2708m</w:t>
            </w:r>
            <w:r>
              <w:rPr>
                <w:rFonts w:hint="eastAsia"/>
                <w:color w:val="auto"/>
                <w:sz w:val="24"/>
                <w:vertAlign w:val="superscript"/>
                <w:lang w:val="en-US" w:eastAsia="zh-CN"/>
              </w:rPr>
              <w:t>3</w:t>
            </w:r>
            <w:r>
              <w:rPr>
                <w:rFonts w:hint="eastAsia"/>
                <w:color w:val="auto"/>
                <w:sz w:val="24"/>
                <w:lang w:val="en-US" w:eastAsia="zh-CN"/>
              </w:rPr>
              <w:t>/a</w:t>
            </w:r>
            <w:r>
              <w:rPr>
                <w:color w:val="auto"/>
                <w:sz w:val="24"/>
              </w:rPr>
              <w:t>。</w:t>
            </w:r>
            <w:r>
              <w:rPr>
                <w:rFonts w:hint="eastAsia" w:cs="Times New Roman"/>
                <w:color w:val="auto"/>
                <w:kern w:val="0"/>
                <w:sz w:val="24"/>
                <w:szCs w:val="24"/>
                <w:highlight w:val="none"/>
                <w:lang w:val="en-US" w:eastAsia="zh-CN" w:bidi="ar"/>
              </w:rPr>
              <w:t>废水进入</w:t>
            </w:r>
            <w:r>
              <w:rPr>
                <w:rFonts w:hint="eastAsia" w:ascii="Times New Roman" w:hAnsi="Times New Roman" w:cs="Times New Roman"/>
                <w:color w:val="auto"/>
                <w:kern w:val="0"/>
                <w:sz w:val="24"/>
                <w:szCs w:val="24"/>
                <w:highlight w:val="none"/>
                <w:lang w:val="en-US" w:eastAsia="zh-CN" w:bidi="ar"/>
              </w:rPr>
              <w:t>沉淀池</w:t>
            </w:r>
            <w:r>
              <w:rPr>
                <w:rFonts w:hint="eastAsia" w:cs="Times New Roman"/>
                <w:color w:val="auto"/>
                <w:kern w:val="0"/>
                <w:sz w:val="24"/>
                <w:szCs w:val="24"/>
                <w:highlight w:val="none"/>
                <w:lang w:val="en-US" w:eastAsia="zh-CN" w:bidi="ar"/>
              </w:rPr>
              <w:t>（</w:t>
            </w:r>
            <w:r>
              <w:rPr>
                <w:rFonts w:hint="eastAsia" w:ascii="Times New Roman" w:hAnsi="Times New Roman"/>
                <w:color w:val="auto"/>
                <w:sz w:val="24"/>
                <w:szCs w:val="24"/>
                <w:highlight w:val="none"/>
                <w:lang w:val="en-US" w:eastAsia="zh-CN"/>
              </w:rPr>
              <w:t>调节+气浮沉淀</w:t>
            </w:r>
            <w:r>
              <w:rPr>
                <w:rFonts w:hint="eastAsia" w:cs="Times New Roman"/>
                <w:color w:val="auto"/>
                <w:kern w:val="0"/>
                <w:sz w:val="24"/>
                <w:szCs w:val="24"/>
                <w:highlight w:val="none"/>
                <w:lang w:val="en-US" w:eastAsia="zh-CN" w:bidi="ar"/>
              </w:rPr>
              <w:t>）处理。</w:t>
            </w:r>
          </w:p>
          <w:p w14:paraId="6140CEC6">
            <w:pPr>
              <w:adjustRightInd w:val="0"/>
              <w:snapToGrid w:val="0"/>
              <w:spacing w:line="360" w:lineRule="auto"/>
              <w:ind w:firstLine="482" w:firstLineChars="200"/>
              <w:rPr>
                <w:b/>
                <w:bCs/>
                <w:color w:val="auto"/>
                <w:sz w:val="24"/>
              </w:rPr>
            </w:pPr>
            <w:r>
              <w:rPr>
                <w:rFonts w:hint="eastAsia" w:ascii="宋体" w:hAnsi="宋体" w:eastAsia="宋体" w:cs="宋体"/>
                <w:b/>
                <w:bCs/>
                <w:color w:val="auto"/>
                <w:sz w:val="24"/>
              </w:rPr>
              <w:t>⑧</w:t>
            </w:r>
            <w:r>
              <w:rPr>
                <w:b/>
                <w:bCs/>
                <w:color w:val="auto"/>
                <w:sz w:val="24"/>
              </w:rPr>
              <w:t>化验室用水</w:t>
            </w:r>
          </w:p>
          <w:p w14:paraId="19C1FBE7">
            <w:pPr>
              <w:adjustRightInd w:val="0"/>
              <w:snapToGrid w:val="0"/>
              <w:spacing w:line="360" w:lineRule="auto"/>
              <w:ind w:firstLine="480" w:firstLineChars="200"/>
              <w:textAlignment w:val="baseline"/>
              <w:rPr>
                <w:rFonts w:hint="eastAsia" w:eastAsia="宋体"/>
                <w:color w:val="auto"/>
                <w:sz w:val="24"/>
                <w:lang w:val="en-US" w:eastAsia="zh-CN"/>
              </w:rPr>
            </w:pPr>
            <w:r>
              <w:rPr>
                <w:rFonts w:hint="eastAsia"/>
                <w:color w:val="auto"/>
                <w:sz w:val="24"/>
                <w:highlight w:val="none"/>
                <w:lang w:val="en-US" w:eastAsia="zh-CN"/>
              </w:rPr>
              <w:t>本次技改后，</w:t>
            </w:r>
            <w:r>
              <w:rPr>
                <w:rFonts w:hint="eastAsia"/>
                <w:color w:val="auto"/>
                <w:sz w:val="24"/>
                <w:lang w:val="en-US" w:eastAsia="zh-CN"/>
              </w:rPr>
              <w:t>化验室检测项目及用水量不变，检测项目仍为大肠菌群、霉菌、酵母菌等，用水量约为0.38</w:t>
            </w:r>
            <w:r>
              <w:rPr>
                <w:color w:val="auto"/>
                <w:sz w:val="24"/>
              </w:rPr>
              <w:t>m³/d</w:t>
            </w:r>
            <w:r>
              <w:rPr>
                <w:rFonts w:hint="eastAsia"/>
                <w:color w:val="auto"/>
                <w:sz w:val="24"/>
                <w:lang w:eastAsia="zh-CN"/>
              </w:rPr>
              <w:t>，</w:t>
            </w:r>
            <w:r>
              <w:rPr>
                <w:rFonts w:hint="eastAsia"/>
                <w:color w:val="auto"/>
                <w:sz w:val="24"/>
                <w:lang w:val="en-US" w:eastAsia="zh-CN"/>
              </w:rPr>
              <w:t>76</w:t>
            </w:r>
            <w:r>
              <w:rPr>
                <w:rFonts w:hint="eastAsia" w:ascii="Times New Roman" w:hAnsi="Times New Roman" w:cs="Times New Roman"/>
                <w:color w:val="auto"/>
                <w:sz w:val="24"/>
                <w:lang w:val="en-US" w:eastAsia="zh-CN"/>
              </w:rPr>
              <w:t>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/a</w:t>
            </w:r>
            <w:r>
              <w:rPr>
                <w:color w:val="auto"/>
                <w:sz w:val="24"/>
              </w:rPr>
              <w:t>，</w:t>
            </w:r>
            <w:r>
              <w:rPr>
                <w:rFonts w:hint="eastAsia"/>
                <w:b w:val="0"/>
                <w:bCs/>
                <w:color w:val="auto"/>
                <w:sz w:val="24"/>
                <w:szCs w:val="24"/>
                <w:lang w:val="en-US" w:eastAsia="zh-CN"/>
              </w:rPr>
              <w:t>产污系数按85%计，则废水产生量为0.32</w:t>
            </w:r>
            <w:r>
              <w:rPr>
                <w:color w:val="auto"/>
                <w:sz w:val="24"/>
              </w:rPr>
              <w:t>m³/d</w:t>
            </w:r>
            <w:r>
              <w:rPr>
                <w:rFonts w:hint="eastAsia"/>
                <w:color w:val="auto"/>
                <w:sz w:val="24"/>
                <w:lang w:eastAsia="zh-CN"/>
              </w:rPr>
              <w:t>，</w:t>
            </w:r>
            <w:r>
              <w:rPr>
                <w:rFonts w:hint="eastAsia"/>
                <w:color w:val="auto"/>
                <w:sz w:val="24"/>
                <w:lang w:val="en-US" w:eastAsia="zh-CN"/>
              </w:rPr>
              <w:t>64</w:t>
            </w:r>
            <w:r>
              <w:rPr>
                <w:rFonts w:hint="eastAsia" w:ascii="Times New Roman" w:hAnsi="Times New Roman" w:cs="Times New Roman"/>
                <w:color w:val="auto"/>
                <w:sz w:val="24"/>
                <w:lang w:val="en-US" w:eastAsia="zh-CN"/>
              </w:rPr>
              <w:t>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/a</w:t>
            </w:r>
            <w:r>
              <w:rPr>
                <w:rFonts w:hint="eastAsia"/>
                <w:color w:val="auto"/>
                <w:sz w:val="24"/>
                <w:lang w:eastAsia="zh-CN"/>
              </w:rPr>
              <w:t>。</w:t>
            </w:r>
            <w:r>
              <w:rPr>
                <w:rFonts w:hint="eastAsia"/>
                <w:color w:val="auto"/>
                <w:sz w:val="24"/>
                <w:lang w:val="en-US" w:eastAsia="zh-CN"/>
              </w:rPr>
              <w:t>废水进入一体化污水处理站处理。</w:t>
            </w:r>
          </w:p>
          <w:p w14:paraId="4BADDA18">
            <w:pPr>
              <w:adjustRightInd w:val="0"/>
              <w:snapToGrid w:val="0"/>
              <w:spacing w:line="360" w:lineRule="auto"/>
              <w:ind w:firstLine="482" w:firstLineChars="200"/>
              <w:textAlignment w:val="baseline"/>
              <w:rPr>
                <w:color w:val="auto"/>
                <w:sz w:val="24"/>
              </w:rPr>
            </w:pPr>
            <w:r>
              <w:rPr>
                <w:rFonts w:hint="eastAsia" w:ascii="宋体" w:hAnsi="宋体" w:eastAsia="宋体" w:cs="宋体"/>
                <w:b/>
                <w:bCs/>
                <w:color w:val="auto"/>
                <w:sz w:val="24"/>
              </w:rPr>
              <w:t>⑨</w:t>
            </w:r>
            <w:r>
              <w:rPr>
                <w:b/>
                <w:bCs/>
                <w:color w:val="auto"/>
                <w:sz w:val="24"/>
              </w:rPr>
              <w:t>设备冷却水</w:t>
            </w:r>
          </w:p>
          <w:p w14:paraId="14B79BEB">
            <w:pPr>
              <w:adjustRightInd w:val="0"/>
              <w:snapToGrid w:val="0"/>
              <w:spacing w:line="360" w:lineRule="auto"/>
              <w:ind w:firstLine="480" w:firstLineChars="200"/>
              <w:textAlignment w:val="baseline"/>
              <w:rPr>
                <w:rFonts w:hint="default" w:eastAsia="宋体"/>
                <w:color w:val="auto"/>
                <w:sz w:val="24"/>
                <w:lang w:val="en-US" w:eastAsia="zh-CN"/>
              </w:rPr>
            </w:pPr>
            <w:r>
              <w:rPr>
                <w:rFonts w:hint="eastAsia"/>
                <w:color w:val="auto"/>
                <w:sz w:val="24"/>
                <w:highlight w:val="none"/>
                <w:lang w:val="en-US" w:eastAsia="zh-CN"/>
              </w:rPr>
              <w:t>本次技改后，</w:t>
            </w:r>
            <w:r>
              <w:rPr>
                <w:color w:val="auto"/>
                <w:sz w:val="24"/>
              </w:rPr>
              <w:t>管式冷却器</w:t>
            </w:r>
            <w:r>
              <w:rPr>
                <w:rFonts w:hint="eastAsia"/>
                <w:color w:val="auto"/>
                <w:sz w:val="24"/>
                <w:lang w:val="en-US" w:eastAsia="zh-CN"/>
              </w:rPr>
              <w:t>不变</w:t>
            </w:r>
            <w:r>
              <w:rPr>
                <w:color w:val="auto"/>
                <w:sz w:val="24"/>
              </w:rPr>
              <w:t>，循环水量</w:t>
            </w:r>
            <w:r>
              <w:rPr>
                <w:rFonts w:hint="eastAsia"/>
                <w:color w:val="auto"/>
                <w:sz w:val="24"/>
                <w:lang w:val="en-US" w:eastAsia="zh-CN"/>
              </w:rPr>
              <w:t>约</w:t>
            </w:r>
            <w:r>
              <w:rPr>
                <w:color w:val="auto"/>
                <w:sz w:val="24"/>
              </w:rPr>
              <w:t>为20m</w:t>
            </w:r>
            <w:r>
              <w:rPr>
                <w:color w:val="auto"/>
                <w:sz w:val="24"/>
                <w:vertAlign w:val="superscript"/>
              </w:rPr>
              <w:t>3</w:t>
            </w:r>
            <w:r>
              <w:rPr>
                <w:color w:val="auto"/>
                <w:sz w:val="24"/>
              </w:rPr>
              <w:t>/d，冷却水循环使用不外排，新鲜水添加量为2.5m</w:t>
            </w:r>
            <w:r>
              <w:rPr>
                <w:color w:val="auto"/>
                <w:sz w:val="24"/>
                <w:vertAlign w:val="superscript"/>
              </w:rPr>
              <w:t>3</w:t>
            </w:r>
            <w:r>
              <w:rPr>
                <w:color w:val="auto"/>
                <w:sz w:val="24"/>
              </w:rPr>
              <w:t>/d</w:t>
            </w:r>
            <w:r>
              <w:rPr>
                <w:rFonts w:hint="eastAsia"/>
                <w:color w:val="auto"/>
                <w:sz w:val="24"/>
                <w:lang w:eastAsia="zh-CN"/>
              </w:rPr>
              <w:t>。</w:t>
            </w:r>
          </w:p>
          <w:p w14:paraId="450F6F4B">
            <w:pPr>
              <w:adjustRightInd w:val="0"/>
              <w:snapToGrid w:val="0"/>
              <w:spacing w:line="360" w:lineRule="auto"/>
              <w:ind w:firstLine="482" w:firstLineChars="200"/>
              <w:textAlignment w:val="baseline"/>
              <w:rPr>
                <w:rFonts w:hint="eastAsia" w:ascii="Times New Roman" w:hAnsi="Times New Roman" w:eastAsia="宋体" w:cs="Times New Roman"/>
                <w:b/>
                <w:bCs/>
                <w:color w:val="auto"/>
                <w:sz w:val="24"/>
                <w:lang w:val="en-US" w:eastAsia="zh-CN"/>
              </w:rPr>
            </w:pPr>
            <w:r>
              <w:rPr>
                <w:rFonts w:hint="eastAsia" w:ascii="宋体" w:hAnsi="宋体" w:eastAsia="宋体" w:cs="宋体"/>
                <w:b/>
                <w:bCs/>
                <w:color w:val="auto"/>
                <w:sz w:val="24"/>
                <w:lang w:val="en-US" w:eastAsia="zh-CN"/>
              </w:rPr>
              <w:t>⑩</w:t>
            </w:r>
            <w:r>
              <w:rPr>
                <w:rFonts w:hint="eastAsia" w:ascii="Times New Roman" w:hAnsi="Times New Roman" w:eastAsia="宋体" w:cs="Times New Roman"/>
                <w:b/>
                <w:bCs/>
                <w:color w:val="auto"/>
                <w:sz w:val="24"/>
                <w:lang w:val="en-US" w:eastAsia="zh-CN"/>
              </w:rPr>
              <w:t>锅炉用水</w:t>
            </w:r>
          </w:p>
          <w:p w14:paraId="4CED6947">
            <w:pPr>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eastAsia" w:cs="Times New Roman"/>
                <w:color w:val="auto"/>
                <w:sz w:val="24"/>
                <w:lang w:val="en-US" w:eastAsia="zh-CN"/>
              </w:rPr>
              <w:t>本次技改后，将现有2t</w:t>
            </w:r>
            <w:r>
              <w:rPr>
                <w:rFonts w:hint="eastAsia" w:ascii="Times New Roman" w:hAnsi="Times New Roman" w:eastAsia="宋体" w:cs="Times New Roman"/>
                <w:color w:val="auto"/>
                <w:sz w:val="24"/>
                <w:lang w:val="en-US" w:eastAsia="zh-CN"/>
              </w:rPr>
              <w:t>/h</w:t>
            </w:r>
            <w:r>
              <w:rPr>
                <w:rFonts w:hint="eastAsia" w:cs="Times New Roman"/>
                <w:color w:val="auto"/>
                <w:sz w:val="24"/>
                <w:lang w:val="en-US" w:eastAsia="zh-CN"/>
              </w:rPr>
              <w:t>生物质</w:t>
            </w:r>
            <w:r>
              <w:rPr>
                <w:rFonts w:hint="eastAsia" w:ascii="Times New Roman" w:hAnsi="Times New Roman" w:eastAsia="宋体" w:cs="Times New Roman"/>
                <w:color w:val="auto"/>
                <w:sz w:val="24"/>
                <w:lang w:val="en-US" w:eastAsia="zh-CN"/>
              </w:rPr>
              <w:t>锅炉</w:t>
            </w:r>
            <w:r>
              <w:rPr>
                <w:rFonts w:hint="eastAsia" w:eastAsia="宋体" w:cs="Times New Roman"/>
                <w:color w:val="auto"/>
                <w:sz w:val="24"/>
                <w:lang w:val="en-US" w:eastAsia="zh-CN"/>
              </w:rPr>
              <w:t>拆除，更换为</w:t>
            </w:r>
            <w:r>
              <w:rPr>
                <w:rFonts w:hint="eastAsia" w:cs="Times New Roman"/>
                <w:color w:val="auto"/>
                <w:sz w:val="24"/>
                <w:lang w:val="en-US" w:eastAsia="zh-CN"/>
              </w:rPr>
              <w:t>1台</w:t>
            </w:r>
            <w:r>
              <w:rPr>
                <w:rFonts w:hint="eastAsia" w:ascii="Times New Roman" w:hAnsi="Times New Roman" w:eastAsia="宋体" w:cs="Times New Roman"/>
                <w:color w:val="auto"/>
                <w:sz w:val="24"/>
                <w:lang w:val="en-US" w:eastAsia="zh-CN"/>
              </w:rPr>
              <w:t>2.2t/h</w:t>
            </w:r>
            <w:r>
              <w:rPr>
                <w:rFonts w:hint="eastAsia" w:cs="Times New Roman"/>
                <w:color w:val="auto"/>
                <w:sz w:val="24"/>
                <w:lang w:val="en-US" w:eastAsia="zh-CN"/>
              </w:rPr>
              <w:t>生物质</w:t>
            </w:r>
            <w:r>
              <w:rPr>
                <w:rFonts w:hint="eastAsia" w:ascii="Times New Roman" w:hAnsi="Times New Roman" w:eastAsia="宋体" w:cs="Times New Roman"/>
                <w:color w:val="auto"/>
                <w:sz w:val="24"/>
                <w:lang w:val="en-US" w:eastAsia="zh-CN"/>
              </w:rPr>
              <w:t>锅炉，</w:t>
            </w:r>
            <w:r>
              <w:rPr>
                <w:rFonts w:hint="eastAsia" w:cs="Times New Roman"/>
                <w:color w:val="auto"/>
                <w:sz w:val="24"/>
                <w:lang w:val="en-US" w:eastAsia="zh-CN"/>
              </w:rPr>
              <w:t>锅炉运行时间由现有年运行40d，每天8h，变更为年运行200d，每天12h。生物质燃料的使用量</w:t>
            </w:r>
            <w:r>
              <w:rPr>
                <w:rFonts w:hint="eastAsia" w:cs="Times New Roman"/>
                <w:color w:val="auto"/>
                <w:sz w:val="24"/>
                <w:highlight w:val="none"/>
                <w:lang w:val="en-US" w:eastAsia="zh-CN"/>
              </w:rPr>
              <w:t>为768t/a，3.84t/d。</w:t>
            </w:r>
            <w:r>
              <w:rPr>
                <w:rFonts w:hint="eastAsia" w:cs="Times New Roman"/>
                <w:color w:val="auto"/>
                <w:sz w:val="24"/>
                <w:lang w:val="en-US" w:eastAsia="zh-CN"/>
              </w:rPr>
              <w:t>项目生物质锅炉每天补水量为26.4m</w:t>
            </w:r>
            <w:r>
              <w:rPr>
                <w:rFonts w:hint="eastAsia" w:cs="Times New Roman"/>
                <w:color w:val="auto"/>
                <w:sz w:val="24"/>
                <w:vertAlign w:val="superscript"/>
                <w:lang w:val="en-US" w:eastAsia="zh-CN"/>
              </w:rPr>
              <w:t>3</w:t>
            </w:r>
            <w:r>
              <w:rPr>
                <w:rFonts w:hint="eastAsia" w:cs="Times New Roman"/>
                <w:color w:val="auto"/>
                <w:sz w:val="24"/>
                <w:lang w:val="en-US" w:eastAsia="zh-CN"/>
              </w:rPr>
              <w:t>/d，5280m</w:t>
            </w:r>
            <w:r>
              <w:rPr>
                <w:rFonts w:hint="eastAsia" w:cs="Times New Roman"/>
                <w:color w:val="auto"/>
                <w:sz w:val="24"/>
                <w:vertAlign w:val="superscript"/>
                <w:lang w:val="en-US" w:eastAsia="zh-CN"/>
              </w:rPr>
              <w:t>3</w:t>
            </w:r>
            <w:r>
              <w:rPr>
                <w:rFonts w:hint="eastAsia" w:cs="Times New Roman"/>
                <w:color w:val="auto"/>
                <w:sz w:val="24"/>
                <w:lang w:val="en-US" w:eastAsia="zh-CN"/>
              </w:rPr>
              <w:t>/a，主要为灭菌工序提供蒸汽，</w:t>
            </w:r>
            <w:r>
              <w:rPr>
                <w:rFonts w:hint="eastAsia"/>
                <w:color w:val="auto"/>
                <w:sz w:val="24"/>
                <w:highlight w:val="none"/>
              </w:rPr>
              <w:t>蒸汽在输送过程中会产生少量损失，损失量约</w:t>
            </w:r>
            <w:r>
              <w:rPr>
                <w:rFonts w:hint="eastAsia"/>
                <w:color w:val="auto"/>
                <w:sz w:val="24"/>
                <w:highlight w:val="none"/>
                <w:lang w:val="en-US" w:eastAsia="zh-CN"/>
              </w:rPr>
              <w:t>为</w:t>
            </w:r>
            <w:r>
              <w:rPr>
                <w:rFonts w:hint="eastAsia"/>
                <w:color w:val="auto"/>
                <w:sz w:val="24"/>
                <w:highlight w:val="none"/>
              </w:rPr>
              <w:t>0.</w:t>
            </w:r>
            <w:r>
              <w:rPr>
                <w:rFonts w:hint="eastAsia"/>
                <w:color w:val="auto"/>
                <w:sz w:val="24"/>
                <w:highlight w:val="none"/>
                <w:lang w:val="en-US" w:eastAsia="zh-CN"/>
              </w:rPr>
              <w:t>1</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根据《排放源统计调查产排污核</w:t>
            </w:r>
            <w:r>
              <w:rPr>
                <w:rFonts w:hint="eastAsia" w:ascii="Times New Roman" w:hAnsi="Times New Roman" w:eastAsia="宋体" w:cs="Times New Roman"/>
                <w:color w:val="auto"/>
                <w:sz w:val="24"/>
                <w:highlight w:val="none"/>
                <w:lang w:val="en-US" w:eastAsia="zh-CN"/>
              </w:rPr>
              <w:t>算方法和系数手册》（</w:t>
            </w:r>
            <w:r>
              <w:rPr>
                <w:rFonts w:hint="eastAsia" w:cs="Times New Roman"/>
                <w:color w:val="auto"/>
                <w:sz w:val="24"/>
                <w:highlight w:val="none"/>
                <w:lang w:val="en-US" w:eastAsia="zh-CN"/>
              </w:rPr>
              <w:t>生态环境部公告2021年第24号</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中排放源统计调查产排污核算方法和系数手册—4430工业锅炉（热力供应）行业系数手册，锅炉排水量为0.259吨/吨-原料，故项目锅炉排水量为1m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/d，200m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/a，因此项目锅炉用水量为27.4</w:t>
            </w:r>
            <w:r>
              <w:rPr>
                <w:rFonts w:hint="eastAsia" w:cs="Times New Roman"/>
                <w:color w:val="auto"/>
                <w:sz w:val="24"/>
                <w:lang w:val="en-US" w:eastAsia="zh-CN"/>
              </w:rPr>
              <w:t>m</w:t>
            </w:r>
            <w:r>
              <w:rPr>
                <w:rFonts w:hint="eastAsia" w:cs="Times New Roman"/>
                <w:color w:val="auto"/>
                <w:sz w:val="24"/>
                <w:vertAlign w:val="superscript"/>
                <w:lang w:val="en-US" w:eastAsia="zh-CN"/>
              </w:rPr>
              <w:t>3</w:t>
            </w:r>
            <w:r>
              <w:rPr>
                <w:rFonts w:hint="eastAsia" w:cs="Times New Roman"/>
                <w:color w:val="auto"/>
                <w:sz w:val="24"/>
                <w:lang w:val="en-US" w:eastAsia="zh-CN"/>
              </w:rPr>
              <w:t>/d</w:t>
            </w:r>
            <w:r>
              <w:rPr>
                <w:rFonts w:hint="eastAsia" w:cs="Times New Roman"/>
                <w:color w:val="auto"/>
                <w:sz w:val="24"/>
                <w:highlight w:val="none"/>
                <w:lang w:val="en-US" w:eastAsia="zh-CN"/>
              </w:rPr>
              <w:t>，5480</w:t>
            </w:r>
            <w:r>
              <w:rPr>
                <w:rFonts w:hint="eastAsia" w:cs="Times New Roman"/>
                <w:color w:val="auto"/>
                <w:sz w:val="24"/>
                <w:lang w:val="en-US" w:eastAsia="zh-CN"/>
              </w:rPr>
              <w:t>m</w:t>
            </w:r>
            <w:r>
              <w:rPr>
                <w:rFonts w:hint="eastAsia" w:cs="Times New Roman"/>
                <w:color w:val="auto"/>
                <w:sz w:val="24"/>
                <w:vertAlign w:val="superscript"/>
                <w:lang w:val="en-US" w:eastAsia="zh-CN"/>
              </w:rPr>
              <w:t>3</w:t>
            </w:r>
            <w:r>
              <w:rPr>
                <w:rFonts w:hint="eastAsia" w:cs="Times New Roman"/>
                <w:color w:val="auto"/>
                <w:sz w:val="24"/>
                <w:lang w:val="en-US" w:eastAsia="zh-CN"/>
              </w:rPr>
              <w:t>/a，锅炉用水为纯水。</w:t>
            </w:r>
            <w:r>
              <w:rPr>
                <w:rFonts w:hint="eastAsia" w:cs="Times New Roman"/>
                <w:color w:val="auto"/>
                <w:kern w:val="0"/>
                <w:sz w:val="24"/>
                <w:szCs w:val="24"/>
                <w:highlight w:val="none"/>
                <w:lang w:val="en-US" w:eastAsia="zh-CN" w:bidi="ar"/>
              </w:rPr>
              <w:t>废水进入</w:t>
            </w:r>
            <w:r>
              <w:rPr>
                <w:rFonts w:hint="eastAsia" w:ascii="Times New Roman" w:hAnsi="Times New Roman" w:cs="Times New Roman"/>
                <w:color w:val="auto"/>
                <w:kern w:val="0"/>
                <w:sz w:val="24"/>
                <w:szCs w:val="24"/>
                <w:highlight w:val="none"/>
                <w:lang w:val="en-US" w:eastAsia="zh-CN" w:bidi="ar"/>
              </w:rPr>
              <w:t>沉淀池</w:t>
            </w:r>
            <w:r>
              <w:rPr>
                <w:rFonts w:hint="eastAsia" w:cs="Times New Roman"/>
                <w:color w:val="auto"/>
                <w:kern w:val="0"/>
                <w:sz w:val="24"/>
                <w:szCs w:val="24"/>
                <w:highlight w:val="none"/>
                <w:lang w:val="en-US" w:eastAsia="zh-CN" w:bidi="ar"/>
              </w:rPr>
              <w:t>（</w:t>
            </w:r>
            <w:r>
              <w:rPr>
                <w:rFonts w:hint="eastAsia" w:ascii="Times New Roman" w:hAnsi="Times New Roman"/>
                <w:color w:val="auto"/>
                <w:sz w:val="24"/>
                <w:szCs w:val="24"/>
                <w:highlight w:val="none"/>
                <w:lang w:val="en-US" w:eastAsia="zh-CN"/>
              </w:rPr>
              <w:t>调节+气浮沉淀</w:t>
            </w:r>
            <w:r>
              <w:rPr>
                <w:rFonts w:hint="eastAsia" w:cs="Times New Roman"/>
                <w:color w:val="auto"/>
                <w:kern w:val="0"/>
                <w:sz w:val="24"/>
                <w:szCs w:val="24"/>
                <w:highlight w:val="none"/>
                <w:lang w:val="en-US" w:eastAsia="zh-CN" w:bidi="ar"/>
              </w:rPr>
              <w:t>）处理。</w:t>
            </w:r>
          </w:p>
          <w:p w14:paraId="0B8041BC">
            <w:pPr>
              <w:adjustRightInd w:val="0"/>
              <w:snapToGrid w:val="0"/>
              <w:spacing w:line="360" w:lineRule="auto"/>
              <w:ind w:firstLine="482" w:firstLineChars="200"/>
              <w:textAlignment w:val="baseline"/>
              <w:rPr>
                <w:rFonts w:hint="default" w:ascii="Times New Roman" w:hAnsi="Times New Roman" w:cs="Times New Roman"/>
                <w:b/>
                <w:bCs/>
                <w:color w:val="auto"/>
                <w:sz w:val="24"/>
              </w:rPr>
            </w:pPr>
            <w:r>
              <w:rPr>
                <w:rFonts w:hint="default" w:ascii="Times New Roman" w:hAnsi="Times New Roman" w:cs="Times New Roman"/>
                <w:b/>
                <w:bCs/>
                <w:color w:val="auto"/>
                <w:sz w:val="24"/>
              </w:rPr>
              <w:t>⑪生产车间地面清洗</w:t>
            </w:r>
            <w:r>
              <w:rPr>
                <w:rFonts w:hint="default" w:ascii="Times New Roman" w:hAnsi="Times New Roman" w:cs="Times New Roman"/>
                <w:b/>
                <w:bCs/>
                <w:color w:val="auto"/>
                <w:sz w:val="24"/>
                <w:lang w:val="en-US" w:eastAsia="zh-CN"/>
              </w:rPr>
              <w:t>用</w:t>
            </w:r>
            <w:r>
              <w:rPr>
                <w:rFonts w:hint="default" w:ascii="Times New Roman" w:hAnsi="Times New Roman" w:cs="Times New Roman"/>
                <w:b/>
                <w:bCs/>
                <w:color w:val="auto"/>
                <w:sz w:val="24"/>
              </w:rPr>
              <w:t>水</w:t>
            </w:r>
          </w:p>
          <w:p w14:paraId="7FB9EAFA">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lang w:val="en-US" w:eastAsia="zh-CN"/>
              </w:rPr>
              <w:t>本次技改后，生产车间地面清洁方式不变</w:t>
            </w:r>
            <w:r>
              <w:rPr>
                <w:rFonts w:hint="eastAsia"/>
                <w:color w:val="auto"/>
                <w:sz w:val="24"/>
                <w:lang w:val="en-US" w:eastAsia="zh-CN"/>
              </w:rPr>
              <w:t>，使用自来水，用水量为</w:t>
            </w:r>
            <w:r>
              <w:rPr>
                <w:color w:val="auto"/>
                <w:sz w:val="24"/>
              </w:rPr>
              <w:t>2m</w:t>
            </w:r>
            <w:r>
              <w:rPr>
                <w:color w:val="auto"/>
                <w:sz w:val="24"/>
                <w:vertAlign w:val="superscript"/>
              </w:rPr>
              <w:t>3</w:t>
            </w:r>
            <w:r>
              <w:rPr>
                <w:color w:val="auto"/>
                <w:sz w:val="24"/>
              </w:rPr>
              <w:t>/d，</w:t>
            </w:r>
            <w:r>
              <w:rPr>
                <w:rFonts w:hint="eastAsia"/>
                <w:color w:val="auto"/>
                <w:sz w:val="24"/>
                <w:lang w:val="en-US" w:eastAsia="zh-CN"/>
              </w:rPr>
              <w:t>400m</w:t>
            </w:r>
            <w:r>
              <w:rPr>
                <w:rFonts w:hint="eastAsia"/>
                <w:color w:val="auto"/>
                <w:sz w:val="24"/>
                <w:vertAlign w:val="superscript"/>
                <w:lang w:val="en-US" w:eastAsia="zh-CN"/>
              </w:rPr>
              <w:t>3</w:t>
            </w:r>
            <w:r>
              <w:rPr>
                <w:rFonts w:hint="eastAsia"/>
                <w:color w:val="auto"/>
                <w:sz w:val="24"/>
                <w:lang w:val="en-US" w:eastAsia="zh-CN"/>
              </w:rPr>
              <w:t>/a，产污系数按80%计，故废水产生量为1.6</w:t>
            </w:r>
            <w:r>
              <w:rPr>
                <w:color w:val="auto"/>
                <w:sz w:val="24"/>
              </w:rPr>
              <w:t>m</w:t>
            </w:r>
            <w:r>
              <w:rPr>
                <w:color w:val="auto"/>
                <w:sz w:val="24"/>
                <w:vertAlign w:val="superscript"/>
              </w:rPr>
              <w:t>3</w:t>
            </w:r>
            <w:r>
              <w:rPr>
                <w:color w:val="auto"/>
                <w:sz w:val="24"/>
              </w:rPr>
              <w:t>/d</w:t>
            </w:r>
            <w:r>
              <w:rPr>
                <w:rFonts w:hint="eastAsia"/>
                <w:color w:val="auto"/>
                <w:sz w:val="24"/>
                <w:lang w:eastAsia="zh-CN"/>
              </w:rPr>
              <w:t>，</w:t>
            </w:r>
            <w:r>
              <w:rPr>
                <w:rFonts w:hint="eastAsia"/>
                <w:color w:val="auto"/>
                <w:sz w:val="24"/>
                <w:lang w:val="en-US" w:eastAsia="zh-CN"/>
              </w:rPr>
              <w:t>320m</w:t>
            </w:r>
            <w:r>
              <w:rPr>
                <w:rFonts w:hint="eastAsia"/>
                <w:color w:val="auto"/>
                <w:sz w:val="24"/>
                <w:vertAlign w:val="superscript"/>
                <w:lang w:val="en-US" w:eastAsia="zh-CN"/>
              </w:rPr>
              <w:t>3</w:t>
            </w:r>
            <w:r>
              <w:rPr>
                <w:rFonts w:hint="eastAsia"/>
                <w:color w:val="auto"/>
                <w:sz w:val="24"/>
                <w:lang w:val="en-US" w:eastAsia="zh-CN"/>
              </w:rPr>
              <w:t>/a。</w:t>
            </w:r>
            <w:r>
              <w:rPr>
                <w:rFonts w:hint="eastAsia" w:cs="Times New Roman"/>
                <w:color w:val="auto"/>
                <w:kern w:val="0"/>
                <w:sz w:val="24"/>
                <w:szCs w:val="24"/>
                <w:highlight w:val="none"/>
                <w:lang w:val="en-US" w:eastAsia="zh-CN" w:bidi="ar"/>
              </w:rPr>
              <w:t>废水进入</w:t>
            </w:r>
            <w:r>
              <w:rPr>
                <w:rFonts w:hint="eastAsia" w:ascii="Times New Roman" w:hAnsi="Times New Roman" w:cs="Times New Roman"/>
                <w:color w:val="auto"/>
                <w:kern w:val="0"/>
                <w:sz w:val="24"/>
                <w:szCs w:val="24"/>
                <w:highlight w:val="none"/>
                <w:lang w:val="en-US" w:eastAsia="zh-CN" w:bidi="ar"/>
              </w:rPr>
              <w:t>沉淀池</w:t>
            </w:r>
            <w:r>
              <w:rPr>
                <w:rFonts w:hint="eastAsia" w:cs="Times New Roman"/>
                <w:color w:val="auto"/>
                <w:kern w:val="0"/>
                <w:sz w:val="24"/>
                <w:szCs w:val="24"/>
                <w:highlight w:val="none"/>
                <w:lang w:val="en-US" w:eastAsia="zh-CN" w:bidi="ar"/>
              </w:rPr>
              <w:t>（</w:t>
            </w:r>
            <w:r>
              <w:rPr>
                <w:rFonts w:hint="eastAsia" w:ascii="Times New Roman" w:hAnsi="Times New Roman"/>
                <w:color w:val="auto"/>
                <w:sz w:val="24"/>
                <w:szCs w:val="24"/>
                <w:highlight w:val="none"/>
                <w:lang w:val="en-US" w:eastAsia="zh-CN"/>
              </w:rPr>
              <w:t>调节+气浮沉淀</w:t>
            </w:r>
            <w:r>
              <w:rPr>
                <w:rFonts w:hint="eastAsia" w:cs="Times New Roman"/>
                <w:color w:val="auto"/>
                <w:kern w:val="0"/>
                <w:sz w:val="24"/>
                <w:szCs w:val="24"/>
                <w:highlight w:val="none"/>
                <w:lang w:val="en-US" w:eastAsia="zh-CN" w:bidi="ar"/>
              </w:rPr>
              <w:t>）处理。</w:t>
            </w:r>
          </w:p>
          <w:p w14:paraId="07FE2F8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cs="Times New Roman"/>
                <w:b/>
                <w:bCs/>
                <w:color w:val="auto"/>
                <w:sz w:val="24"/>
                <w:szCs w:val="24"/>
                <w:lang w:val="en-US" w:eastAsia="zh-CN"/>
              </w:rPr>
              <w:t>⑫实验器皿清洗用水</w:t>
            </w:r>
          </w:p>
          <w:p w14:paraId="05E6AFE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b/>
                <w:bCs/>
                <w:color w:val="auto"/>
                <w:sz w:val="24"/>
                <w:lang w:val="en-US" w:eastAsia="zh-CN"/>
              </w:rPr>
            </w:pPr>
            <w:r>
              <w:rPr>
                <w:rFonts w:hint="eastAsia" w:cs="Times New Roman"/>
                <w:color w:val="auto"/>
                <w:sz w:val="24"/>
                <w:lang w:val="en-US" w:eastAsia="zh-CN"/>
              </w:rPr>
              <w:t>本次技改后，</w:t>
            </w:r>
            <w:r>
              <w:rPr>
                <w:rFonts w:hint="eastAsia" w:cs="Times New Roman"/>
                <w:color w:val="auto"/>
                <w:kern w:val="0"/>
                <w:sz w:val="24"/>
                <w:szCs w:val="24"/>
                <w:lang w:val="en-US" w:eastAsia="zh-CN" w:bidi="ar"/>
              </w:rPr>
              <w:t>实验器皿</w:t>
            </w:r>
            <w:r>
              <w:rPr>
                <w:rFonts w:hint="default" w:ascii="Times New Roman" w:hAnsi="Times New Roman" w:eastAsia="宋体" w:cs="Times New Roman"/>
                <w:color w:val="auto"/>
                <w:kern w:val="0"/>
                <w:sz w:val="24"/>
                <w:szCs w:val="24"/>
                <w:lang w:val="en-US" w:eastAsia="zh-CN" w:bidi="ar"/>
              </w:rPr>
              <w:t>清洗</w:t>
            </w:r>
            <w:r>
              <w:rPr>
                <w:rFonts w:hint="eastAsia" w:cs="Times New Roman"/>
                <w:color w:val="auto"/>
                <w:kern w:val="0"/>
                <w:sz w:val="24"/>
                <w:szCs w:val="24"/>
                <w:lang w:val="en-US" w:eastAsia="zh-CN" w:bidi="ar"/>
              </w:rPr>
              <w:t>清洗方式及水量不变，使用自来水，用水量为</w:t>
            </w:r>
            <w:r>
              <w:rPr>
                <w:rFonts w:hint="default" w:ascii="Times New Roman" w:hAnsi="Times New Roman" w:eastAsia="宋体" w:cs="Times New Roman"/>
                <w:color w:val="auto"/>
                <w:kern w:val="0"/>
                <w:sz w:val="24"/>
                <w:szCs w:val="24"/>
                <w:lang w:val="en-US" w:eastAsia="zh-CN" w:bidi="ar"/>
              </w:rPr>
              <w:t>0.</w:t>
            </w:r>
            <w:r>
              <w:rPr>
                <w:rFonts w:hint="eastAsia" w:ascii="Times New Roman" w:hAnsi="Times New Roman"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w:t>
            </w:r>
            <w:r>
              <w:rPr>
                <w:rFonts w:hint="eastAsia" w:ascii="Times New Roman" w:hAnsi="Times New Roman" w:cs="Times New Roman"/>
                <w:color w:val="auto"/>
                <w:kern w:val="0"/>
                <w:sz w:val="24"/>
                <w:szCs w:val="24"/>
                <w:lang w:val="en-US" w:eastAsia="zh-CN" w:bidi="ar"/>
              </w:rPr>
              <w:t>，20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/a，</w:t>
            </w:r>
            <w:r>
              <w:rPr>
                <w:rFonts w:hint="eastAsia" w:cs="Times New Roman"/>
                <w:color w:val="auto"/>
                <w:kern w:val="0"/>
                <w:sz w:val="24"/>
                <w:szCs w:val="24"/>
                <w:lang w:val="en-US" w:eastAsia="zh-CN" w:bidi="ar"/>
              </w:rPr>
              <w:t>产污系数</w:t>
            </w:r>
            <w:r>
              <w:rPr>
                <w:rFonts w:hint="default" w:ascii="Times New Roman" w:hAnsi="Times New Roman" w:eastAsia="宋体" w:cs="Times New Roman"/>
                <w:color w:val="auto"/>
                <w:kern w:val="0"/>
                <w:sz w:val="24"/>
                <w:szCs w:val="24"/>
                <w:lang w:val="en-US" w:eastAsia="zh-CN" w:bidi="ar"/>
              </w:rPr>
              <w:t>按80%计，则废水产生量约为</w:t>
            </w:r>
            <w:r>
              <w:rPr>
                <w:rFonts w:hint="eastAsia" w:ascii="Times New Roman" w:hAnsi="Times New Roman" w:cs="Times New Roman"/>
                <w:color w:val="auto"/>
                <w:kern w:val="0"/>
                <w:sz w:val="24"/>
                <w:szCs w:val="24"/>
                <w:lang w:val="en-US" w:eastAsia="zh-CN" w:bidi="ar"/>
              </w:rPr>
              <w:t>0.08</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w:t>
            </w:r>
            <w:r>
              <w:rPr>
                <w:rFonts w:hint="eastAsia" w:cs="Times New Roman"/>
                <w:color w:val="auto"/>
                <w:kern w:val="0"/>
                <w:sz w:val="24"/>
                <w:szCs w:val="24"/>
                <w:lang w:val="en-US" w:eastAsia="zh-CN" w:bidi="ar"/>
              </w:rPr>
              <w:t>，16</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/a</w:t>
            </w:r>
            <w:r>
              <w:rPr>
                <w:rFonts w:hint="eastAsia" w:cs="Times New Roman"/>
                <w:b w:val="0"/>
                <w:bCs w:val="0"/>
                <w:color w:val="auto"/>
                <w:sz w:val="24"/>
                <w:szCs w:val="24"/>
                <w:lang w:val="en-US" w:eastAsia="zh-CN"/>
              </w:rPr>
              <w:t>。</w:t>
            </w:r>
            <w:r>
              <w:rPr>
                <w:rFonts w:hint="eastAsia" w:cs="Times New Roman"/>
                <w:color w:val="auto"/>
                <w:kern w:val="0"/>
                <w:sz w:val="24"/>
                <w:szCs w:val="24"/>
                <w:highlight w:val="none"/>
                <w:lang w:val="en-US" w:eastAsia="zh-CN" w:bidi="ar"/>
              </w:rPr>
              <w:t>废水进入</w:t>
            </w:r>
            <w:r>
              <w:rPr>
                <w:rFonts w:hint="eastAsia" w:ascii="Times New Roman" w:hAnsi="Times New Roman" w:cs="Times New Roman"/>
                <w:color w:val="auto"/>
                <w:kern w:val="0"/>
                <w:sz w:val="24"/>
                <w:szCs w:val="24"/>
                <w:highlight w:val="none"/>
                <w:lang w:val="en-US" w:eastAsia="zh-CN" w:bidi="ar"/>
              </w:rPr>
              <w:t>沉淀池</w:t>
            </w:r>
            <w:r>
              <w:rPr>
                <w:rFonts w:hint="eastAsia" w:cs="Times New Roman"/>
                <w:color w:val="auto"/>
                <w:kern w:val="0"/>
                <w:sz w:val="24"/>
                <w:szCs w:val="24"/>
                <w:highlight w:val="none"/>
                <w:lang w:val="en-US" w:eastAsia="zh-CN" w:bidi="ar"/>
              </w:rPr>
              <w:t>（</w:t>
            </w:r>
            <w:r>
              <w:rPr>
                <w:rFonts w:hint="eastAsia" w:ascii="Times New Roman" w:hAnsi="Times New Roman"/>
                <w:color w:val="auto"/>
                <w:sz w:val="24"/>
                <w:szCs w:val="24"/>
                <w:highlight w:val="none"/>
                <w:lang w:val="en-US" w:eastAsia="zh-CN"/>
              </w:rPr>
              <w:t>调节+气浮沉淀</w:t>
            </w:r>
            <w:r>
              <w:rPr>
                <w:rFonts w:hint="eastAsia" w:cs="Times New Roman"/>
                <w:color w:val="auto"/>
                <w:kern w:val="0"/>
                <w:sz w:val="24"/>
                <w:szCs w:val="24"/>
                <w:highlight w:val="none"/>
                <w:lang w:val="en-US" w:eastAsia="zh-CN" w:bidi="ar"/>
              </w:rPr>
              <w:t>）处理。</w:t>
            </w:r>
          </w:p>
          <w:p w14:paraId="5059FD1C">
            <w:pPr>
              <w:adjustRightInd w:val="0"/>
              <w:snapToGrid w:val="0"/>
              <w:spacing w:line="360" w:lineRule="auto"/>
              <w:ind w:firstLine="482" w:firstLineChars="200"/>
              <w:textAlignment w:val="baseline"/>
              <w:rPr>
                <w:b/>
                <w:bCs/>
                <w:color w:val="auto"/>
                <w:sz w:val="24"/>
                <w:highlight w:val="none"/>
              </w:rPr>
            </w:pPr>
            <w:r>
              <w:rPr>
                <w:rFonts w:hint="eastAsia"/>
                <w:b/>
                <w:bCs/>
                <w:color w:val="auto"/>
                <w:sz w:val="24"/>
                <w:highlight w:val="none"/>
                <w:lang w:val="en-US" w:eastAsia="zh-CN"/>
              </w:rPr>
              <w:t>（2）</w:t>
            </w:r>
            <w:r>
              <w:rPr>
                <w:b/>
                <w:bCs/>
                <w:color w:val="auto"/>
                <w:sz w:val="24"/>
                <w:highlight w:val="none"/>
              </w:rPr>
              <w:t>生活用水</w:t>
            </w:r>
          </w:p>
          <w:p w14:paraId="2CFA6784">
            <w:pPr>
              <w:adjustRightInd w:val="0"/>
              <w:snapToGrid w:val="0"/>
              <w:spacing w:line="360" w:lineRule="auto"/>
              <w:ind w:firstLine="480" w:firstLineChars="200"/>
              <w:rPr>
                <w:rFonts w:hint="default"/>
                <w:color w:val="auto"/>
                <w:sz w:val="24"/>
                <w:highlight w:val="none"/>
                <w:lang w:val="en-US"/>
              </w:rPr>
            </w:pPr>
            <w:r>
              <w:rPr>
                <w:rFonts w:hint="eastAsia"/>
                <w:color w:val="auto"/>
                <w:sz w:val="24"/>
                <w:highlight w:val="none"/>
                <w:lang w:val="en-US" w:eastAsia="zh-CN"/>
              </w:rPr>
              <w:t>本次技改项目不变，仍为</w:t>
            </w:r>
            <w:r>
              <w:rPr>
                <w:color w:val="auto"/>
                <w:sz w:val="24"/>
                <w:highlight w:val="none"/>
              </w:rPr>
              <w:t>30人</w:t>
            </w:r>
            <w:r>
              <w:rPr>
                <w:rFonts w:hint="eastAsia"/>
                <w:color w:val="auto"/>
                <w:sz w:val="24"/>
                <w:highlight w:val="none"/>
                <w:lang w:val="en-US" w:eastAsia="zh-CN"/>
              </w:rPr>
              <w:t>。</w:t>
            </w:r>
            <w:r>
              <w:rPr>
                <w:color w:val="auto"/>
                <w:sz w:val="24"/>
                <w:highlight w:val="none"/>
                <w:lang w:val="zh-CN"/>
              </w:rPr>
              <w:t>员工</w:t>
            </w:r>
            <w:r>
              <w:rPr>
                <w:rFonts w:hint="eastAsia"/>
                <w:color w:val="auto"/>
                <w:sz w:val="24"/>
                <w:highlight w:val="none"/>
                <w:lang w:val="en-US" w:eastAsia="zh-CN"/>
              </w:rPr>
              <w:t>食堂用水量为0.9</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eastAsia="zh-CN"/>
              </w:rPr>
              <w:t>，</w:t>
            </w:r>
            <w:r>
              <w:rPr>
                <w:rFonts w:hint="eastAsia"/>
                <w:color w:val="auto"/>
                <w:sz w:val="24"/>
                <w:highlight w:val="none"/>
                <w:lang w:val="en-US" w:eastAsia="zh-CN"/>
              </w:rPr>
              <w:t>180</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lang w:eastAsia="zh-CN"/>
              </w:rPr>
              <w:t>，</w:t>
            </w:r>
            <w:r>
              <w:rPr>
                <w:rFonts w:hint="eastAsia"/>
                <w:color w:val="auto"/>
                <w:sz w:val="24"/>
                <w:highlight w:val="none"/>
                <w:lang w:val="en-US" w:eastAsia="zh-CN"/>
              </w:rPr>
              <w:t>其他生活用水量为2.4</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val="en-US" w:eastAsia="zh-CN"/>
              </w:rPr>
              <w:t>480</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lang w:eastAsia="zh-CN"/>
              </w:rPr>
              <w:t>，</w:t>
            </w:r>
            <w:r>
              <w:rPr>
                <w:rFonts w:hint="eastAsia"/>
                <w:color w:val="auto"/>
                <w:sz w:val="24"/>
                <w:highlight w:val="none"/>
                <w:lang w:val="en-US" w:eastAsia="zh-CN"/>
              </w:rPr>
              <w:t>产污系数按80%计，则食堂废水产生量为0.72</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eastAsia="zh-CN"/>
              </w:rPr>
              <w:t>，</w:t>
            </w:r>
            <w:r>
              <w:rPr>
                <w:rFonts w:hint="eastAsia"/>
                <w:color w:val="auto"/>
                <w:sz w:val="24"/>
                <w:highlight w:val="none"/>
                <w:lang w:val="en-US" w:eastAsia="zh-CN"/>
              </w:rPr>
              <w:t>144</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lang w:eastAsia="zh-CN"/>
              </w:rPr>
              <w:t>，</w:t>
            </w:r>
            <w:r>
              <w:rPr>
                <w:rFonts w:hint="eastAsia"/>
                <w:color w:val="auto"/>
                <w:sz w:val="24"/>
                <w:highlight w:val="none"/>
                <w:lang w:val="en-US" w:eastAsia="zh-CN"/>
              </w:rPr>
              <w:t>其他生活污水产生量为1.92</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eastAsia="zh-CN"/>
              </w:rPr>
              <w:t>，</w:t>
            </w:r>
            <w:r>
              <w:rPr>
                <w:rFonts w:hint="eastAsia"/>
                <w:color w:val="auto"/>
                <w:sz w:val="24"/>
                <w:highlight w:val="none"/>
                <w:lang w:val="en-US" w:eastAsia="zh-CN"/>
              </w:rPr>
              <w:t>384</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lang w:eastAsia="zh-CN"/>
              </w:rPr>
              <w:t>。</w:t>
            </w:r>
            <w:r>
              <w:rPr>
                <w:rFonts w:hint="eastAsia"/>
                <w:color w:val="auto"/>
                <w:sz w:val="24"/>
                <w:highlight w:val="none"/>
                <w:lang w:val="en-US" w:eastAsia="zh-CN"/>
              </w:rPr>
              <w:t>进入园区已建油水分离器、化粪池处理。</w:t>
            </w:r>
          </w:p>
          <w:p w14:paraId="62579241">
            <w:pPr>
              <w:pStyle w:val="10"/>
              <w:widowControl w:val="0"/>
              <w:overflowPunct w:val="0"/>
              <w:snapToGrid/>
              <w:spacing w:after="0" w:line="360" w:lineRule="auto"/>
              <w:ind w:firstLine="480" w:firstLineChars="200"/>
              <w:jc w:val="left"/>
              <w:rPr>
                <w:rFonts w:hint="eastAsia"/>
                <w:b/>
                <w:bCs/>
                <w:color w:val="auto"/>
                <w:sz w:val="21"/>
                <w:szCs w:val="21"/>
                <w:highlight w:val="none"/>
              </w:rPr>
            </w:pPr>
            <w:r>
              <w:rPr>
                <w:rFonts w:hint="eastAsia"/>
                <w:color w:val="auto"/>
                <w:sz w:val="24"/>
                <w:szCs w:val="24"/>
                <w:highlight w:val="none"/>
                <w:lang w:val="en-US" w:eastAsia="zh-CN"/>
              </w:rPr>
              <w:t>本次技改后全厂用</w:t>
            </w:r>
            <w:r>
              <w:rPr>
                <w:color w:val="auto"/>
                <w:sz w:val="24"/>
                <w:szCs w:val="24"/>
                <w:highlight w:val="none"/>
              </w:rPr>
              <w:t>排情况见表2-</w:t>
            </w:r>
            <w:r>
              <w:rPr>
                <w:rFonts w:hint="eastAsia"/>
                <w:color w:val="auto"/>
                <w:sz w:val="24"/>
                <w:szCs w:val="24"/>
                <w:highlight w:val="none"/>
                <w:lang w:val="en-US" w:eastAsia="zh-CN"/>
              </w:rPr>
              <w:t>9</w:t>
            </w:r>
            <w:r>
              <w:rPr>
                <w:color w:val="auto"/>
                <w:sz w:val="24"/>
                <w:szCs w:val="24"/>
                <w:highlight w:val="none"/>
              </w:rPr>
              <w:t>，水平衡见图2-1。</w:t>
            </w:r>
          </w:p>
          <w:p w14:paraId="2B8EBA6F">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auto"/>
                <w:sz w:val="21"/>
                <w:szCs w:val="21"/>
                <w:highlight w:val="none"/>
              </w:rPr>
            </w:pPr>
            <w:r>
              <w:rPr>
                <w:rFonts w:hint="eastAsia"/>
                <w:b/>
                <w:bCs/>
                <w:color w:val="auto"/>
                <w:sz w:val="21"/>
                <w:szCs w:val="21"/>
                <w:highlight w:val="none"/>
              </w:rPr>
              <w:t>表</w:t>
            </w:r>
            <w:r>
              <w:rPr>
                <w:rFonts w:hint="eastAsia"/>
                <w:b/>
                <w:bCs/>
                <w:color w:val="auto"/>
                <w:sz w:val="21"/>
                <w:szCs w:val="21"/>
                <w:highlight w:val="none"/>
                <w:lang w:val="en-US" w:eastAsia="zh-CN"/>
              </w:rPr>
              <w:t>2</w:t>
            </w:r>
            <w:r>
              <w:rPr>
                <w:rFonts w:hint="eastAsia"/>
                <w:b/>
                <w:bCs/>
                <w:color w:val="auto"/>
                <w:sz w:val="21"/>
                <w:szCs w:val="21"/>
                <w:highlight w:val="none"/>
              </w:rPr>
              <w:t>-</w:t>
            </w:r>
            <w:r>
              <w:rPr>
                <w:rFonts w:hint="eastAsia"/>
                <w:b/>
                <w:bCs/>
                <w:color w:val="auto"/>
                <w:sz w:val="21"/>
                <w:szCs w:val="21"/>
                <w:highlight w:val="none"/>
                <w:lang w:val="en-US" w:eastAsia="zh-CN"/>
              </w:rPr>
              <w:t>9</w:t>
            </w:r>
            <w:r>
              <w:rPr>
                <w:rFonts w:hint="eastAsia"/>
                <w:b/>
                <w:bCs/>
                <w:color w:val="auto"/>
                <w:sz w:val="21"/>
                <w:szCs w:val="21"/>
                <w:highlight w:val="none"/>
              </w:rPr>
              <w:t xml:space="preserve"> </w:t>
            </w:r>
            <w:r>
              <w:rPr>
                <w:rFonts w:hint="eastAsia"/>
                <w:b/>
                <w:bCs/>
                <w:color w:val="auto"/>
                <w:sz w:val="21"/>
                <w:szCs w:val="21"/>
                <w:highlight w:val="none"/>
                <w:lang w:val="en-US" w:eastAsia="zh-CN"/>
              </w:rPr>
              <w:t>本次技改后全厂用</w:t>
            </w:r>
            <w:r>
              <w:rPr>
                <w:rFonts w:hint="eastAsia"/>
                <w:b/>
                <w:bCs/>
                <w:color w:val="auto"/>
                <w:sz w:val="21"/>
                <w:szCs w:val="21"/>
                <w:highlight w:val="none"/>
              </w:rPr>
              <w:t>排水情况一览表</w:t>
            </w:r>
          </w:p>
          <w:tbl>
            <w:tblPr>
              <w:tblStyle w:val="22"/>
              <w:tblW w:w="7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5"/>
              <w:gridCol w:w="700"/>
              <w:gridCol w:w="599"/>
              <w:gridCol w:w="780"/>
              <w:gridCol w:w="691"/>
              <w:gridCol w:w="583"/>
              <w:gridCol w:w="676"/>
              <w:gridCol w:w="1200"/>
              <w:gridCol w:w="1296"/>
              <w:gridCol w:w="1037"/>
            </w:tblGrid>
            <w:tr w14:paraId="6670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jc w:val="center"/>
              </w:trPr>
              <w:tc>
                <w:tcPr>
                  <w:tcW w:w="395" w:type="dxa"/>
                  <w:vMerge w:val="restart"/>
                  <w:vAlign w:val="center"/>
                </w:tcPr>
                <w:p w14:paraId="5785F029">
                  <w:pPr>
                    <w:adjustRightInd w:val="0"/>
                    <w:snapToGrid w:val="0"/>
                    <w:jc w:val="center"/>
                    <w:rPr>
                      <w:b/>
                      <w:bCs w:val="0"/>
                      <w:color w:val="auto"/>
                      <w:sz w:val="21"/>
                      <w:szCs w:val="21"/>
                      <w:highlight w:val="none"/>
                    </w:rPr>
                  </w:pPr>
                  <w:r>
                    <w:rPr>
                      <w:b/>
                      <w:bCs w:val="0"/>
                      <w:color w:val="auto"/>
                      <w:sz w:val="21"/>
                      <w:szCs w:val="21"/>
                      <w:highlight w:val="none"/>
                    </w:rPr>
                    <w:t>序号</w:t>
                  </w:r>
                </w:p>
              </w:tc>
              <w:tc>
                <w:tcPr>
                  <w:tcW w:w="1299" w:type="dxa"/>
                  <w:gridSpan w:val="2"/>
                  <w:vMerge w:val="restart"/>
                  <w:vAlign w:val="center"/>
                </w:tcPr>
                <w:p w14:paraId="50EC4A49">
                  <w:pPr>
                    <w:adjustRightInd w:val="0"/>
                    <w:snapToGrid w:val="0"/>
                    <w:jc w:val="center"/>
                    <w:rPr>
                      <w:b/>
                      <w:bCs w:val="0"/>
                      <w:color w:val="auto"/>
                      <w:sz w:val="21"/>
                      <w:szCs w:val="21"/>
                      <w:highlight w:val="none"/>
                    </w:rPr>
                  </w:pPr>
                  <w:r>
                    <w:rPr>
                      <w:b/>
                      <w:bCs w:val="0"/>
                      <w:color w:val="auto"/>
                      <w:sz w:val="21"/>
                      <w:szCs w:val="21"/>
                      <w:highlight w:val="none"/>
                    </w:rPr>
                    <w:t>用水项目</w:t>
                  </w:r>
                </w:p>
              </w:tc>
              <w:tc>
                <w:tcPr>
                  <w:tcW w:w="780" w:type="dxa"/>
                  <w:vMerge w:val="restart"/>
                  <w:vAlign w:val="center"/>
                </w:tcPr>
                <w:p w14:paraId="5F3F8D11">
                  <w:pPr>
                    <w:adjustRightInd w:val="0"/>
                    <w:snapToGrid w:val="0"/>
                    <w:jc w:val="center"/>
                    <w:rPr>
                      <w:b/>
                      <w:bCs w:val="0"/>
                      <w:color w:val="auto"/>
                      <w:sz w:val="21"/>
                      <w:szCs w:val="21"/>
                      <w:highlight w:val="none"/>
                    </w:rPr>
                  </w:pPr>
                  <w:r>
                    <w:rPr>
                      <w:b/>
                      <w:bCs w:val="0"/>
                      <w:color w:val="auto"/>
                      <w:sz w:val="21"/>
                      <w:szCs w:val="21"/>
                      <w:highlight w:val="none"/>
                    </w:rPr>
                    <w:t>水源</w:t>
                  </w:r>
                </w:p>
              </w:tc>
              <w:tc>
                <w:tcPr>
                  <w:tcW w:w="1274" w:type="dxa"/>
                  <w:gridSpan w:val="2"/>
                  <w:vMerge w:val="restart"/>
                  <w:vAlign w:val="center"/>
                </w:tcPr>
                <w:p w14:paraId="49DB5EFC">
                  <w:pPr>
                    <w:adjustRightInd w:val="0"/>
                    <w:snapToGrid w:val="0"/>
                    <w:jc w:val="center"/>
                    <w:rPr>
                      <w:b/>
                      <w:bCs w:val="0"/>
                      <w:color w:val="auto"/>
                      <w:sz w:val="21"/>
                      <w:szCs w:val="21"/>
                      <w:highlight w:val="none"/>
                    </w:rPr>
                  </w:pPr>
                  <w:r>
                    <w:rPr>
                      <w:b/>
                      <w:bCs w:val="0"/>
                      <w:color w:val="auto"/>
                      <w:sz w:val="21"/>
                      <w:szCs w:val="21"/>
                      <w:highlight w:val="none"/>
                    </w:rPr>
                    <w:t>用水量</w:t>
                  </w:r>
                </w:p>
                <w:p w14:paraId="52ECE509">
                  <w:pPr>
                    <w:adjustRightInd w:val="0"/>
                    <w:snapToGrid w:val="0"/>
                    <w:jc w:val="center"/>
                    <w:rPr>
                      <w:b/>
                      <w:bCs w:val="0"/>
                      <w:color w:val="auto"/>
                      <w:sz w:val="21"/>
                      <w:szCs w:val="21"/>
                      <w:highlight w:val="none"/>
                    </w:rPr>
                  </w:pPr>
                  <w:r>
                    <w:rPr>
                      <w:b/>
                      <w:bCs w:val="0"/>
                      <w:color w:val="auto"/>
                      <w:sz w:val="21"/>
                      <w:szCs w:val="21"/>
                      <w:highlight w:val="none"/>
                    </w:rPr>
                    <w:t>（</w:t>
                  </w:r>
                  <w:r>
                    <w:rPr>
                      <w:rFonts w:hint="eastAsia"/>
                      <w:b/>
                      <w:bCs w:val="0"/>
                      <w:color w:val="auto"/>
                      <w:sz w:val="21"/>
                      <w:szCs w:val="21"/>
                      <w:highlight w:val="none"/>
                      <w:lang w:val="en-US" w:eastAsia="zh-CN"/>
                    </w:rPr>
                    <w:t>m</w:t>
                  </w:r>
                  <w:r>
                    <w:rPr>
                      <w:rFonts w:hint="eastAsia"/>
                      <w:b/>
                      <w:bCs w:val="0"/>
                      <w:color w:val="auto"/>
                      <w:sz w:val="21"/>
                      <w:szCs w:val="21"/>
                      <w:highlight w:val="none"/>
                      <w:vertAlign w:val="superscript"/>
                      <w:lang w:val="en-US" w:eastAsia="zh-CN"/>
                    </w:rPr>
                    <w:t>3</w:t>
                  </w:r>
                  <w:r>
                    <w:rPr>
                      <w:b/>
                      <w:bCs w:val="0"/>
                      <w:color w:val="auto"/>
                      <w:sz w:val="21"/>
                      <w:szCs w:val="21"/>
                      <w:highlight w:val="none"/>
                    </w:rPr>
                    <w:t>/</w:t>
                  </w:r>
                  <w:r>
                    <w:rPr>
                      <w:rFonts w:hint="eastAsia"/>
                      <w:b/>
                      <w:bCs w:val="0"/>
                      <w:color w:val="auto"/>
                      <w:sz w:val="21"/>
                      <w:szCs w:val="21"/>
                      <w:highlight w:val="none"/>
                      <w:lang w:val="en-US" w:eastAsia="zh-CN"/>
                    </w:rPr>
                    <w:t>d</w:t>
                  </w:r>
                  <w:r>
                    <w:rPr>
                      <w:b/>
                      <w:bCs w:val="0"/>
                      <w:color w:val="auto"/>
                      <w:sz w:val="21"/>
                      <w:szCs w:val="21"/>
                      <w:highlight w:val="none"/>
                    </w:rPr>
                    <w:t>）</w:t>
                  </w:r>
                </w:p>
              </w:tc>
              <w:tc>
                <w:tcPr>
                  <w:tcW w:w="676" w:type="dxa"/>
                  <w:vMerge w:val="restart"/>
                  <w:vAlign w:val="center"/>
                </w:tcPr>
                <w:p w14:paraId="52155F29">
                  <w:pPr>
                    <w:adjustRightInd w:val="0"/>
                    <w:snapToGrid w:val="0"/>
                    <w:jc w:val="center"/>
                    <w:rPr>
                      <w:b/>
                      <w:bCs w:val="0"/>
                      <w:color w:val="auto"/>
                      <w:sz w:val="21"/>
                      <w:szCs w:val="21"/>
                      <w:highlight w:val="none"/>
                    </w:rPr>
                  </w:pPr>
                  <w:r>
                    <w:rPr>
                      <w:b/>
                      <w:bCs w:val="0"/>
                      <w:color w:val="auto"/>
                      <w:sz w:val="21"/>
                      <w:szCs w:val="21"/>
                      <w:highlight w:val="none"/>
                    </w:rPr>
                    <w:t>排污</w:t>
                  </w:r>
                </w:p>
                <w:p w14:paraId="12562E31">
                  <w:pPr>
                    <w:adjustRightInd w:val="0"/>
                    <w:snapToGrid w:val="0"/>
                    <w:jc w:val="center"/>
                    <w:rPr>
                      <w:b/>
                      <w:bCs w:val="0"/>
                      <w:color w:val="auto"/>
                      <w:sz w:val="21"/>
                      <w:szCs w:val="21"/>
                      <w:highlight w:val="none"/>
                    </w:rPr>
                  </w:pPr>
                  <w:r>
                    <w:rPr>
                      <w:b/>
                      <w:bCs w:val="0"/>
                      <w:color w:val="auto"/>
                      <w:sz w:val="21"/>
                      <w:szCs w:val="21"/>
                      <w:highlight w:val="none"/>
                    </w:rPr>
                    <w:t>系数</w:t>
                  </w:r>
                </w:p>
              </w:tc>
              <w:tc>
                <w:tcPr>
                  <w:tcW w:w="2496" w:type="dxa"/>
                  <w:gridSpan w:val="2"/>
                  <w:vAlign w:val="center"/>
                </w:tcPr>
                <w:p w14:paraId="5E0F9B34">
                  <w:pPr>
                    <w:adjustRightInd w:val="0"/>
                    <w:snapToGrid w:val="0"/>
                    <w:jc w:val="center"/>
                    <w:rPr>
                      <w:b/>
                      <w:bCs w:val="0"/>
                      <w:color w:val="auto"/>
                      <w:sz w:val="21"/>
                      <w:szCs w:val="21"/>
                      <w:highlight w:val="none"/>
                    </w:rPr>
                  </w:pPr>
                  <w:r>
                    <w:rPr>
                      <w:b/>
                      <w:bCs w:val="0"/>
                      <w:color w:val="auto"/>
                      <w:sz w:val="21"/>
                      <w:szCs w:val="21"/>
                      <w:highlight w:val="none"/>
                    </w:rPr>
                    <w:t>污水量</w:t>
                  </w:r>
                </w:p>
              </w:tc>
              <w:tc>
                <w:tcPr>
                  <w:tcW w:w="1037" w:type="dxa"/>
                  <w:vMerge w:val="restart"/>
                  <w:vAlign w:val="center"/>
                </w:tcPr>
                <w:p w14:paraId="0B03AED1">
                  <w:pPr>
                    <w:adjustRightInd w:val="0"/>
                    <w:snapToGrid w:val="0"/>
                    <w:jc w:val="center"/>
                    <w:rPr>
                      <w:rFonts w:hint="eastAsia" w:eastAsia="宋体"/>
                      <w:b/>
                      <w:bCs w:val="0"/>
                      <w:color w:val="auto"/>
                      <w:sz w:val="21"/>
                      <w:szCs w:val="21"/>
                      <w:highlight w:val="none"/>
                      <w:lang w:val="en-US" w:eastAsia="zh-CN"/>
                    </w:rPr>
                  </w:pPr>
                  <w:r>
                    <w:rPr>
                      <w:rFonts w:hint="eastAsia"/>
                      <w:b/>
                      <w:bCs w:val="0"/>
                      <w:color w:val="auto"/>
                      <w:sz w:val="21"/>
                      <w:szCs w:val="21"/>
                      <w:highlight w:val="none"/>
                      <w:lang w:val="en-US" w:eastAsia="zh-CN"/>
                    </w:rPr>
                    <w:t>去向</w:t>
                  </w:r>
                </w:p>
              </w:tc>
            </w:tr>
            <w:tr w14:paraId="3B24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jc w:val="center"/>
              </w:trPr>
              <w:tc>
                <w:tcPr>
                  <w:tcW w:w="395" w:type="dxa"/>
                  <w:vMerge w:val="continue"/>
                  <w:vAlign w:val="center"/>
                </w:tcPr>
                <w:p w14:paraId="1E160D3C">
                  <w:pPr>
                    <w:adjustRightInd w:val="0"/>
                    <w:snapToGrid w:val="0"/>
                    <w:jc w:val="center"/>
                    <w:rPr>
                      <w:b/>
                      <w:bCs w:val="0"/>
                      <w:color w:val="auto"/>
                      <w:sz w:val="21"/>
                      <w:szCs w:val="21"/>
                      <w:highlight w:val="none"/>
                    </w:rPr>
                  </w:pPr>
                </w:p>
              </w:tc>
              <w:tc>
                <w:tcPr>
                  <w:tcW w:w="1299" w:type="dxa"/>
                  <w:gridSpan w:val="2"/>
                  <w:vMerge w:val="continue"/>
                  <w:vAlign w:val="center"/>
                </w:tcPr>
                <w:p w14:paraId="2547AEC1">
                  <w:pPr>
                    <w:adjustRightInd w:val="0"/>
                    <w:snapToGrid w:val="0"/>
                    <w:jc w:val="center"/>
                    <w:rPr>
                      <w:b/>
                      <w:bCs w:val="0"/>
                      <w:color w:val="auto"/>
                      <w:sz w:val="21"/>
                      <w:szCs w:val="21"/>
                      <w:highlight w:val="none"/>
                    </w:rPr>
                  </w:pPr>
                </w:p>
              </w:tc>
              <w:tc>
                <w:tcPr>
                  <w:tcW w:w="780" w:type="dxa"/>
                  <w:vMerge w:val="continue"/>
                  <w:vAlign w:val="center"/>
                </w:tcPr>
                <w:p w14:paraId="3B5637FB">
                  <w:pPr>
                    <w:adjustRightInd w:val="0"/>
                    <w:snapToGrid w:val="0"/>
                    <w:jc w:val="center"/>
                    <w:rPr>
                      <w:b/>
                      <w:bCs w:val="0"/>
                      <w:color w:val="auto"/>
                      <w:sz w:val="21"/>
                      <w:szCs w:val="21"/>
                      <w:highlight w:val="none"/>
                    </w:rPr>
                  </w:pPr>
                </w:p>
              </w:tc>
              <w:tc>
                <w:tcPr>
                  <w:tcW w:w="1274" w:type="dxa"/>
                  <w:gridSpan w:val="2"/>
                  <w:vMerge w:val="continue"/>
                  <w:vAlign w:val="center"/>
                </w:tcPr>
                <w:p w14:paraId="5C2C193C">
                  <w:pPr>
                    <w:adjustRightInd w:val="0"/>
                    <w:snapToGrid w:val="0"/>
                    <w:jc w:val="center"/>
                    <w:rPr>
                      <w:b/>
                      <w:bCs w:val="0"/>
                      <w:color w:val="auto"/>
                      <w:sz w:val="21"/>
                      <w:szCs w:val="21"/>
                      <w:highlight w:val="none"/>
                    </w:rPr>
                  </w:pPr>
                </w:p>
              </w:tc>
              <w:tc>
                <w:tcPr>
                  <w:tcW w:w="676" w:type="dxa"/>
                  <w:vMerge w:val="continue"/>
                  <w:vAlign w:val="center"/>
                </w:tcPr>
                <w:p w14:paraId="25C1FDC4">
                  <w:pPr>
                    <w:adjustRightInd w:val="0"/>
                    <w:snapToGrid w:val="0"/>
                    <w:jc w:val="center"/>
                    <w:rPr>
                      <w:b/>
                      <w:bCs w:val="0"/>
                      <w:color w:val="auto"/>
                      <w:sz w:val="21"/>
                      <w:szCs w:val="21"/>
                      <w:highlight w:val="none"/>
                    </w:rPr>
                  </w:pPr>
                </w:p>
              </w:tc>
              <w:tc>
                <w:tcPr>
                  <w:tcW w:w="1200" w:type="dxa"/>
                  <w:vAlign w:val="center"/>
                </w:tcPr>
                <w:p w14:paraId="3AE41E6B">
                  <w:pPr>
                    <w:adjustRightInd w:val="0"/>
                    <w:snapToGrid w:val="0"/>
                    <w:jc w:val="center"/>
                    <w:rPr>
                      <w:b/>
                      <w:bCs w:val="0"/>
                      <w:color w:val="auto"/>
                      <w:sz w:val="21"/>
                      <w:szCs w:val="21"/>
                      <w:highlight w:val="none"/>
                    </w:rPr>
                  </w:pPr>
                  <w:r>
                    <w:rPr>
                      <w:b/>
                      <w:bCs w:val="0"/>
                      <w:color w:val="auto"/>
                      <w:sz w:val="21"/>
                      <w:szCs w:val="21"/>
                      <w:highlight w:val="none"/>
                    </w:rPr>
                    <w:t>（m</w:t>
                  </w:r>
                  <w:r>
                    <w:rPr>
                      <w:b/>
                      <w:bCs w:val="0"/>
                      <w:color w:val="auto"/>
                      <w:sz w:val="21"/>
                      <w:szCs w:val="21"/>
                      <w:highlight w:val="none"/>
                      <w:vertAlign w:val="superscript"/>
                    </w:rPr>
                    <w:t>3</w:t>
                  </w:r>
                  <w:r>
                    <w:rPr>
                      <w:b/>
                      <w:bCs w:val="0"/>
                      <w:color w:val="auto"/>
                      <w:sz w:val="21"/>
                      <w:szCs w:val="21"/>
                      <w:highlight w:val="none"/>
                    </w:rPr>
                    <w:t>/</w:t>
                  </w:r>
                  <w:r>
                    <w:rPr>
                      <w:rFonts w:hint="eastAsia"/>
                      <w:b/>
                      <w:bCs w:val="0"/>
                      <w:color w:val="auto"/>
                      <w:sz w:val="21"/>
                      <w:szCs w:val="21"/>
                      <w:highlight w:val="none"/>
                      <w:lang w:val="en-US" w:eastAsia="zh-CN"/>
                    </w:rPr>
                    <w:t>d</w:t>
                  </w:r>
                  <w:r>
                    <w:rPr>
                      <w:b/>
                      <w:bCs w:val="0"/>
                      <w:color w:val="auto"/>
                      <w:sz w:val="21"/>
                      <w:szCs w:val="21"/>
                      <w:highlight w:val="none"/>
                    </w:rPr>
                    <w:t>）</w:t>
                  </w:r>
                </w:p>
              </w:tc>
              <w:tc>
                <w:tcPr>
                  <w:tcW w:w="1296" w:type="dxa"/>
                  <w:vAlign w:val="center"/>
                </w:tcPr>
                <w:p w14:paraId="498AD585">
                  <w:pPr>
                    <w:adjustRightInd w:val="0"/>
                    <w:snapToGrid w:val="0"/>
                    <w:jc w:val="center"/>
                    <w:rPr>
                      <w:b/>
                      <w:bCs w:val="0"/>
                      <w:color w:val="auto"/>
                      <w:sz w:val="21"/>
                      <w:szCs w:val="21"/>
                      <w:highlight w:val="none"/>
                    </w:rPr>
                  </w:pPr>
                  <w:r>
                    <w:rPr>
                      <w:b/>
                      <w:bCs w:val="0"/>
                      <w:color w:val="auto"/>
                      <w:sz w:val="21"/>
                      <w:szCs w:val="21"/>
                      <w:highlight w:val="none"/>
                    </w:rPr>
                    <w:t>（m</w:t>
                  </w:r>
                  <w:r>
                    <w:rPr>
                      <w:b/>
                      <w:bCs w:val="0"/>
                      <w:color w:val="auto"/>
                      <w:sz w:val="21"/>
                      <w:szCs w:val="21"/>
                      <w:highlight w:val="none"/>
                      <w:vertAlign w:val="superscript"/>
                    </w:rPr>
                    <w:t>3</w:t>
                  </w:r>
                  <w:r>
                    <w:rPr>
                      <w:b/>
                      <w:bCs w:val="0"/>
                      <w:color w:val="auto"/>
                      <w:sz w:val="21"/>
                      <w:szCs w:val="21"/>
                      <w:highlight w:val="none"/>
                    </w:rPr>
                    <w:t>/</w:t>
                  </w:r>
                  <w:r>
                    <w:rPr>
                      <w:rFonts w:hint="eastAsia"/>
                      <w:b/>
                      <w:bCs w:val="0"/>
                      <w:color w:val="auto"/>
                      <w:sz w:val="21"/>
                      <w:szCs w:val="21"/>
                      <w:highlight w:val="none"/>
                      <w:lang w:val="en-US" w:eastAsia="zh-CN"/>
                    </w:rPr>
                    <w:t>a</w:t>
                  </w:r>
                  <w:r>
                    <w:rPr>
                      <w:b/>
                      <w:bCs w:val="0"/>
                      <w:color w:val="auto"/>
                      <w:sz w:val="21"/>
                      <w:szCs w:val="21"/>
                      <w:highlight w:val="none"/>
                    </w:rPr>
                    <w:t>）</w:t>
                  </w:r>
                </w:p>
              </w:tc>
              <w:tc>
                <w:tcPr>
                  <w:tcW w:w="1037" w:type="dxa"/>
                  <w:vMerge w:val="continue"/>
                  <w:vAlign w:val="center"/>
                </w:tcPr>
                <w:p w14:paraId="105A8000">
                  <w:pPr>
                    <w:adjustRightInd w:val="0"/>
                    <w:snapToGrid w:val="0"/>
                    <w:jc w:val="center"/>
                    <w:rPr>
                      <w:b/>
                      <w:bCs w:val="0"/>
                      <w:color w:val="auto"/>
                      <w:sz w:val="21"/>
                      <w:szCs w:val="21"/>
                      <w:highlight w:val="none"/>
                    </w:rPr>
                  </w:pPr>
                </w:p>
              </w:tc>
            </w:tr>
            <w:tr w14:paraId="3A3B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95" w:type="dxa"/>
                  <w:vAlign w:val="center"/>
                </w:tcPr>
                <w:p w14:paraId="55EDFCD8">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1299" w:type="dxa"/>
                  <w:gridSpan w:val="2"/>
                  <w:vAlign w:val="center"/>
                </w:tcPr>
                <w:p w14:paraId="5C57F103">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纯水</w:t>
                  </w:r>
                  <w:r>
                    <w:rPr>
                      <w:rFonts w:hint="default" w:ascii="Times New Roman" w:hAnsi="Times New Roman" w:cs="Times New Roman"/>
                      <w:b w:val="0"/>
                      <w:bCs/>
                      <w:color w:val="auto"/>
                      <w:sz w:val="21"/>
                      <w:szCs w:val="21"/>
                      <w:highlight w:val="none"/>
                      <w:lang w:val="en-US" w:eastAsia="zh-CN"/>
                    </w:rPr>
                    <w:t>制备</w:t>
                  </w:r>
                  <w:r>
                    <w:rPr>
                      <w:rFonts w:hint="default" w:ascii="Times New Roman" w:hAnsi="Times New Roman" w:cs="Times New Roman"/>
                      <w:b w:val="0"/>
                      <w:bCs/>
                      <w:color w:val="auto"/>
                      <w:sz w:val="21"/>
                      <w:szCs w:val="21"/>
                      <w:highlight w:val="none"/>
                    </w:rPr>
                    <w:t>系统</w:t>
                  </w:r>
                  <w:r>
                    <w:rPr>
                      <w:rFonts w:hint="default" w:ascii="Times New Roman" w:hAnsi="Times New Roman" w:cs="Times New Roman"/>
                      <w:b w:val="0"/>
                      <w:bCs/>
                      <w:color w:val="auto"/>
                      <w:sz w:val="21"/>
                      <w:szCs w:val="21"/>
                      <w:highlight w:val="none"/>
                      <w:lang w:val="en-US" w:eastAsia="zh-CN"/>
                    </w:rPr>
                    <w:t>用水</w:t>
                  </w:r>
                </w:p>
              </w:tc>
              <w:tc>
                <w:tcPr>
                  <w:tcW w:w="780" w:type="dxa"/>
                  <w:vAlign w:val="center"/>
                </w:tcPr>
                <w:p w14:paraId="1EAE96A4">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自来水</w:t>
                  </w:r>
                </w:p>
              </w:tc>
              <w:tc>
                <w:tcPr>
                  <w:tcW w:w="1274" w:type="dxa"/>
                  <w:gridSpan w:val="2"/>
                  <w:vAlign w:val="center"/>
                </w:tcPr>
                <w:p w14:paraId="327B03E6">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i w:val="0"/>
                      <w:iCs w:val="0"/>
                      <w:color w:val="auto"/>
                      <w:kern w:val="0"/>
                      <w:sz w:val="21"/>
                      <w:szCs w:val="21"/>
                      <w:u w:val="none"/>
                      <w:lang w:val="en-US" w:eastAsia="zh-CN" w:bidi="ar"/>
                    </w:rPr>
                    <w:t>78.17</w:t>
                  </w:r>
                </w:p>
              </w:tc>
              <w:tc>
                <w:tcPr>
                  <w:tcW w:w="676" w:type="dxa"/>
                  <w:vAlign w:val="center"/>
                </w:tcPr>
                <w:p w14:paraId="29A5F289">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w:t>
                  </w:r>
                </w:p>
              </w:tc>
              <w:tc>
                <w:tcPr>
                  <w:tcW w:w="1200" w:type="dxa"/>
                  <w:vAlign w:val="center"/>
                </w:tcPr>
                <w:p w14:paraId="40AC5CAD">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7.51</w:t>
                  </w:r>
                  <w:r>
                    <w:rPr>
                      <w:rFonts w:hint="eastAsia" w:ascii="Times New Roman" w:hAnsi="Times New Roman" w:eastAsia="宋体" w:cs="Times New Roman"/>
                      <w:i w:val="0"/>
                      <w:iCs w:val="0"/>
                      <w:color w:val="auto"/>
                      <w:kern w:val="0"/>
                      <w:sz w:val="21"/>
                      <w:szCs w:val="21"/>
                      <w:u w:val="none"/>
                      <w:lang w:val="en-US" w:eastAsia="zh-CN" w:bidi="ar"/>
                    </w:rPr>
                    <w:t>*</w:t>
                  </w:r>
                </w:p>
              </w:tc>
              <w:tc>
                <w:tcPr>
                  <w:tcW w:w="1296" w:type="dxa"/>
                  <w:vAlign w:val="center"/>
                </w:tcPr>
                <w:p w14:paraId="68FE11C9">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1502</w:t>
                  </w:r>
                </w:p>
              </w:tc>
              <w:tc>
                <w:tcPr>
                  <w:tcW w:w="1037" w:type="dxa"/>
                  <w:vMerge w:val="restart"/>
                  <w:vAlign w:val="center"/>
                </w:tcPr>
                <w:p w14:paraId="7BA5855F">
                  <w:pPr>
                    <w:adjustRightInd w:val="0"/>
                    <w:snapToGrid w:val="0"/>
                    <w:jc w:val="center"/>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沉淀池</w:t>
                  </w:r>
                  <w:r>
                    <w:rPr>
                      <w:rFonts w:hint="eastAsia" w:cs="Times New Roman"/>
                      <w:color w:val="auto"/>
                      <w:kern w:val="0"/>
                      <w:sz w:val="21"/>
                      <w:szCs w:val="21"/>
                      <w:highlight w:val="none"/>
                      <w:lang w:val="en-US" w:eastAsia="zh-CN" w:bidi="ar"/>
                    </w:rPr>
                    <w:t>（</w:t>
                  </w:r>
                  <w:r>
                    <w:rPr>
                      <w:rFonts w:hint="eastAsia" w:ascii="Times New Roman" w:hAnsi="Times New Roman"/>
                      <w:color w:val="auto"/>
                      <w:sz w:val="21"/>
                      <w:szCs w:val="21"/>
                      <w:highlight w:val="none"/>
                      <w:lang w:val="en-US" w:eastAsia="zh-CN"/>
                    </w:rPr>
                    <w:t>调节+气浮沉淀</w:t>
                  </w:r>
                  <w:r>
                    <w:rPr>
                      <w:rFonts w:hint="eastAsia" w:cs="Times New Roman"/>
                      <w:color w:val="auto"/>
                      <w:kern w:val="0"/>
                      <w:sz w:val="21"/>
                      <w:szCs w:val="21"/>
                      <w:highlight w:val="none"/>
                      <w:lang w:val="en-US" w:eastAsia="zh-CN" w:bidi="ar"/>
                    </w:rPr>
                    <w:t>）</w:t>
                  </w:r>
                </w:p>
              </w:tc>
            </w:tr>
            <w:tr w14:paraId="36589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395" w:type="dxa"/>
                  <w:vAlign w:val="center"/>
                </w:tcPr>
                <w:p w14:paraId="6A449EB1">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w:t>
                  </w:r>
                </w:p>
              </w:tc>
              <w:tc>
                <w:tcPr>
                  <w:tcW w:w="1299" w:type="dxa"/>
                  <w:gridSpan w:val="2"/>
                  <w:vAlign w:val="center"/>
                </w:tcPr>
                <w:p w14:paraId="2620B2CC">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纯水制备系统反冲洗</w:t>
                  </w:r>
                  <w:r>
                    <w:rPr>
                      <w:rFonts w:hint="default" w:ascii="Times New Roman" w:hAnsi="Times New Roman" w:cs="Times New Roman"/>
                      <w:b w:val="0"/>
                      <w:bCs/>
                      <w:color w:val="auto"/>
                      <w:sz w:val="21"/>
                      <w:szCs w:val="21"/>
                      <w:highlight w:val="none"/>
                      <w:lang w:val="en-US" w:eastAsia="zh-CN"/>
                    </w:rPr>
                    <w:t>用水</w:t>
                  </w:r>
                </w:p>
              </w:tc>
              <w:tc>
                <w:tcPr>
                  <w:tcW w:w="780" w:type="dxa"/>
                  <w:vAlign w:val="center"/>
                </w:tcPr>
                <w:p w14:paraId="02CBFDF2">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自来水</w:t>
                  </w:r>
                </w:p>
              </w:tc>
              <w:tc>
                <w:tcPr>
                  <w:tcW w:w="1274" w:type="dxa"/>
                  <w:gridSpan w:val="2"/>
                  <w:vAlign w:val="center"/>
                </w:tcPr>
                <w:p w14:paraId="31119FA6">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676" w:type="dxa"/>
                  <w:vAlign w:val="center"/>
                </w:tcPr>
                <w:p w14:paraId="053D33A7">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80%</w:t>
                  </w:r>
                </w:p>
              </w:tc>
              <w:tc>
                <w:tcPr>
                  <w:tcW w:w="1200" w:type="dxa"/>
                  <w:vAlign w:val="center"/>
                </w:tcPr>
                <w:p w14:paraId="3B868E9B">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1296" w:type="dxa"/>
                  <w:vAlign w:val="center"/>
                </w:tcPr>
                <w:p w14:paraId="6B31AE83">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1037" w:type="dxa"/>
                  <w:vMerge w:val="continue"/>
                  <w:vAlign w:val="center"/>
                </w:tcPr>
                <w:p w14:paraId="04EC90F7">
                  <w:pPr>
                    <w:adjustRightInd w:val="0"/>
                    <w:snapToGrid w:val="0"/>
                    <w:jc w:val="center"/>
                    <w:rPr>
                      <w:rFonts w:hint="default" w:ascii="Times New Roman" w:hAnsi="Times New Roman" w:cs="Times New Roman"/>
                      <w:b w:val="0"/>
                      <w:bCs/>
                      <w:color w:val="auto"/>
                      <w:sz w:val="21"/>
                      <w:szCs w:val="21"/>
                      <w:highlight w:val="none"/>
                      <w:lang w:val="en-US" w:eastAsia="zh-CN"/>
                    </w:rPr>
                  </w:pPr>
                </w:p>
              </w:tc>
            </w:tr>
            <w:tr w14:paraId="1FEE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395" w:type="dxa"/>
                  <w:vMerge w:val="restart"/>
                  <w:vAlign w:val="center"/>
                </w:tcPr>
                <w:p w14:paraId="0A5CF317">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w:t>
                  </w:r>
                </w:p>
              </w:tc>
              <w:tc>
                <w:tcPr>
                  <w:tcW w:w="700" w:type="dxa"/>
                  <w:vMerge w:val="restart"/>
                  <w:vAlign w:val="center"/>
                </w:tcPr>
                <w:p w14:paraId="704A0E13">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CIP清洗系统设备清洗</w:t>
                  </w:r>
                  <w:r>
                    <w:rPr>
                      <w:rFonts w:hint="default" w:ascii="Times New Roman" w:hAnsi="Times New Roman" w:cs="Times New Roman"/>
                      <w:b w:val="0"/>
                      <w:bCs/>
                      <w:color w:val="auto"/>
                      <w:sz w:val="21"/>
                      <w:szCs w:val="21"/>
                      <w:highlight w:val="none"/>
                      <w:lang w:val="en-US" w:eastAsia="zh-CN"/>
                    </w:rPr>
                    <w:t>用水</w:t>
                  </w:r>
                </w:p>
              </w:tc>
              <w:tc>
                <w:tcPr>
                  <w:tcW w:w="599" w:type="dxa"/>
                  <w:vAlign w:val="center"/>
                </w:tcPr>
                <w:p w14:paraId="272D8CD9">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杀菌机</w:t>
                  </w:r>
                </w:p>
              </w:tc>
              <w:tc>
                <w:tcPr>
                  <w:tcW w:w="780" w:type="dxa"/>
                  <w:vMerge w:val="restart"/>
                  <w:vAlign w:val="center"/>
                </w:tcPr>
                <w:p w14:paraId="052DFFF4">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纯水</w:t>
                  </w:r>
                </w:p>
              </w:tc>
              <w:tc>
                <w:tcPr>
                  <w:tcW w:w="1274" w:type="dxa"/>
                  <w:gridSpan w:val="2"/>
                  <w:vAlign w:val="center"/>
                </w:tcPr>
                <w:p w14:paraId="0BB67E26">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w:t>
                  </w:r>
                </w:p>
              </w:tc>
              <w:tc>
                <w:tcPr>
                  <w:tcW w:w="676" w:type="dxa"/>
                  <w:vMerge w:val="restart"/>
                  <w:vAlign w:val="center"/>
                </w:tcPr>
                <w:p w14:paraId="7F16CA7E">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90%</w:t>
                  </w:r>
                </w:p>
              </w:tc>
              <w:tc>
                <w:tcPr>
                  <w:tcW w:w="1200" w:type="dxa"/>
                  <w:vAlign w:val="center"/>
                </w:tcPr>
                <w:p w14:paraId="3AFEE232">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i w:val="0"/>
                      <w:iCs w:val="0"/>
                      <w:color w:val="auto"/>
                      <w:kern w:val="0"/>
                      <w:sz w:val="21"/>
                      <w:szCs w:val="21"/>
                      <w:u w:val="none"/>
                      <w:lang w:val="en-US" w:eastAsia="zh-CN" w:bidi="ar"/>
                    </w:rPr>
                    <w:t>2.7</w:t>
                  </w:r>
                </w:p>
              </w:tc>
              <w:tc>
                <w:tcPr>
                  <w:tcW w:w="1296" w:type="dxa"/>
                  <w:vAlign w:val="center"/>
                </w:tcPr>
                <w:p w14:paraId="5827BA82">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540</w:t>
                  </w:r>
                </w:p>
              </w:tc>
              <w:tc>
                <w:tcPr>
                  <w:tcW w:w="1037" w:type="dxa"/>
                  <w:vMerge w:val="restart"/>
                  <w:shd w:val="clear" w:color="auto" w:fill="auto"/>
                  <w:vAlign w:val="center"/>
                </w:tcPr>
                <w:p w14:paraId="1DC017A9">
                  <w:pPr>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一体化污水处理站</w:t>
                  </w:r>
                </w:p>
              </w:tc>
            </w:tr>
            <w:tr w14:paraId="0417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395" w:type="dxa"/>
                  <w:vMerge w:val="continue"/>
                  <w:vAlign w:val="center"/>
                </w:tcPr>
                <w:p w14:paraId="52AD44A9">
                  <w:pPr>
                    <w:adjustRightInd w:val="0"/>
                    <w:snapToGrid w:val="0"/>
                    <w:jc w:val="center"/>
                    <w:rPr>
                      <w:rFonts w:hint="default" w:ascii="Times New Roman" w:hAnsi="Times New Roman" w:cs="Times New Roman"/>
                      <w:b w:val="0"/>
                      <w:bCs/>
                      <w:color w:val="auto"/>
                      <w:sz w:val="21"/>
                      <w:szCs w:val="21"/>
                      <w:highlight w:val="none"/>
                      <w:lang w:val="en-US" w:eastAsia="zh-CN"/>
                    </w:rPr>
                  </w:pPr>
                </w:p>
              </w:tc>
              <w:tc>
                <w:tcPr>
                  <w:tcW w:w="700" w:type="dxa"/>
                  <w:vMerge w:val="continue"/>
                  <w:vAlign w:val="center"/>
                </w:tcPr>
                <w:p w14:paraId="58149C4F">
                  <w:pPr>
                    <w:adjustRightInd w:val="0"/>
                    <w:snapToGrid w:val="0"/>
                    <w:jc w:val="center"/>
                    <w:rPr>
                      <w:rFonts w:hint="default" w:ascii="Times New Roman" w:hAnsi="Times New Roman" w:cs="Times New Roman"/>
                      <w:b w:val="0"/>
                      <w:bCs/>
                      <w:color w:val="auto"/>
                      <w:sz w:val="21"/>
                      <w:szCs w:val="21"/>
                      <w:highlight w:val="none"/>
                    </w:rPr>
                  </w:pPr>
                </w:p>
              </w:tc>
              <w:tc>
                <w:tcPr>
                  <w:tcW w:w="599" w:type="dxa"/>
                  <w:vAlign w:val="center"/>
                </w:tcPr>
                <w:p w14:paraId="4EDC2A92">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其他设备、管道</w:t>
                  </w:r>
                </w:p>
              </w:tc>
              <w:tc>
                <w:tcPr>
                  <w:tcW w:w="780" w:type="dxa"/>
                  <w:vMerge w:val="continue"/>
                  <w:vAlign w:val="center"/>
                </w:tcPr>
                <w:p w14:paraId="22075B75">
                  <w:pPr>
                    <w:adjustRightInd w:val="0"/>
                    <w:snapToGrid w:val="0"/>
                    <w:jc w:val="center"/>
                    <w:rPr>
                      <w:rFonts w:hint="default" w:ascii="Times New Roman" w:hAnsi="Times New Roman" w:cs="Times New Roman"/>
                      <w:b w:val="0"/>
                      <w:bCs/>
                      <w:color w:val="auto"/>
                      <w:sz w:val="21"/>
                      <w:szCs w:val="21"/>
                      <w:highlight w:val="none"/>
                      <w:lang w:val="en-US" w:eastAsia="zh-CN"/>
                    </w:rPr>
                  </w:pPr>
                </w:p>
              </w:tc>
              <w:tc>
                <w:tcPr>
                  <w:tcW w:w="1274" w:type="dxa"/>
                  <w:gridSpan w:val="2"/>
                  <w:vAlign w:val="center"/>
                </w:tcPr>
                <w:p w14:paraId="01CDC0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9.99</w:t>
                  </w:r>
                </w:p>
              </w:tc>
              <w:tc>
                <w:tcPr>
                  <w:tcW w:w="676" w:type="dxa"/>
                  <w:vMerge w:val="continue"/>
                  <w:vAlign w:val="center"/>
                </w:tcPr>
                <w:p w14:paraId="53B37B1B">
                  <w:pPr>
                    <w:adjustRightInd w:val="0"/>
                    <w:snapToGrid w:val="0"/>
                    <w:jc w:val="center"/>
                    <w:rPr>
                      <w:rFonts w:hint="default" w:ascii="Times New Roman" w:hAnsi="Times New Roman" w:cs="Times New Roman"/>
                      <w:b w:val="0"/>
                      <w:bCs/>
                      <w:color w:val="auto"/>
                      <w:sz w:val="21"/>
                      <w:szCs w:val="21"/>
                      <w:highlight w:val="none"/>
                      <w:lang w:val="en-US" w:eastAsia="zh-CN"/>
                    </w:rPr>
                  </w:pPr>
                </w:p>
              </w:tc>
              <w:tc>
                <w:tcPr>
                  <w:tcW w:w="1200" w:type="dxa"/>
                  <w:vAlign w:val="center"/>
                </w:tcPr>
                <w:p w14:paraId="5F1EB8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8.99</w:t>
                  </w:r>
                </w:p>
              </w:tc>
              <w:tc>
                <w:tcPr>
                  <w:tcW w:w="1296" w:type="dxa"/>
                  <w:vAlign w:val="center"/>
                </w:tcPr>
                <w:p w14:paraId="594B20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1798</w:t>
                  </w:r>
                </w:p>
              </w:tc>
              <w:tc>
                <w:tcPr>
                  <w:tcW w:w="1037" w:type="dxa"/>
                  <w:vMerge w:val="continue"/>
                  <w:shd w:val="clear" w:color="auto" w:fill="auto"/>
                  <w:vAlign w:val="center"/>
                </w:tcPr>
                <w:p w14:paraId="4B504878">
                  <w:pPr>
                    <w:adjustRightInd w:val="0"/>
                    <w:snapToGrid w:val="0"/>
                    <w:jc w:val="center"/>
                    <w:rPr>
                      <w:rFonts w:hint="eastAsia" w:ascii="Times New Roman" w:hAnsi="Times New Roman" w:cs="Times New Roman"/>
                      <w:b w:val="0"/>
                      <w:bCs/>
                      <w:color w:val="auto"/>
                      <w:sz w:val="21"/>
                      <w:szCs w:val="21"/>
                      <w:highlight w:val="none"/>
                      <w:lang w:val="en-US" w:eastAsia="zh-CN"/>
                    </w:rPr>
                  </w:pPr>
                </w:p>
              </w:tc>
            </w:tr>
            <w:tr w14:paraId="3C67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395" w:type="dxa"/>
                  <w:vAlign w:val="center"/>
                </w:tcPr>
                <w:p w14:paraId="05F11228">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4</w:t>
                  </w:r>
                </w:p>
              </w:tc>
              <w:tc>
                <w:tcPr>
                  <w:tcW w:w="1299" w:type="dxa"/>
                  <w:gridSpan w:val="2"/>
                  <w:vAlign w:val="center"/>
                </w:tcPr>
                <w:p w14:paraId="0A2C64EA">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val="0"/>
                      <w:color w:val="auto"/>
                      <w:sz w:val="21"/>
                      <w:szCs w:val="21"/>
                      <w:highlight w:val="none"/>
                      <w:lang w:val="en-US" w:eastAsia="zh-CN"/>
                    </w:rPr>
                    <w:t>第一道</w:t>
                  </w:r>
                  <w:r>
                    <w:rPr>
                      <w:rFonts w:hint="default" w:ascii="Times New Roman" w:hAnsi="Times New Roman" w:eastAsia="宋体" w:cs="Times New Roman"/>
                      <w:b w:val="0"/>
                      <w:bCs w:val="0"/>
                      <w:color w:val="auto"/>
                      <w:sz w:val="21"/>
                      <w:szCs w:val="21"/>
                      <w:highlight w:val="none"/>
                      <w:lang w:val="en-US" w:eastAsia="zh-CN"/>
                    </w:rPr>
                    <w:t>水果</w:t>
                  </w:r>
                  <w:r>
                    <w:rPr>
                      <w:rFonts w:hint="default" w:ascii="Times New Roman" w:hAnsi="Times New Roman" w:cs="Times New Roman"/>
                      <w:b w:val="0"/>
                      <w:bCs w:val="0"/>
                      <w:color w:val="auto"/>
                      <w:sz w:val="21"/>
                      <w:szCs w:val="21"/>
                      <w:highlight w:val="none"/>
                      <w:lang w:val="en-US" w:eastAsia="zh-CN"/>
                    </w:rPr>
                    <w:t>鼓泡</w:t>
                  </w:r>
                  <w:r>
                    <w:rPr>
                      <w:rFonts w:hint="default" w:ascii="Times New Roman" w:hAnsi="Times New Roman" w:cs="Times New Roman"/>
                      <w:b w:val="0"/>
                      <w:bCs w:val="0"/>
                      <w:color w:val="auto"/>
                      <w:sz w:val="21"/>
                      <w:szCs w:val="21"/>
                      <w:highlight w:val="none"/>
                    </w:rPr>
                    <w:t>清洗用水</w:t>
                  </w:r>
                </w:p>
              </w:tc>
              <w:tc>
                <w:tcPr>
                  <w:tcW w:w="780" w:type="dxa"/>
                  <w:vAlign w:val="center"/>
                </w:tcPr>
                <w:p w14:paraId="614B6964">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浓水</w:t>
                  </w:r>
                </w:p>
              </w:tc>
              <w:tc>
                <w:tcPr>
                  <w:tcW w:w="1274" w:type="dxa"/>
                  <w:gridSpan w:val="2"/>
                  <w:vAlign w:val="center"/>
                </w:tcPr>
                <w:p w14:paraId="2FBFFADD">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7.52</w:t>
                  </w:r>
                </w:p>
              </w:tc>
              <w:tc>
                <w:tcPr>
                  <w:tcW w:w="676" w:type="dxa"/>
                  <w:vAlign w:val="center"/>
                </w:tcPr>
                <w:p w14:paraId="37C48E80">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color w:val="auto"/>
                      <w:sz w:val="21"/>
                      <w:szCs w:val="21"/>
                      <w:highlight w:val="none"/>
                    </w:rPr>
                    <w:t>90%</w:t>
                  </w:r>
                </w:p>
              </w:tc>
              <w:tc>
                <w:tcPr>
                  <w:tcW w:w="1200" w:type="dxa"/>
                  <w:vAlign w:val="center"/>
                </w:tcPr>
                <w:p w14:paraId="3F036BB6">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6.7</w:t>
                  </w:r>
                  <w:r>
                    <w:rPr>
                      <w:rFonts w:hint="eastAsia" w:eastAsia="宋体" w:cs="Times New Roman"/>
                      <w:i w:val="0"/>
                      <w:iCs w:val="0"/>
                      <w:color w:val="auto"/>
                      <w:kern w:val="0"/>
                      <w:sz w:val="21"/>
                      <w:szCs w:val="21"/>
                      <w:u w:val="none"/>
                      <w:lang w:val="en-US" w:eastAsia="zh-CN" w:bidi="ar"/>
                    </w:rPr>
                    <w:t>7</w:t>
                  </w:r>
                </w:p>
              </w:tc>
              <w:tc>
                <w:tcPr>
                  <w:tcW w:w="1296" w:type="dxa"/>
                  <w:vAlign w:val="center"/>
                </w:tcPr>
                <w:p w14:paraId="14AF22C5">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1354</w:t>
                  </w:r>
                </w:p>
              </w:tc>
              <w:tc>
                <w:tcPr>
                  <w:tcW w:w="1037" w:type="dxa"/>
                  <w:vMerge w:val="restart"/>
                  <w:vAlign w:val="center"/>
                </w:tcPr>
                <w:p w14:paraId="6895831C">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沉淀池</w:t>
                  </w:r>
                  <w:r>
                    <w:rPr>
                      <w:rFonts w:hint="eastAsia" w:cs="Times New Roman"/>
                      <w:color w:val="auto"/>
                      <w:kern w:val="0"/>
                      <w:sz w:val="21"/>
                      <w:szCs w:val="21"/>
                      <w:highlight w:val="none"/>
                      <w:lang w:val="en-US" w:eastAsia="zh-CN" w:bidi="ar"/>
                    </w:rPr>
                    <w:t>（</w:t>
                  </w:r>
                  <w:r>
                    <w:rPr>
                      <w:rFonts w:hint="eastAsia" w:ascii="Times New Roman" w:hAnsi="Times New Roman"/>
                      <w:color w:val="auto"/>
                      <w:sz w:val="21"/>
                      <w:szCs w:val="21"/>
                      <w:highlight w:val="none"/>
                      <w:lang w:val="en-US" w:eastAsia="zh-CN"/>
                    </w:rPr>
                    <w:t>调节+气浮沉淀</w:t>
                  </w:r>
                  <w:r>
                    <w:rPr>
                      <w:rFonts w:hint="eastAsia" w:cs="Times New Roman"/>
                      <w:color w:val="auto"/>
                      <w:kern w:val="0"/>
                      <w:sz w:val="21"/>
                      <w:szCs w:val="21"/>
                      <w:highlight w:val="none"/>
                      <w:lang w:val="en-US" w:eastAsia="zh-CN" w:bidi="ar"/>
                    </w:rPr>
                    <w:t>）</w:t>
                  </w:r>
                </w:p>
              </w:tc>
            </w:tr>
            <w:tr w14:paraId="1CF2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395" w:type="dxa"/>
                  <w:vAlign w:val="center"/>
                </w:tcPr>
                <w:p w14:paraId="5D12FAB3">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5</w:t>
                  </w:r>
                </w:p>
              </w:tc>
              <w:tc>
                <w:tcPr>
                  <w:tcW w:w="1299" w:type="dxa"/>
                  <w:gridSpan w:val="2"/>
                  <w:vAlign w:val="center"/>
                </w:tcPr>
                <w:p w14:paraId="66BE54F7">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第二道水果毛刷清洗用水</w:t>
                  </w:r>
                </w:p>
              </w:tc>
              <w:tc>
                <w:tcPr>
                  <w:tcW w:w="780" w:type="dxa"/>
                  <w:vAlign w:val="center"/>
                </w:tcPr>
                <w:p w14:paraId="33BA6946">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浓水</w:t>
                  </w:r>
                </w:p>
              </w:tc>
              <w:tc>
                <w:tcPr>
                  <w:tcW w:w="1274" w:type="dxa"/>
                  <w:gridSpan w:val="2"/>
                  <w:vAlign w:val="center"/>
                </w:tcPr>
                <w:p w14:paraId="4BBC3A84">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4.51</w:t>
                  </w:r>
                </w:p>
              </w:tc>
              <w:tc>
                <w:tcPr>
                  <w:tcW w:w="676" w:type="dxa"/>
                  <w:vAlign w:val="center"/>
                </w:tcPr>
                <w:p w14:paraId="5FAF6322">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color w:val="auto"/>
                      <w:sz w:val="21"/>
                      <w:szCs w:val="21"/>
                      <w:highlight w:val="none"/>
                    </w:rPr>
                    <w:t>90%</w:t>
                  </w:r>
                </w:p>
              </w:tc>
              <w:tc>
                <w:tcPr>
                  <w:tcW w:w="1200" w:type="dxa"/>
                  <w:vAlign w:val="center"/>
                </w:tcPr>
                <w:p w14:paraId="07A668A3">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r>
                    <w:rPr>
                      <w:rFonts w:hint="eastAsia" w:eastAsia="宋体" w:cs="Times New Roman"/>
                      <w:i w:val="0"/>
                      <w:iCs w:val="0"/>
                      <w:color w:val="auto"/>
                      <w:kern w:val="0"/>
                      <w:sz w:val="21"/>
                      <w:szCs w:val="21"/>
                      <w:u w:val="none"/>
                      <w:lang w:val="en-US" w:eastAsia="zh-CN" w:bidi="ar"/>
                    </w:rPr>
                    <w:t>6</w:t>
                  </w:r>
                </w:p>
              </w:tc>
              <w:tc>
                <w:tcPr>
                  <w:tcW w:w="1296" w:type="dxa"/>
                  <w:vAlign w:val="center"/>
                </w:tcPr>
                <w:p w14:paraId="3703ED9E">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812</w:t>
                  </w:r>
                </w:p>
              </w:tc>
              <w:tc>
                <w:tcPr>
                  <w:tcW w:w="1037" w:type="dxa"/>
                  <w:vMerge w:val="continue"/>
                  <w:vAlign w:val="center"/>
                </w:tcPr>
                <w:p w14:paraId="04DFD3E6">
                  <w:pPr>
                    <w:adjustRightInd w:val="0"/>
                    <w:snapToGrid w:val="0"/>
                    <w:jc w:val="center"/>
                    <w:rPr>
                      <w:rFonts w:hint="default" w:ascii="Times New Roman" w:hAnsi="Times New Roman" w:cs="Times New Roman"/>
                      <w:color w:val="auto"/>
                      <w:sz w:val="21"/>
                      <w:szCs w:val="21"/>
                      <w:highlight w:val="none"/>
                      <w:lang w:val="en-US" w:eastAsia="zh-CN"/>
                    </w:rPr>
                  </w:pPr>
                </w:p>
              </w:tc>
            </w:tr>
            <w:tr w14:paraId="12FF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395" w:type="dxa"/>
                  <w:vAlign w:val="center"/>
                </w:tcPr>
                <w:p w14:paraId="1915B3AF">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6</w:t>
                  </w:r>
                </w:p>
              </w:tc>
              <w:tc>
                <w:tcPr>
                  <w:tcW w:w="1299" w:type="dxa"/>
                  <w:gridSpan w:val="2"/>
                  <w:vAlign w:val="center"/>
                </w:tcPr>
                <w:p w14:paraId="7DC87BA5">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val="0"/>
                      <w:color w:val="auto"/>
                      <w:sz w:val="21"/>
                      <w:szCs w:val="21"/>
                      <w:highlight w:val="none"/>
                      <w:lang w:val="en-US" w:eastAsia="zh-CN"/>
                    </w:rPr>
                    <w:t>第三道水果鼓泡消毒用水</w:t>
                  </w:r>
                </w:p>
              </w:tc>
              <w:tc>
                <w:tcPr>
                  <w:tcW w:w="780" w:type="dxa"/>
                  <w:vAlign w:val="center"/>
                </w:tcPr>
                <w:p w14:paraId="7F7A4DEF">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纯水</w:t>
                  </w:r>
                </w:p>
              </w:tc>
              <w:tc>
                <w:tcPr>
                  <w:tcW w:w="1274" w:type="dxa"/>
                  <w:gridSpan w:val="2"/>
                  <w:vAlign w:val="center"/>
                </w:tcPr>
                <w:p w14:paraId="19744331">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2.82</w:t>
                  </w:r>
                </w:p>
              </w:tc>
              <w:tc>
                <w:tcPr>
                  <w:tcW w:w="676" w:type="dxa"/>
                  <w:vAlign w:val="center"/>
                </w:tcPr>
                <w:p w14:paraId="13B8F78D">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color w:val="auto"/>
                      <w:sz w:val="21"/>
                      <w:szCs w:val="21"/>
                      <w:highlight w:val="none"/>
                    </w:rPr>
                    <w:t>90%</w:t>
                  </w:r>
                </w:p>
              </w:tc>
              <w:tc>
                <w:tcPr>
                  <w:tcW w:w="1200" w:type="dxa"/>
                  <w:vAlign w:val="center"/>
                </w:tcPr>
                <w:p w14:paraId="2E06D7AA">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2.5</w:t>
                  </w:r>
                  <w:r>
                    <w:rPr>
                      <w:rFonts w:hint="eastAsia" w:eastAsia="宋体" w:cs="Times New Roman"/>
                      <w:i w:val="0"/>
                      <w:iCs w:val="0"/>
                      <w:color w:val="auto"/>
                      <w:kern w:val="0"/>
                      <w:sz w:val="21"/>
                      <w:szCs w:val="21"/>
                      <w:u w:val="none"/>
                      <w:lang w:val="en-US" w:eastAsia="zh-CN" w:bidi="ar"/>
                    </w:rPr>
                    <w:t>4</w:t>
                  </w:r>
                </w:p>
              </w:tc>
              <w:tc>
                <w:tcPr>
                  <w:tcW w:w="1296" w:type="dxa"/>
                  <w:vAlign w:val="center"/>
                </w:tcPr>
                <w:p w14:paraId="241FFACA">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508</w:t>
                  </w:r>
                </w:p>
              </w:tc>
              <w:tc>
                <w:tcPr>
                  <w:tcW w:w="1037" w:type="dxa"/>
                  <w:vMerge w:val="continue"/>
                  <w:vAlign w:val="center"/>
                </w:tcPr>
                <w:p w14:paraId="48D271AF">
                  <w:pPr>
                    <w:adjustRightInd w:val="0"/>
                    <w:snapToGrid w:val="0"/>
                    <w:jc w:val="center"/>
                    <w:rPr>
                      <w:rFonts w:hint="default" w:ascii="Times New Roman" w:hAnsi="Times New Roman" w:cs="Times New Roman"/>
                      <w:color w:val="auto"/>
                      <w:sz w:val="21"/>
                      <w:szCs w:val="21"/>
                      <w:highlight w:val="none"/>
                      <w:lang w:val="en-US" w:eastAsia="zh-CN"/>
                    </w:rPr>
                  </w:pPr>
                </w:p>
              </w:tc>
            </w:tr>
            <w:tr w14:paraId="10E2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395" w:type="dxa"/>
                  <w:vAlign w:val="center"/>
                </w:tcPr>
                <w:p w14:paraId="3A265ECB">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7</w:t>
                  </w:r>
                </w:p>
              </w:tc>
              <w:tc>
                <w:tcPr>
                  <w:tcW w:w="1299" w:type="dxa"/>
                  <w:gridSpan w:val="2"/>
                  <w:vAlign w:val="center"/>
                </w:tcPr>
                <w:p w14:paraId="7E0ACB8E">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val="0"/>
                      <w:color w:val="auto"/>
                      <w:sz w:val="21"/>
                      <w:szCs w:val="21"/>
                      <w:highlight w:val="none"/>
                      <w:lang w:val="en-US" w:eastAsia="zh-CN"/>
                    </w:rPr>
                    <w:t>第四道水果鼓泡清洗用水</w:t>
                  </w:r>
                </w:p>
              </w:tc>
              <w:tc>
                <w:tcPr>
                  <w:tcW w:w="780" w:type="dxa"/>
                  <w:vAlign w:val="center"/>
                </w:tcPr>
                <w:p w14:paraId="223F821C">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纯水</w:t>
                  </w:r>
                </w:p>
              </w:tc>
              <w:tc>
                <w:tcPr>
                  <w:tcW w:w="1274" w:type="dxa"/>
                  <w:gridSpan w:val="2"/>
                  <w:vAlign w:val="center"/>
                </w:tcPr>
                <w:p w14:paraId="67728383">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15.04</w:t>
                  </w:r>
                </w:p>
              </w:tc>
              <w:tc>
                <w:tcPr>
                  <w:tcW w:w="676" w:type="dxa"/>
                  <w:vAlign w:val="center"/>
                </w:tcPr>
                <w:p w14:paraId="7BD74800">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color w:val="auto"/>
                      <w:sz w:val="21"/>
                      <w:szCs w:val="21"/>
                      <w:highlight w:val="none"/>
                    </w:rPr>
                    <w:t>90%</w:t>
                  </w:r>
                </w:p>
              </w:tc>
              <w:tc>
                <w:tcPr>
                  <w:tcW w:w="1200" w:type="dxa"/>
                  <w:vAlign w:val="center"/>
                </w:tcPr>
                <w:p w14:paraId="097131C7">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13.5</w:t>
                  </w:r>
                  <w:r>
                    <w:rPr>
                      <w:rFonts w:hint="eastAsia" w:eastAsia="宋体" w:cs="Times New Roman"/>
                      <w:i w:val="0"/>
                      <w:iCs w:val="0"/>
                      <w:color w:val="auto"/>
                      <w:kern w:val="0"/>
                      <w:sz w:val="21"/>
                      <w:szCs w:val="21"/>
                      <w:u w:val="none"/>
                      <w:lang w:val="en-US" w:eastAsia="zh-CN" w:bidi="ar"/>
                    </w:rPr>
                    <w:t>4</w:t>
                  </w:r>
                </w:p>
              </w:tc>
              <w:tc>
                <w:tcPr>
                  <w:tcW w:w="1296" w:type="dxa"/>
                  <w:vAlign w:val="center"/>
                </w:tcPr>
                <w:p w14:paraId="251DEE7C">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2708</w:t>
                  </w:r>
                </w:p>
              </w:tc>
              <w:tc>
                <w:tcPr>
                  <w:tcW w:w="1037" w:type="dxa"/>
                  <w:vMerge w:val="continue"/>
                  <w:vAlign w:val="center"/>
                </w:tcPr>
                <w:p w14:paraId="5DDA0AF5">
                  <w:pPr>
                    <w:adjustRightInd w:val="0"/>
                    <w:snapToGrid w:val="0"/>
                    <w:jc w:val="center"/>
                    <w:rPr>
                      <w:rFonts w:hint="default" w:ascii="Times New Roman" w:hAnsi="Times New Roman" w:cs="Times New Roman"/>
                      <w:color w:val="auto"/>
                      <w:sz w:val="21"/>
                      <w:szCs w:val="21"/>
                      <w:highlight w:val="none"/>
                      <w:lang w:val="en-US" w:eastAsia="zh-CN"/>
                    </w:rPr>
                  </w:pPr>
                </w:p>
              </w:tc>
            </w:tr>
            <w:tr w14:paraId="459A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95" w:type="dxa"/>
                  <w:vAlign w:val="center"/>
                </w:tcPr>
                <w:p w14:paraId="0C9B1857">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8</w:t>
                  </w:r>
                </w:p>
              </w:tc>
              <w:tc>
                <w:tcPr>
                  <w:tcW w:w="1299" w:type="dxa"/>
                  <w:gridSpan w:val="2"/>
                  <w:vAlign w:val="center"/>
                </w:tcPr>
                <w:p w14:paraId="51131083">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化验室用水</w:t>
                  </w:r>
                </w:p>
              </w:tc>
              <w:tc>
                <w:tcPr>
                  <w:tcW w:w="780" w:type="dxa"/>
                  <w:vAlign w:val="center"/>
                </w:tcPr>
                <w:p w14:paraId="31F9FD81">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纯水</w:t>
                  </w:r>
                </w:p>
              </w:tc>
              <w:tc>
                <w:tcPr>
                  <w:tcW w:w="1274" w:type="dxa"/>
                  <w:gridSpan w:val="2"/>
                  <w:vAlign w:val="center"/>
                </w:tcPr>
                <w:p w14:paraId="25460C1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0.38</w:t>
                  </w:r>
                </w:p>
              </w:tc>
              <w:tc>
                <w:tcPr>
                  <w:tcW w:w="676" w:type="dxa"/>
                  <w:vAlign w:val="center"/>
                </w:tcPr>
                <w:p w14:paraId="7DA25A50">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85</w:t>
                  </w:r>
                  <w:r>
                    <w:rPr>
                      <w:rFonts w:hint="default" w:ascii="Times New Roman" w:hAnsi="Times New Roman" w:cs="Times New Roman"/>
                      <w:b w:val="0"/>
                      <w:bCs/>
                      <w:color w:val="auto"/>
                      <w:sz w:val="21"/>
                      <w:szCs w:val="21"/>
                      <w:highlight w:val="none"/>
                      <w:lang w:val="en-US" w:eastAsia="zh-CN"/>
                    </w:rPr>
                    <w:t>%</w:t>
                  </w:r>
                </w:p>
              </w:tc>
              <w:tc>
                <w:tcPr>
                  <w:tcW w:w="1200" w:type="dxa"/>
                  <w:vAlign w:val="center"/>
                </w:tcPr>
                <w:p w14:paraId="2D026028">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eastAsia="宋体" w:cs="Times New Roman"/>
                      <w:i w:val="0"/>
                      <w:iCs w:val="0"/>
                      <w:color w:val="auto"/>
                      <w:kern w:val="0"/>
                      <w:sz w:val="21"/>
                      <w:szCs w:val="21"/>
                      <w:u w:val="none"/>
                      <w:lang w:val="en-US" w:eastAsia="zh-CN" w:bidi="ar"/>
                    </w:rPr>
                    <w:t>32</w:t>
                  </w:r>
                </w:p>
              </w:tc>
              <w:tc>
                <w:tcPr>
                  <w:tcW w:w="1296" w:type="dxa"/>
                  <w:vAlign w:val="center"/>
                </w:tcPr>
                <w:p w14:paraId="2DE25447">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64</w:t>
                  </w:r>
                </w:p>
              </w:tc>
              <w:tc>
                <w:tcPr>
                  <w:tcW w:w="1037" w:type="dxa"/>
                  <w:vAlign w:val="center"/>
                </w:tcPr>
                <w:p w14:paraId="1D5F53D0">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一体化污水处理站</w:t>
                  </w:r>
                </w:p>
              </w:tc>
            </w:tr>
            <w:tr w14:paraId="58E6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4" w:hRule="atLeast"/>
                <w:jc w:val="center"/>
              </w:trPr>
              <w:tc>
                <w:tcPr>
                  <w:tcW w:w="395" w:type="dxa"/>
                  <w:vAlign w:val="center"/>
                </w:tcPr>
                <w:p w14:paraId="0CAD89D2">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9</w:t>
                  </w:r>
                </w:p>
              </w:tc>
              <w:tc>
                <w:tcPr>
                  <w:tcW w:w="1299" w:type="dxa"/>
                  <w:gridSpan w:val="2"/>
                  <w:vAlign w:val="center"/>
                </w:tcPr>
                <w:p w14:paraId="299BD4D1">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设备冷却</w:t>
                  </w:r>
                  <w:r>
                    <w:rPr>
                      <w:rFonts w:hint="default" w:ascii="Times New Roman" w:hAnsi="Times New Roman" w:cs="Times New Roman"/>
                      <w:b w:val="0"/>
                      <w:bCs/>
                      <w:color w:val="auto"/>
                      <w:sz w:val="21"/>
                      <w:szCs w:val="21"/>
                      <w:highlight w:val="none"/>
                      <w:lang w:val="en-US" w:eastAsia="zh-CN"/>
                    </w:rPr>
                    <w:t>用</w:t>
                  </w:r>
                  <w:r>
                    <w:rPr>
                      <w:rFonts w:hint="default" w:ascii="Times New Roman" w:hAnsi="Times New Roman" w:cs="Times New Roman"/>
                      <w:b w:val="0"/>
                      <w:bCs/>
                      <w:color w:val="auto"/>
                      <w:sz w:val="21"/>
                      <w:szCs w:val="21"/>
                      <w:highlight w:val="none"/>
                    </w:rPr>
                    <w:t>水</w:t>
                  </w:r>
                </w:p>
              </w:tc>
              <w:tc>
                <w:tcPr>
                  <w:tcW w:w="780" w:type="dxa"/>
                  <w:vAlign w:val="center"/>
                </w:tcPr>
                <w:p w14:paraId="10659FA5">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自来水</w:t>
                  </w:r>
                </w:p>
              </w:tc>
              <w:tc>
                <w:tcPr>
                  <w:tcW w:w="1274" w:type="dxa"/>
                  <w:gridSpan w:val="2"/>
                  <w:vAlign w:val="center"/>
                </w:tcPr>
                <w:p w14:paraId="1D1F779A">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2.5</w:t>
                  </w:r>
                </w:p>
              </w:tc>
              <w:tc>
                <w:tcPr>
                  <w:tcW w:w="676" w:type="dxa"/>
                  <w:vAlign w:val="center"/>
                </w:tcPr>
                <w:p w14:paraId="73DE4AE5">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1200" w:type="dxa"/>
                  <w:vAlign w:val="center"/>
                </w:tcPr>
                <w:p w14:paraId="1D262287">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296" w:type="dxa"/>
                  <w:vAlign w:val="center"/>
                </w:tcPr>
                <w:p w14:paraId="22F93E03">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037" w:type="dxa"/>
                  <w:vAlign w:val="center"/>
                </w:tcPr>
                <w:p w14:paraId="190352ED">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循环使用，不外排</w:t>
                  </w:r>
                </w:p>
              </w:tc>
            </w:tr>
            <w:tr w14:paraId="493C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jc w:val="center"/>
              </w:trPr>
              <w:tc>
                <w:tcPr>
                  <w:tcW w:w="395" w:type="dxa"/>
                  <w:vAlign w:val="center"/>
                </w:tcPr>
                <w:p w14:paraId="4CFEB20A">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10</w:t>
                  </w:r>
                </w:p>
              </w:tc>
              <w:tc>
                <w:tcPr>
                  <w:tcW w:w="1299" w:type="dxa"/>
                  <w:gridSpan w:val="2"/>
                  <w:vAlign w:val="center"/>
                </w:tcPr>
                <w:p w14:paraId="15C56370">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锅炉用水</w:t>
                  </w:r>
                </w:p>
              </w:tc>
              <w:tc>
                <w:tcPr>
                  <w:tcW w:w="780" w:type="dxa"/>
                  <w:vAlign w:val="center"/>
                </w:tcPr>
                <w:p w14:paraId="23F2D34E">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纯水</w:t>
                  </w:r>
                </w:p>
              </w:tc>
              <w:tc>
                <w:tcPr>
                  <w:tcW w:w="1274" w:type="dxa"/>
                  <w:gridSpan w:val="2"/>
                  <w:vAlign w:val="center"/>
                </w:tcPr>
                <w:p w14:paraId="0D7D1F2E">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27.</w:t>
                  </w:r>
                  <w:r>
                    <w:rPr>
                      <w:rFonts w:hint="eastAsia" w:eastAsia="宋体" w:cs="Times New Roman"/>
                      <w:i w:val="0"/>
                      <w:iCs w:val="0"/>
                      <w:color w:val="auto"/>
                      <w:kern w:val="0"/>
                      <w:sz w:val="21"/>
                      <w:szCs w:val="21"/>
                      <w:u w:val="none"/>
                      <w:lang w:val="en-US" w:eastAsia="zh-CN" w:bidi="ar"/>
                    </w:rPr>
                    <w:t>4</w:t>
                  </w:r>
                </w:p>
              </w:tc>
              <w:tc>
                <w:tcPr>
                  <w:tcW w:w="676" w:type="dxa"/>
                  <w:vAlign w:val="center"/>
                </w:tcPr>
                <w:p w14:paraId="0CA635C2">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w:t>
                  </w:r>
                </w:p>
              </w:tc>
              <w:tc>
                <w:tcPr>
                  <w:tcW w:w="1200" w:type="dxa"/>
                  <w:vAlign w:val="center"/>
                </w:tcPr>
                <w:p w14:paraId="4C2D1BC0">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i w:val="0"/>
                      <w:iCs w:val="0"/>
                      <w:color w:val="auto"/>
                      <w:kern w:val="0"/>
                      <w:sz w:val="21"/>
                      <w:szCs w:val="21"/>
                      <w:u w:val="none"/>
                      <w:lang w:val="en-US" w:eastAsia="zh-CN" w:bidi="ar"/>
                    </w:rPr>
                    <w:t>1</w:t>
                  </w:r>
                </w:p>
              </w:tc>
              <w:tc>
                <w:tcPr>
                  <w:tcW w:w="1296" w:type="dxa"/>
                  <w:vAlign w:val="center"/>
                </w:tcPr>
                <w:p w14:paraId="7BA45F6B">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200 </w:t>
                  </w:r>
                </w:p>
              </w:tc>
              <w:tc>
                <w:tcPr>
                  <w:tcW w:w="1037" w:type="dxa"/>
                  <w:vMerge w:val="restart"/>
                  <w:vAlign w:val="center"/>
                </w:tcPr>
                <w:p w14:paraId="5EBDCCBB">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沉淀池</w:t>
                  </w:r>
                  <w:r>
                    <w:rPr>
                      <w:rFonts w:hint="eastAsia" w:cs="Times New Roman"/>
                      <w:color w:val="auto"/>
                      <w:kern w:val="0"/>
                      <w:sz w:val="21"/>
                      <w:szCs w:val="21"/>
                      <w:highlight w:val="none"/>
                      <w:lang w:val="en-US" w:eastAsia="zh-CN" w:bidi="ar"/>
                    </w:rPr>
                    <w:t>（</w:t>
                  </w:r>
                  <w:r>
                    <w:rPr>
                      <w:rFonts w:hint="eastAsia" w:ascii="Times New Roman" w:hAnsi="Times New Roman"/>
                      <w:color w:val="auto"/>
                      <w:sz w:val="21"/>
                      <w:szCs w:val="21"/>
                      <w:highlight w:val="none"/>
                      <w:lang w:val="en-US" w:eastAsia="zh-CN"/>
                    </w:rPr>
                    <w:t>调节+气浮沉淀</w:t>
                  </w:r>
                  <w:r>
                    <w:rPr>
                      <w:rFonts w:hint="eastAsia" w:cs="Times New Roman"/>
                      <w:color w:val="auto"/>
                      <w:kern w:val="0"/>
                      <w:sz w:val="21"/>
                      <w:szCs w:val="21"/>
                      <w:highlight w:val="none"/>
                      <w:lang w:val="en-US" w:eastAsia="zh-CN" w:bidi="ar"/>
                    </w:rPr>
                    <w:t>）</w:t>
                  </w:r>
                </w:p>
              </w:tc>
            </w:tr>
            <w:tr w14:paraId="04CC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395" w:type="dxa"/>
                  <w:vAlign w:val="center"/>
                </w:tcPr>
                <w:p w14:paraId="78ED48DF">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11</w:t>
                  </w:r>
                </w:p>
              </w:tc>
              <w:tc>
                <w:tcPr>
                  <w:tcW w:w="1299" w:type="dxa"/>
                  <w:gridSpan w:val="2"/>
                  <w:vAlign w:val="center"/>
                </w:tcPr>
                <w:p w14:paraId="45A8F440">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生产车间地面清洗</w:t>
                  </w:r>
                  <w:r>
                    <w:rPr>
                      <w:rFonts w:hint="default" w:ascii="Times New Roman" w:hAnsi="Times New Roman" w:cs="Times New Roman"/>
                      <w:b w:val="0"/>
                      <w:bCs/>
                      <w:color w:val="auto"/>
                      <w:sz w:val="21"/>
                      <w:szCs w:val="21"/>
                      <w:highlight w:val="none"/>
                      <w:lang w:val="en-US" w:eastAsia="zh-CN"/>
                    </w:rPr>
                    <w:t>用</w:t>
                  </w:r>
                  <w:r>
                    <w:rPr>
                      <w:rFonts w:hint="default" w:ascii="Times New Roman" w:hAnsi="Times New Roman" w:cs="Times New Roman"/>
                      <w:b w:val="0"/>
                      <w:bCs/>
                      <w:color w:val="auto"/>
                      <w:sz w:val="21"/>
                      <w:szCs w:val="21"/>
                      <w:highlight w:val="none"/>
                    </w:rPr>
                    <w:t>水</w:t>
                  </w:r>
                </w:p>
              </w:tc>
              <w:tc>
                <w:tcPr>
                  <w:tcW w:w="780" w:type="dxa"/>
                  <w:vAlign w:val="center"/>
                </w:tcPr>
                <w:p w14:paraId="6FBD9200">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自来水</w:t>
                  </w:r>
                </w:p>
              </w:tc>
              <w:tc>
                <w:tcPr>
                  <w:tcW w:w="1274" w:type="dxa"/>
                  <w:gridSpan w:val="2"/>
                  <w:vAlign w:val="center"/>
                </w:tcPr>
                <w:p w14:paraId="5F2D7F11">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p>
              </w:tc>
              <w:tc>
                <w:tcPr>
                  <w:tcW w:w="676" w:type="dxa"/>
                  <w:vAlign w:val="center"/>
                </w:tcPr>
                <w:p w14:paraId="4C386AF8">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80%</w:t>
                  </w:r>
                </w:p>
              </w:tc>
              <w:tc>
                <w:tcPr>
                  <w:tcW w:w="1200" w:type="dxa"/>
                  <w:vAlign w:val="center"/>
                </w:tcPr>
                <w:p w14:paraId="10832604">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296" w:type="dxa"/>
                  <w:vAlign w:val="center"/>
                </w:tcPr>
                <w:p w14:paraId="55DA5B0C">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320</w:t>
                  </w:r>
                </w:p>
              </w:tc>
              <w:tc>
                <w:tcPr>
                  <w:tcW w:w="1037" w:type="dxa"/>
                  <w:vMerge w:val="continue"/>
                  <w:vAlign w:val="center"/>
                </w:tcPr>
                <w:p w14:paraId="7251908C">
                  <w:pPr>
                    <w:adjustRightInd w:val="0"/>
                    <w:snapToGrid w:val="0"/>
                    <w:jc w:val="center"/>
                    <w:rPr>
                      <w:rFonts w:hint="default" w:ascii="Times New Roman" w:hAnsi="Times New Roman" w:cs="Times New Roman"/>
                      <w:b w:val="0"/>
                      <w:bCs/>
                      <w:color w:val="auto"/>
                      <w:sz w:val="21"/>
                      <w:szCs w:val="21"/>
                      <w:highlight w:val="none"/>
                      <w:lang w:val="en-US" w:eastAsia="zh-CN"/>
                    </w:rPr>
                  </w:pPr>
                </w:p>
              </w:tc>
            </w:tr>
            <w:tr w14:paraId="14C09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95" w:type="dxa"/>
                  <w:vAlign w:val="center"/>
                </w:tcPr>
                <w:p w14:paraId="7E12DD81">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12</w:t>
                  </w:r>
                </w:p>
              </w:tc>
              <w:tc>
                <w:tcPr>
                  <w:tcW w:w="1299" w:type="dxa"/>
                  <w:gridSpan w:val="2"/>
                  <w:vAlign w:val="center"/>
                </w:tcPr>
                <w:p w14:paraId="2FD81E29">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val="0"/>
                      <w:color w:val="auto"/>
                      <w:sz w:val="21"/>
                      <w:szCs w:val="21"/>
                      <w:highlight w:val="none"/>
                      <w:lang w:val="en-US" w:eastAsia="zh-CN"/>
                    </w:rPr>
                    <w:t>实验器皿清洗用水</w:t>
                  </w:r>
                </w:p>
              </w:tc>
              <w:tc>
                <w:tcPr>
                  <w:tcW w:w="780" w:type="dxa"/>
                  <w:vAlign w:val="center"/>
                </w:tcPr>
                <w:p w14:paraId="0F775387">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自来水</w:t>
                  </w:r>
                </w:p>
              </w:tc>
              <w:tc>
                <w:tcPr>
                  <w:tcW w:w="1274" w:type="dxa"/>
                  <w:gridSpan w:val="2"/>
                  <w:vAlign w:val="center"/>
                </w:tcPr>
                <w:p w14:paraId="6B379D58">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w:t>
                  </w:r>
                </w:p>
              </w:tc>
              <w:tc>
                <w:tcPr>
                  <w:tcW w:w="676" w:type="dxa"/>
                  <w:vAlign w:val="center"/>
                </w:tcPr>
                <w:p w14:paraId="1ABA628C">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80%</w:t>
                  </w:r>
                </w:p>
              </w:tc>
              <w:tc>
                <w:tcPr>
                  <w:tcW w:w="1200" w:type="dxa"/>
                  <w:vAlign w:val="center"/>
                </w:tcPr>
                <w:p w14:paraId="2F9ED649">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0.08</w:t>
                  </w:r>
                </w:p>
              </w:tc>
              <w:tc>
                <w:tcPr>
                  <w:tcW w:w="1296" w:type="dxa"/>
                  <w:vAlign w:val="center"/>
                </w:tcPr>
                <w:p w14:paraId="45D0E607">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037" w:type="dxa"/>
                  <w:vMerge w:val="continue"/>
                  <w:vAlign w:val="center"/>
                </w:tcPr>
                <w:p w14:paraId="6A9E9D63">
                  <w:pPr>
                    <w:adjustRightInd w:val="0"/>
                    <w:snapToGrid w:val="0"/>
                    <w:jc w:val="center"/>
                    <w:rPr>
                      <w:rFonts w:hint="default" w:ascii="Times New Roman" w:hAnsi="Times New Roman" w:cs="Times New Roman"/>
                      <w:b w:val="0"/>
                      <w:bCs/>
                      <w:color w:val="auto"/>
                      <w:sz w:val="21"/>
                      <w:szCs w:val="21"/>
                      <w:highlight w:val="none"/>
                      <w:lang w:val="en-US" w:eastAsia="zh-CN"/>
                    </w:rPr>
                  </w:pPr>
                </w:p>
              </w:tc>
            </w:tr>
            <w:tr w14:paraId="5987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jc w:val="center"/>
              </w:trPr>
              <w:tc>
                <w:tcPr>
                  <w:tcW w:w="395" w:type="dxa"/>
                  <w:vAlign w:val="center"/>
                </w:tcPr>
                <w:p w14:paraId="4BBE8B3F">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13</w:t>
                  </w:r>
                </w:p>
              </w:tc>
              <w:tc>
                <w:tcPr>
                  <w:tcW w:w="1299" w:type="dxa"/>
                  <w:gridSpan w:val="2"/>
                  <w:vAlign w:val="center"/>
                </w:tcPr>
                <w:p w14:paraId="72731700">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食堂用水</w:t>
                  </w:r>
                </w:p>
              </w:tc>
              <w:tc>
                <w:tcPr>
                  <w:tcW w:w="780" w:type="dxa"/>
                  <w:vAlign w:val="center"/>
                </w:tcPr>
                <w:p w14:paraId="56B55C57">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自来水</w:t>
                  </w:r>
                </w:p>
              </w:tc>
              <w:tc>
                <w:tcPr>
                  <w:tcW w:w="1274" w:type="dxa"/>
                  <w:gridSpan w:val="2"/>
                  <w:vAlign w:val="center"/>
                </w:tcPr>
                <w:p w14:paraId="78B42383">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0.9</w:t>
                  </w:r>
                </w:p>
              </w:tc>
              <w:tc>
                <w:tcPr>
                  <w:tcW w:w="676" w:type="dxa"/>
                  <w:vAlign w:val="center"/>
                </w:tcPr>
                <w:p w14:paraId="72CFB40E">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80%</w:t>
                  </w:r>
                </w:p>
              </w:tc>
              <w:tc>
                <w:tcPr>
                  <w:tcW w:w="1200" w:type="dxa"/>
                  <w:vAlign w:val="center"/>
                </w:tcPr>
                <w:p w14:paraId="0BD2A4D9">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0.72</w:t>
                  </w:r>
                </w:p>
              </w:tc>
              <w:tc>
                <w:tcPr>
                  <w:tcW w:w="1296" w:type="dxa"/>
                  <w:vAlign w:val="center"/>
                </w:tcPr>
                <w:p w14:paraId="56DC78AA">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144</w:t>
                  </w:r>
                </w:p>
              </w:tc>
              <w:tc>
                <w:tcPr>
                  <w:tcW w:w="1037" w:type="dxa"/>
                  <w:vMerge w:val="restart"/>
                  <w:vAlign w:val="center"/>
                </w:tcPr>
                <w:p w14:paraId="5C4A8449">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油水分离器</w:t>
                  </w:r>
                  <w:r>
                    <w:rPr>
                      <w:rFonts w:hint="eastAsia" w:ascii="Times New Roman" w:hAnsi="Times New Roman" w:cs="Times New Roman"/>
                      <w:b w:val="0"/>
                      <w:bCs/>
                      <w:color w:val="auto"/>
                      <w:sz w:val="21"/>
                      <w:szCs w:val="21"/>
                      <w:highlight w:val="none"/>
                      <w:lang w:val="en-US" w:eastAsia="zh-CN"/>
                    </w:rPr>
                    <w:t>、化粪池</w:t>
                  </w:r>
                </w:p>
              </w:tc>
            </w:tr>
            <w:tr w14:paraId="3163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jc w:val="center"/>
              </w:trPr>
              <w:tc>
                <w:tcPr>
                  <w:tcW w:w="395" w:type="dxa"/>
                  <w:vAlign w:val="center"/>
                </w:tcPr>
                <w:p w14:paraId="5FEC3FC5">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14</w:t>
                  </w:r>
                </w:p>
              </w:tc>
              <w:tc>
                <w:tcPr>
                  <w:tcW w:w="1299" w:type="dxa"/>
                  <w:gridSpan w:val="2"/>
                  <w:vAlign w:val="center"/>
                </w:tcPr>
                <w:p w14:paraId="103ABB2D">
                  <w:pPr>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生活用水</w:t>
                  </w:r>
                </w:p>
              </w:tc>
              <w:tc>
                <w:tcPr>
                  <w:tcW w:w="780" w:type="dxa"/>
                  <w:vAlign w:val="center"/>
                </w:tcPr>
                <w:p w14:paraId="0DDEB833">
                  <w:pPr>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自来水</w:t>
                  </w:r>
                </w:p>
              </w:tc>
              <w:tc>
                <w:tcPr>
                  <w:tcW w:w="1274" w:type="dxa"/>
                  <w:gridSpan w:val="2"/>
                  <w:vAlign w:val="center"/>
                </w:tcPr>
                <w:p w14:paraId="2528C074">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w:t>
                  </w:r>
                </w:p>
              </w:tc>
              <w:tc>
                <w:tcPr>
                  <w:tcW w:w="676" w:type="dxa"/>
                  <w:vAlign w:val="center"/>
                </w:tcPr>
                <w:p w14:paraId="01A3805F">
                  <w:pPr>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80%</w:t>
                  </w:r>
                </w:p>
              </w:tc>
              <w:tc>
                <w:tcPr>
                  <w:tcW w:w="1200" w:type="dxa"/>
                  <w:vAlign w:val="center"/>
                </w:tcPr>
                <w:p w14:paraId="01147E7D">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1.92</w:t>
                  </w:r>
                </w:p>
              </w:tc>
              <w:tc>
                <w:tcPr>
                  <w:tcW w:w="1296" w:type="dxa"/>
                  <w:vAlign w:val="center"/>
                </w:tcPr>
                <w:p w14:paraId="58CAD50B">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384</w:t>
                  </w:r>
                </w:p>
              </w:tc>
              <w:tc>
                <w:tcPr>
                  <w:tcW w:w="1037" w:type="dxa"/>
                  <w:vMerge w:val="continue"/>
                  <w:vAlign w:val="center"/>
                </w:tcPr>
                <w:p w14:paraId="29157C2F">
                  <w:pPr>
                    <w:adjustRightInd w:val="0"/>
                    <w:snapToGrid w:val="0"/>
                    <w:jc w:val="center"/>
                    <w:rPr>
                      <w:rFonts w:hint="default" w:ascii="Times New Roman" w:hAnsi="Times New Roman" w:cs="Times New Roman"/>
                      <w:b w:val="0"/>
                      <w:bCs/>
                      <w:color w:val="auto"/>
                      <w:sz w:val="21"/>
                      <w:szCs w:val="21"/>
                      <w:highlight w:val="none"/>
                      <w:lang w:val="en-US" w:eastAsia="zh-CN"/>
                    </w:rPr>
                  </w:pPr>
                </w:p>
              </w:tc>
            </w:tr>
            <w:tr w14:paraId="49B6D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2474" w:type="dxa"/>
                  <w:gridSpan w:val="4"/>
                  <w:vMerge w:val="restart"/>
                  <w:vAlign w:val="center"/>
                </w:tcPr>
                <w:p w14:paraId="4BB8F1EA">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i w:val="0"/>
                      <w:color w:val="auto"/>
                      <w:kern w:val="0"/>
                      <w:sz w:val="21"/>
                      <w:szCs w:val="21"/>
                      <w:highlight w:val="none"/>
                      <w:u w:val="none"/>
                      <w:lang w:val="en-US" w:eastAsia="zh-CN" w:bidi="ar"/>
                    </w:rPr>
                    <w:t>合计</w:t>
                  </w:r>
                </w:p>
              </w:tc>
              <w:tc>
                <w:tcPr>
                  <w:tcW w:w="691" w:type="dxa"/>
                  <w:vAlign w:val="center"/>
                </w:tcPr>
                <w:p w14:paraId="6535F90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自来水</w:t>
                  </w:r>
                </w:p>
              </w:tc>
              <w:tc>
                <w:tcPr>
                  <w:tcW w:w="583" w:type="dxa"/>
                  <w:vAlign w:val="center"/>
                </w:tcPr>
                <w:p w14:paraId="174C304D">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w:t>
                  </w:r>
                  <w:r>
                    <w:rPr>
                      <w:rFonts w:hint="eastAsia" w:eastAsia="宋体" w:cs="Times New Roman"/>
                      <w:i w:val="0"/>
                      <w:iCs w:val="0"/>
                      <w:color w:val="auto"/>
                      <w:kern w:val="0"/>
                      <w:sz w:val="21"/>
                      <w:szCs w:val="21"/>
                      <w:u w:val="none"/>
                      <w:lang w:val="en-US" w:eastAsia="zh-CN" w:bidi="ar"/>
                    </w:rPr>
                    <w:t>07</w:t>
                  </w:r>
                </w:p>
              </w:tc>
              <w:tc>
                <w:tcPr>
                  <w:tcW w:w="676" w:type="dxa"/>
                  <w:vMerge w:val="restart"/>
                  <w:vAlign w:val="center"/>
                </w:tcPr>
                <w:p w14:paraId="29533EDD">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Style w:val="76"/>
                      <w:rFonts w:hint="default" w:ascii="Times New Roman" w:hAnsi="Times New Roman" w:eastAsia="宋体" w:cs="Times New Roman"/>
                      <w:color w:val="auto"/>
                      <w:highlight w:val="none"/>
                      <w:lang w:val="en-US" w:eastAsia="zh-CN" w:bidi="ar"/>
                    </w:rPr>
                    <w:t>/</w:t>
                  </w:r>
                </w:p>
              </w:tc>
              <w:tc>
                <w:tcPr>
                  <w:tcW w:w="1200" w:type="dxa"/>
                  <w:vAlign w:val="center"/>
                </w:tcPr>
                <w:p w14:paraId="14E59AE5">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52.</w:t>
                  </w:r>
                  <w:r>
                    <w:rPr>
                      <w:rFonts w:hint="eastAsia" w:cs="Times New Roman"/>
                      <w:i w:val="0"/>
                      <w:iCs w:val="0"/>
                      <w:color w:val="auto"/>
                      <w:kern w:val="0"/>
                      <w:sz w:val="21"/>
                      <w:szCs w:val="21"/>
                      <w:highlight w:val="none"/>
                      <w:u w:val="none"/>
                      <w:lang w:val="en-US" w:eastAsia="zh-CN" w:bidi="ar"/>
                    </w:rPr>
                    <w:t>55</w:t>
                  </w:r>
                </w:p>
              </w:tc>
              <w:tc>
                <w:tcPr>
                  <w:tcW w:w="1296" w:type="dxa"/>
                  <w:vAlign w:val="center"/>
                </w:tcPr>
                <w:p w14:paraId="56B8D73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10504.533</w:t>
                  </w:r>
                </w:p>
              </w:tc>
              <w:tc>
                <w:tcPr>
                  <w:tcW w:w="1037" w:type="dxa"/>
                  <w:vMerge w:val="restart"/>
                  <w:vAlign w:val="center"/>
                </w:tcPr>
                <w:p w14:paraId="4FC60485">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w:t>
                  </w:r>
                </w:p>
              </w:tc>
            </w:tr>
            <w:tr w14:paraId="63D51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1" w:hRule="atLeast"/>
                <w:jc w:val="center"/>
              </w:trPr>
              <w:tc>
                <w:tcPr>
                  <w:tcW w:w="2474" w:type="dxa"/>
                  <w:gridSpan w:val="4"/>
                  <w:vMerge w:val="continue"/>
                  <w:vAlign w:val="center"/>
                </w:tcPr>
                <w:p w14:paraId="59CE11F0">
                  <w:pPr>
                    <w:keepNext w:val="0"/>
                    <w:keepLines w:val="0"/>
                    <w:widowControl/>
                    <w:suppressLineNumbers w:val="0"/>
                    <w:jc w:val="center"/>
                    <w:textAlignment w:val="center"/>
                    <w:rPr>
                      <w:rFonts w:hint="default" w:ascii="Times New Roman" w:hAnsi="Times New Roman" w:cs="Times New Roman"/>
                      <w:color w:val="auto"/>
                    </w:rPr>
                  </w:pPr>
                </w:p>
              </w:tc>
              <w:tc>
                <w:tcPr>
                  <w:tcW w:w="691" w:type="dxa"/>
                  <w:vAlign w:val="center"/>
                </w:tcPr>
                <w:p w14:paraId="40A1F09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纯水</w:t>
                  </w:r>
                </w:p>
              </w:tc>
              <w:tc>
                <w:tcPr>
                  <w:tcW w:w="583" w:type="dxa"/>
                  <w:vAlign w:val="center"/>
                </w:tcPr>
                <w:p w14:paraId="69B36305">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58.6</w:t>
                  </w:r>
                  <w:r>
                    <w:rPr>
                      <w:rFonts w:hint="eastAsia" w:eastAsia="宋体" w:cs="Times New Roman"/>
                      <w:i w:val="0"/>
                      <w:iCs w:val="0"/>
                      <w:color w:val="auto"/>
                      <w:kern w:val="0"/>
                      <w:sz w:val="21"/>
                      <w:szCs w:val="21"/>
                      <w:u w:val="none"/>
                      <w:lang w:val="en-US" w:eastAsia="zh-CN" w:bidi="ar"/>
                    </w:rPr>
                    <w:t>3</w:t>
                  </w:r>
                </w:p>
              </w:tc>
              <w:tc>
                <w:tcPr>
                  <w:tcW w:w="676" w:type="dxa"/>
                  <w:vMerge w:val="continue"/>
                  <w:vAlign w:val="center"/>
                </w:tcPr>
                <w:p w14:paraId="3A9594CF">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1200" w:type="dxa"/>
                  <w:vMerge w:val="restart"/>
                  <w:vAlign w:val="center"/>
                </w:tcPr>
                <w:p w14:paraId="75B2F5B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其中：生产废水49.91（进入一体化污水处理站废水为CIP清洗系统设备清洗废水、化验室废水，共12.01；进入沉淀池废水为纯水制备系统浓水、反冲洗废水、水果清洗废水、生产车间地面清洗废水、实验器皿清洗废水、锅炉排水，共37.9），生活污水2.64</w:t>
                  </w:r>
                </w:p>
              </w:tc>
              <w:tc>
                <w:tcPr>
                  <w:tcW w:w="1296" w:type="dxa"/>
                  <w:vMerge w:val="restart"/>
                  <w:vAlign w:val="center"/>
                </w:tcPr>
                <w:p w14:paraId="1662CE89">
                  <w:pPr>
                    <w:keepNext w:val="0"/>
                    <w:keepLines w:val="0"/>
                    <w:widowControl/>
                    <w:suppressLineNumbers w:val="0"/>
                    <w:jc w:val="center"/>
                    <w:textAlignment w:val="center"/>
                    <w:rPr>
                      <w:rFonts w:hint="default" w:ascii="Times New Roman" w:hAnsi="Times New Roman" w:cs="Times New Roman"/>
                      <w:color w:val="auto"/>
                      <w:lang w:val="en-US"/>
                    </w:rPr>
                  </w:pPr>
                  <w:r>
                    <w:rPr>
                      <w:rFonts w:hint="eastAsia" w:cs="Times New Roman"/>
                      <w:color w:val="auto"/>
                      <w:lang w:val="en-US" w:eastAsia="zh-CN"/>
                    </w:rPr>
                    <w:t>其中：生产废水9982（进入一体化污水处理站2402，进入沉淀池7580），生活污水528</w:t>
                  </w:r>
                </w:p>
              </w:tc>
              <w:tc>
                <w:tcPr>
                  <w:tcW w:w="1037" w:type="dxa"/>
                  <w:vMerge w:val="continue"/>
                  <w:vAlign w:val="center"/>
                </w:tcPr>
                <w:p w14:paraId="3B296321">
                  <w:pPr>
                    <w:keepNext w:val="0"/>
                    <w:keepLines w:val="0"/>
                    <w:widowControl/>
                    <w:suppressLineNumbers w:val="0"/>
                    <w:jc w:val="center"/>
                    <w:textAlignment w:val="center"/>
                    <w:rPr>
                      <w:rFonts w:hint="default" w:ascii="Times New Roman" w:hAnsi="Times New Roman" w:cs="Times New Roman"/>
                      <w:color w:val="auto"/>
                    </w:rPr>
                  </w:pPr>
                </w:p>
              </w:tc>
            </w:tr>
            <w:tr w14:paraId="33AE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4" w:hRule="atLeast"/>
                <w:jc w:val="center"/>
              </w:trPr>
              <w:tc>
                <w:tcPr>
                  <w:tcW w:w="2474" w:type="dxa"/>
                  <w:gridSpan w:val="4"/>
                  <w:vMerge w:val="continue"/>
                  <w:vAlign w:val="center"/>
                </w:tcPr>
                <w:p w14:paraId="5F8569B3">
                  <w:pPr>
                    <w:keepNext w:val="0"/>
                    <w:keepLines w:val="0"/>
                    <w:widowControl/>
                    <w:suppressLineNumbers w:val="0"/>
                    <w:jc w:val="center"/>
                    <w:textAlignment w:val="center"/>
                    <w:rPr>
                      <w:rFonts w:hint="default" w:ascii="Times New Roman" w:hAnsi="Times New Roman" w:cs="Times New Roman"/>
                      <w:color w:val="auto"/>
                    </w:rPr>
                  </w:pPr>
                </w:p>
              </w:tc>
              <w:tc>
                <w:tcPr>
                  <w:tcW w:w="691" w:type="dxa"/>
                  <w:vAlign w:val="center"/>
                </w:tcPr>
                <w:p w14:paraId="428D15D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浓水</w:t>
                  </w:r>
                </w:p>
              </w:tc>
              <w:tc>
                <w:tcPr>
                  <w:tcW w:w="583" w:type="dxa"/>
                  <w:vAlign w:val="center"/>
                </w:tcPr>
                <w:p w14:paraId="6674434C">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12.03</w:t>
                  </w:r>
                </w:p>
              </w:tc>
              <w:tc>
                <w:tcPr>
                  <w:tcW w:w="676" w:type="dxa"/>
                  <w:vMerge w:val="continue"/>
                  <w:vAlign w:val="center"/>
                </w:tcPr>
                <w:p w14:paraId="4F68D791">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1200" w:type="dxa"/>
                  <w:vMerge w:val="continue"/>
                  <w:vAlign w:val="center"/>
                </w:tcPr>
                <w:p w14:paraId="2126D631">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1296" w:type="dxa"/>
                  <w:vMerge w:val="continue"/>
                  <w:vAlign w:val="center"/>
                </w:tcPr>
                <w:p w14:paraId="3D63564A">
                  <w:pPr>
                    <w:keepNext w:val="0"/>
                    <w:keepLines w:val="0"/>
                    <w:widowControl/>
                    <w:suppressLineNumbers w:val="0"/>
                    <w:jc w:val="center"/>
                    <w:textAlignment w:val="center"/>
                    <w:rPr>
                      <w:rFonts w:hint="default" w:ascii="Times New Roman" w:hAnsi="Times New Roman" w:cs="Times New Roman"/>
                      <w:color w:val="auto"/>
                    </w:rPr>
                  </w:pPr>
                </w:p>
              </w:tc>
              <w:tc>
                <w:tcPr>
                  <w:tcW w:w="1037" w:type="dxa"/>
                  <w:vMerge w:val="continue"/>
                  <w:vAlign w:val="center"/>
                </w:tcPr>
                <w:p w14:paraId="5A85DEE4">
                  <w:pPr>
                    <w:keepNext w:val="0"/>
                    <w:keepLines w:val="0"/>
                    <w:widowControl/>
                    <w:suppressLineNumbers w:val="0"/>
                    <w:jc w:val="center"/>
                    <w:textAlignment w:val="center"/>
                    <w:rPr>
                      <w:rFonts w:hint="default" w:ascii="Times New Roman" w:hAnsi="Times New Roman" w:cs="Times New Roman"/>
                      <w:color w:val="auto"/>
                    </w:rPr>
                  </w:pPr>
                </w:p>
              </w:tc>
            </w:tr>
            <w:tr w14:paraId="5CAC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7957" w:type="dxa"/>
                  <w:gridSpan w:val="10"/>
                  <w:vAlign w:val="center"/>
                </w:tcPr>
                <w:p w14:paraId="721B1126">
                  <w:pPr>
                    <w:pStyle w:val="21"/>
                    <w:keepNext w:val="0"/>
                    <w:keepLines w:val="0"/>
                    <w:pageBreakBefore w:val="0"/>
                    <w:widowControl/>
                    <w:kinsoku/>
                    <w:wordWrap/>
                    <w:overflowPunct/>
                    <w:topLinePunct w:val="0"/>
                    <w:autoSpaceDE/>
                    <w:autoSpaceDN/>
                    <w:bidi w:val="0"/>
                    <w:adjustRightInd/>
                    <w:snapToGrid/>
                    <w:spacing w:before="0" w:after="0" w:line="260" w:lineRule="auto"/>
                    <w:ind w:right="0"/>
                    <w:textAlignment w:val="auto"/>
                    <w:rPr>
                      <w:rFonts w:hint="default" w:ascii="Times New Roman" w:hAnsi="Times New Roman" w:cs="Times New Roman"/>
                      <w:color w:val="auto"/>
                    </w:rPr>
                  </w:pPr>
                  <w:r>
                    <w:rPr>
                      <w:rFonts w:hint="default" w:ascii="Times New Roman" w:hAnsi="Times New Roman" w:cs="Times New Roman"/>
                      <w:color w:val="auto"/>
                      <w:sz w:val="21"/>
                      <w:szCs w:val="21"/>
                      <w:lang w:val="en-US" w:eastAsia="zh-CN"/>
                    </w:rPr>
                    <w:t>备注：</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本项目纯水制备机组浓水产生量为19.54m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/d，其中12.03m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/d的浓水用于第一道、第二道水果清洗。</w:t>
                  </w:r>
                </w:p>
              </w:tc>
            </w:tr>
          </w:tbl>
          <w:p w14:paraId="4E91E179">
            <w:pPr>
              <w:rPr>
                <w:rFonts w:hint="eastAsia"/>
                <w:b/>
                <w:bCs/>
                <w:color w:val="auto"/>
                <w:sz w:val="21"/>
                <w:szCs w:val="21"/>
                <w:highlight w:val="none"/>
              </w:rPr>
            </w:pPr>
          </w:p>
          <w:p w14:paraId="4A788D75">
            <w:pPr>
              <w:pStyle w:val="21"/>
              <w:rPr>
                <w:rFonts w:hint="eastAsia"/>
                <w:b/>
                <w:bCs/>
                <w:color w:val="auto"/>
                <w:sz w:val="21"/>
                <w:szCs w:val="21"/>
                <w:highlight w:val="none"/>
              </w:rPr>
            </w:pPr>
          </w:p>
          <w:p w14:paraId="0237AEC8">
            <w:pPr>
              <w:rPr>
                <w:rFonts w:hint="eastAsia"/>
                <w:b/>
                <w:bCs/>
                <w:color w:val="auto"/>
                <w:sz w:val="21"/>
                <w:szCs w:val="21"/>
                <w:highlight w:val="none"/>
              </w:rPr>
            </w:pPr>
          </w:p>
          <w:p w14:paraId="2C577529">
            <w:pPr>
              <w:pStyle w:val="21"/>
              <w:rPr>
                <w:rFonts w:hint="eastAsia"/>
                <w:b/>
                <w:bCs/>
                <w:color w:val="auto"/>
                <w:sz w:val="21"/>
                <w:szCs w:val="21"/>
                <w:highlight w:val="none"/>
              </w:rPr>
            </w:pPr>
          </w:p>
          <w:p w14:paraId="2A1B95E6">
            <w:pPr>
              <w:rPr>
                <w:rFonts w:hint="eastAsia"/>
                <w:b/>
                <w:bCs/>
                <w:color w:val="auto"/>
                <w:sz w:val="21"/>
                <w:szCs w:val="21"/>
                <w:highlight w:val="none"/>
              </w:rPr>
            </w:pPr>
          </w:p>
          <w:p w14:paraId="2610D905">
            <w:pPr>
              <w:pStyle w:val="21"/>
              <w:rPr>
                <w:rFonts w:hint="eastAsia"/>
                <w:color w:val="auto"/>
              </w:rPr>
            </w:pPr>
          </w:p>
          <w:p w14:paraId="649646D2">
            <w:pPr>
              <w:pStyle w:val="10"/>
              <w:jc w:val="center"/>
              <w:rPr>
                <w:rFonts w:hint="eastAsia" w:eastAsia="宋体"/>
                <w:b/>
                <w:bCs/>
                <w:color w:val="auto"/>
                <w:sz w:val="21"/>
                <w:szCs w:val="21"/>
                <w:highlight w:val="none"/>
                <w:lang w:val="en-US" w:eastAsia="zh-CN"/>
              </w:rPr>
            </w:pPr>
            <w:r>
              <w:rPr>
                <w:b/>
                <w:bCs/>
                <w:color w:val="auto"/>
                <w:sz w:val="21"/>
                <w:szCs w:val="21"/>
                <w:highlight w:val="none"/>
              </w:rPr>
              <w:object>
                <v:shape id="_x0000_i1025" o:spt="75" type="#_x0000_t75" style="height:559.6pt;width:372.5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1670B5A4">
            <w:pPr>
              <w:pStyle w:val="10"/>
              <w:jc w:val="center"/>
              <w:rPr>
                <w:b/>
                <w:bCs/>
                <w:color w:val="auto"/>
                <w:sz w:val="21"/>
                <w:szCs w:val="21"/>
                <w:highlight w:val="none"/>
              </w:rPr>
            </w:pPr>
            <w:r>
              <w:rPr>
                <w:b/>
                <w:bCs/>
                <w:color w:val="auto"/>
                <w:sz w:val="21"/>
                <w:szCs w:val="21"/>
                <w:highlight w:val="none"/>
              </w:rPr>
              <w:t xml:space="preserve">图2-1 </w:t>
            </w:r>
            <w:r>
              <w:rPr>
                <w:rFonts w:hint="eastAsia"/>
                <w:b/>
                <w:bCs/>
                <w:color w:val="auto"/>
                <w:sz w:val="21"/>
                <w:szCs w:val="21"/>
                <w:highlight w:val="none"/>
                <w:lang w:val="en-US" w:eastAsia="zh-CN"/>
              </w:rPr>
              <w:t>本次技改后全厂</w:t>
            </w:r>
            <w:r>
              <w:rPr>
                <w:b/>
                <w:bCs/>
                <w:color w:val="auto"/>
                <w:sz w:val="21"/>
                <w:szCs w:val="21"/>
                <w:highlight w:val="none"/>
              </w:rPr>
              <w:t>水平衡图 （单位m</w:t>
            </w:r>
            <w:r>
              <w:rPr>
                <w:b/>
                <w:bCs/>
                <w:color w:val="auto"/>
                <w:sz w:val="21"/>
                <w:szCs w:val="21"/>
                <w:highlight w:val="none"/>
                <w:vertAlign w:val="superscript"/>
              </w:rPr>
              <w:t>3</w:t>
            </w:r>
            <w:r>
              <w:rPr>
                <w:b/>
                <w:bCs/>
                <w:color w:val="auto"/>
                <w:sz w:val="21"/>
                <w:szCs w:val="21"/>
                <w:highlight w:val="none"/>
              </w:rPr>
              <w:t>/d）</w:t>
            </w:r>
          </w:p>
          <w:p w14:paraId="4ADC9325">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2" w:firstLineChars="200"/>
              <w:jc w:val="left"/>
              <w:textAlignment w:val="auto"/>
              <w:rPr>
                <w:rFonts w:hint="default" w:eastAsia="宋体" w:cs="Times New Roman"/>
                <w:b/>
                <w:bCs w:val="0"/>
                <w:i w:val="0"/>
                <w:iCs/>
                <w:color w:val="auto"/>
                <w:sz w:val="24"/>
                <w:szCs w:val="24"/>
                <w:lang w:val="en-US" w:eastAsia="zh-CN"/>
              </w:rPr>
            </w:pPr>
            <w:r>
              <w:rPr>
                <w:rFonts w:hint="eastAsia" w:eastAsia="宋体" w:cs="Times New Roman"/>
                <w:b/>
                <w:bCs w:val="0"/>
                <w:i w:val="0"/>
                <w:iCs/>
                <w:color w:val="auto"/>
                <w:sz w:val="24"/>
                <w:szCs w:val="24"/>
                <w:lang w:val="en-US" w:eastAsia="zh-CN"/>
              </w:rPr>
              <w:t>（3）技改前后用排水变化情况</w:t>
            </w:r>
          </w:p>
          <w:p w14:paraId="0091BF2E">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left"/>
              <w:textAlignment w:val="auto"/>
              <w:rPr>
                <w:rFonts w:hint="default" w:ascii="Times New Roman" w:hAnsi="Times New Roman" w:eastAsia="宋体" w:cs="Times New Roman"/>
                <w:bCs/>
                <w:i w:val="0"/>
                <w:iCs/>
                <w:color w:val="auto"/>
                <w:sz w:val="24"/>
                <w:szCs w:val="24"/>
                <w:lang w:val="en-US" w:eastAsia="zh-CN"/>
              </w:rPr>
            </w:pPr>
            <w:r>
              <w:rPr>
                <w:rFonts w:hint="eastAsia" w:ascii="Times New Roman" w:hAnsi="Times New Roman" w:eastAsia="宋体" w:cs="Times New Roman"/>
                <w:bCs/>
                <w:i w:val="0"/>
                <w:iCs/>
                <w:color w:val="auto"/>
                <w:sz w:val="24"/>
                <w:szCs w:val="24"/>
                <w:lang w:val="en-US" w:eastAsia="zh-CN"/>
              </w:rPr>
              <w:t>本次技改前后</w:t>
            </w:r>
            <w:r>
              <w:rPr>
                <w:rFonts w:hint="eastAsia" w:eastAsia="宋体" w:cs="Times New Roman"/>
                <w:bCs/>
                <w:i w:val="0"/>
                <w:iCs/>
                <w:color w:val="auto"/>
                <w:sz w:val="24"/>
                <w:szCs w:val="24"/>
                <w:lang w:val="en-US" w:eastAsia="zh-CN"/>
              </w:rPr>
              <w:t>用排水变化情况详见下表。</w:t>
            </w:r>
          </w:p>
          <w:p w14:paraId="660D4EF4">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eastAsia="宋体"/>
                <w:b/>
                <w:bCs/>
                <w:color w:val="auto"/>
                <w:sz w:val="21"/>
                <w:szCs w:val="21"/>
                <w:lang w:val="en-US" w:eastAsia="zh-CN"/>
              </w:rPr>
            </w:pPr>
            <w:r>
              <w:rPr>
                <w:rFonts w:hint="eastAsia"/>
                <w:b/>
                <w:bCs/>
                <w:color w:val="auto"/>
                <w:sz w:val="21"/>
                <w:szCs w:val="21"/>
                <w:highlight w:val="none"/>
                <w:lang w:val="en-US" w:eastAsia="zh-CN"/>
              </w:rPr>
              <w:t>表2-10 本次技改前后用排水变化情况</w:t>
            </w:r>
            <w:r>
              <w:rPr>
                <w:rFonts w:hint="eastAsia"/>
                <w:b/>
                <w:bCs/>
                <w:color w:val="auto"/>
                <w:sz w:val="21"/>
                <w:szCs w:val="21"/>
                <w:lang w:val="en-US" w:eastAsia="zh-CN"/>
              </w:rPr>
              <w:t>一览表</w:t>
            </w:r>
          </w:p>
          <w:tbl>
            <w:tblPr>
              <w:tblStyle w:val="22"/>
              <w:tblW w:w="7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46"/>
              <w:gridCol w:w="685"/>
              <w:gridCol w:w="686"/>
              <w:gridCol w:w="859"/>
              <w:gridCol w:w="873"/>
              <w:gridCol w:w="872"/>
              <w:gridCol w:w="859"/>
              <w:gridCol w:w="914"/>
              <w:gridCol w:w="927"/>
              <w:gridCol w:w="896"/>
            </w:tblGrid>
            <w:tr w14:paraId="2B92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 w:hRule="atLeast"/>
                <w:jc w:val="center"/>
              </w:trPr>
              <w:tc>
                <w:tcPr>
                  <w:tcW w:w="346" w:type="dxa"/>
                  <w:vMerge w:val="restart"/>
                  <w:vAlign w:val="center"/>
                </w:tcPr>
                <w:p w14:paraId="3C36E271">
                  <w:pPr>
                    <w:adjustRightInd w:val="0"/>
                    <w:snapToGrid w:val="0"/>
                    <w:jc w:val="center"/>
                    <w:rPr>
                      <w:b/>
                      <w:bCs w:val="0"/>
                      <w:color w:val="auto"/>
                      <w:sz w:val="21"/>
                      <w:szCs w:val="21"/>
                      <w:highlight w:val="none"/>
                    </w:rPr>
                  </w:pPr>
                  <w:r>
                    <w:rPr>
                      <w:b/>
                      <w:bCs w:val="0"/>
                      <w:color w:val="auto"/>
                      <w:sz w:val="21"/>
                      <w:szCs w:val="21"/>
                      <w:highlight w:val="none"/>
                    </w:rPr>
                    <w:t>序号</w:t>
                  </w:r>
                </w:p>
              </w:tc>
              <w:tc>
                <w:tcPr>
                  <w:tcW w:w="1371" w:type="dxa"/>
                  <w:gridSpan w:val="2"/>
                  <w:vMerge w:val="restart"/>
                  <w:vAlign w:val="center"/>
                </w:tcPr>
                <w:p w14:paraId="4CFB3236">
                  <w:pPr>
                    <w:adjustRightInd w:val="0"/>
                    <w:snapToGrid w:val="0"/>
                    <w:jc w:val="center"/>
                    <w:rPr>
                      <w:b/>
                      <w:bCs w:val="0"/>
                      <w:color w:val="auto"/>
                      <w:sz w:val="21"/>
                      <w:szCs w:val="21"/>
                      <w:highlight w:val="none"/>
                    </w:rPr>
                  </w:pPr>
                  <w:r>
                    <w:rPr>
                      <w:b/>
                      <w:bCs w:val="0"/>
                      <w:color w:val="auto"/>
                      <w:sz w:val="21"/>
                      <w:szCs w:val="21"/>
                      <w:highlight w:val="none"/>
                    </w:rPr>
                    <w:t>用水项目</w:t>
                  </w:r>
                </w:p>
              </w:tc>
              <w:tc>
                <w:tcPr>
                  <w:tcW w:w="859" w:type="dxa"/>
                  <w:vMerge w:val="restart"/>
                  <w:vAlign w:val="center"/>
                </w:tcPr>
                <w:p w14:paraId="3DBD48A8">
                  <w:pPr>
                    <w:adjustRightInd w:val="0"/>
                    <w:snapToGrid w:val="0"/>
                    <w:jc w:val="center"/>
                    <w:rPr>
                      <w:b/>
                      <w:bCs w:val="0"/>
                      <w:color w:val="auto"/>
                      <w:sz w:val="21"/>
                      <w:szCs w:val="21"/>
                      <w:highlight w:val="none"/>
                    </w:rPr>
                  </w:pPr>
                  <w:r>
                    <w:rPr>
                      <w:b/>
                      <w:bCs w:val="0"/>
                      <w:color w:val="auto"/>
                      <w:sz w:val="21"/>
                      <w:szCs w:val="21"/>
                      <w:highlight w:val="none"/>
                    </w:rPr>
                    <w:t>水源</w:t>
                  </w:r>
                </w:p>
              </w:tc>
              <w:tc>
                <w:tcPr>
                  <w:tcW w:w="2604" w:type="dxa"/>
                  <w:gridSpan w:val="3"/>
                  <w:vAlign w:val="center"/>
                </w:tcPr>
                <w:p w14:paraId="558A2797">
                  <w:pPr>
                    <w:adjustRightInd w:val="0"/>
                    <w:snapToGrid w:val="0"/>
                    <w:jc w:val="center"/>
                    <w:rPr>
                      <w:rFonts w:hint="default" w:eastAsia="宋体"/>
                      <w:b/>
                      <w:bCs w:val="0"/>
                      <w:color w:val="auto"/>
                      <w:sz w:val="21"/>
                      <w:szCs w:val="21"/>
                      <w:highlight w:val="none"/>
                      <w:lang w:val="en-US" w:eastAsia="zh-CN"/>
                    </w:rPr>
                  </w:pPr>
                  <w:r>
                    <w:rPr>
                      <w:rFonts w:hint="eastAsia"/>
                      <w:b/>
                      <w:bCs w:val="0"/>
                      <w:color w:val="auto"/>
                      <w:sz w:val="21"/>
                      <w:szCs w:val="21"/>
                      <w:highlight w:val="none"/>
                      <w:lang w:val="en-US" w:eastAsia="zh-CN"/>
                    </w:rPr>
                    <w:t>用水量（</w:t>
                  </w:r>
                  <w:r>
                    <w:rPr>
                      <w:b/>
                      <w:bCs w:val="0"/>
                      <w:color w:val="auto"/>
                      <w:sz w:val="21"/>
                      <w:szCs w:val="21"/>
                      <w:highlight w:val="none"/>
                    </w:rPr>
                    <w:t>m</w:t>
                  </w:r>
                  <w:r>
                    <w:rPr>
                      <w:b/>
                      <w:bCs w:val="0"/>
                      <w:color w:val="auto"/>
                      <w:sz w:val="21"/>
                      <w:szCs w:val="21"/>
                      <w:highlight w:val="none"/>
                      <w:vertAlign w:val="superscript"/>
                    </w:rPr>
                    <w:t>3</w:t>
                  </w:r>
                  <w:r>
                    <w:rPr>
                      <w:b/>
                      <w:bCs w:val="0"/>
                      <w:color w:val="auto"/>
                      <w:sz w:val="21"/>
                      <w:szCs w:val="21"/>
                      <w:highlight w:val="none"/>
                    </w:rPr>
                    <w:t>/</w:t>
                  </w:r>
                  <w:r>
                    <w:rPr>
                      <w:rFonts w:hint="eastAsia"/>
                      <w:b/>
                      <w:bCs w:val="0"/>
                      <w:color w:val="auto"/>
                      <w:sz w:val="21"/>
                      <w:szCs w:val="21"/>
                      <w:highlight w:val="none"/>
                      <w:lang w:val="en-US" w:eastAsia="zh-CN"/>
                    </w:rPr>
                    <w:t>d）</w:t>
                  </w:r>
                </w:p>
              </w:tc>
              <w:tc>
                <w:tcPr>
                  <w:tcW w:w="2737" w:type="dxa"/>
                  <w:gridSpan w:val="3"/>
                  <w:vAlign w:val="center"/>
                </w:tcPr>
                <w:p w14:paraId="45EBEDE9">
                  <w:pPr>
                    <w:adjustRightInd w:val="0"/>
                    <w:snapToGrid w:val="0"/>
                    <w:jc w:val="center"/>
                    <w:rPr>
                      <w:b/>
                      <w:bCs w:val="0"/>
                      <w:color w:val="auto"/>
                      <w:sz w:val="21"/>
                      <w:szCs w:val="21"/>
                      <w:highlight w:val="none"/>
                    </w:rPr>
                  </w:pPr>
                  <w:r>
                    <w:rPr>
                      <w:b/>
                      <w:bCs w:val="0"/>
                      <w:color w:val="auto"/>
                      <w:sz w:val="21"/>
                      <w:szCs w:val="21"/>
                      <w:highlight w:val="none"/>
                    </w:rPr>
                    <w:t>污水量（m</w:t>
                  </w:r>
                  <w:r>
                    <w:rPr>
                      <w:b/>
                      <w:bCs w:val="0"/>
                      <w:color w:val="auto"/>
                      <w:sz w:val="21"/>
                      <w:szCs w:val="21"/>
                      <w:highlight w:val="none"/>
                      <w:vertAlign w:val="superscript"/>
                    </w:rPr>
                    <w:t>3</w:t>
                  </w:r>
                  <w:r>
                    <w:rPr>
                      <w:b/>
                      <w:bCs w:val="0"/>
                      <w:color w:val="auto"/>
                      <w:sz w:val="21"/>
                      <w:szCs w:val="21"/>
                      <w:highlight w:val="none"/>
                    </w:rPr>
                    <w:t>/</w:t>
                  </w:r>
                  <w:r>
                    <w:rPr>
                      <w:rFonts w:hint="eastAsia"/>
                      <w:b/>
                      <w:bCs w:val="0"/>
                      <w:color w:val="auto"/>
                      <w:sz w:val="21"/>
                      <w:szCs w:val="21"/>
                      <w:highlight w:val="none"/>
                      <w:lang w:val="en-US" w:eastAsia="zh-CN"/>
                    </w:rPr>
                    <w:t>d</w:t>
                  </w:r>
                  <w:r>
                    <w:rPr>
                      <w:b/>
                      <w:bCs w:val="0"/>
                      <w:color w:val="auto"/>
                      <w:sz w:val="21"/>
                      <w:szCs w:val="21"/>
                      <w:highlight w:val="none"/>
                    </w:rPr>
                    <w:t>）</w:t>
                  </w:r>
                </w:p>
              </w:tc>
            </w:tr>
            <w:tr w14:paraId="5A10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346" w:type="dxa"/>
                  <w:vMerge w:val="continue"/>
                  <w:vAlign w:val="center"/>
                </w:tcPr>
                <w:p w14:paraId="3FB3C3CD">
                  <w:pPr>
                    <w:adjustRightInd w:val="0"/>
                    <w:snapToGrid w:val="0"/>
                    <w:jc w:val="center"/>
                    <w:rPr>
                      <w:b/>
                      <w:bCs w:val="0"/>
                      <w:color w:val="auto"/>
                      <w:sz w:val="21"/>
                      <w:szCs w:val="21"/>
                      <w:highlight w:val="none"/>
                    </w:rPr>
                  </w:pPr>
                </w:p>
              </w:tc>
              <w:tc>
                <w:tcPr>
                  <w:tcW w:w="1371" w:type="dxa"/>
                  <w:gridSpan w:val="2"/>
                  <w:vMerge w:val="continue"/>
                  <w:vAlign w:val="center"/>
                </w:tcPr>
                <w:p w14:paraId="746FF751">
                  <w:pPr>
                    <w:adjustRightInd w:val="0"/>
                    <w:snapToGrid w:val="0"/>
                    <w:jc w:val="center"/>
                    <w:rPr>
                      <w:b/>
                      <w:bCs w:val="0"/>
                      <w:color w:val="auto"/>
                      <w:sz w:val="21"/>
                      <w:szCs w:val="21"/>
                      <w:highlight w:val="none"/>
                    </w:rPr>
                  </w:pPr>
                </w:p>
              </w:tc>
              <w:tc>
                <w:tcPr>
                  <w:tcW w:w="859" w:type="dxa"/>
                  <w:vMerge w:val="continue"/>
                  <w:vAlign w:val="center"/>
                </w:tcPr>
                <w:p w14:paraId="2E351935">
                  <w:pPr>
                    <w:adjustRightInd w:val="0"/>
                    <w:snapToGrid w:val="0"/>
                    <w:jc w:val="center"/>
                    <w:rPr>
                      <w:b/>
                      <w:bCs w:val="0"/>
                      <w:color w:val="auto"/>
                      <w:sz w:val="21"/>
                      <w:szCs w:val="21"/>
                      <w:highlight w:val="none"/>
                    </w:rPr>
                  </w:pPr>
                </w:p>
              </w:tc>
              <w:tc>
                <w:tcPr>
                  <w:tcW w:w="873" w:type="dxa"/>
                  <w:vAlign w:val="center"/>
                </w:tcPr>
                <w:p w14:paraId="7368A835">
                  <w:pPr>
                    <w:adjustRightInd w:val="0"/>
                    <w:snapToGrid w:val="0"/>
                    <w:jc w:val="center"/>
                    <w:rPr>
                      <w:b/>
                      <w:bCs w:val="0"/>
                      <w:color w:val="auto"/>
                      <w:sz w:val="21"/>
                      <w:szCs w:val="21"/>
                      <w:highlight w:val="none"/>
                    </w:rPr>
                  </w:pPr>
                  <w:r>
                    <w:rPr>
                      <w:rFonts w:hint="eastAsia"/>
                      <w:b/>
                      <w:bCs w:val="0"/>
                      <w:color w:val="auto"/>
                      <w:sz w:val="21"/>
                      <w:szCs w:val="21"/>
                      <w:highlight w:val="none"/>
                      <w:lang w:val="en-US" w:eastAsia="zh-CN"/>
                    </w:rPr>
                    <w:t>现有工程</w:t>
                  </w:r>
                </w:p>
              </w:tc>
              <w:tc>
                <w:tcPr>
                  <w:tcW w:w="872" w:type="dxa"/>
                  <w:vAlign w:val="center"/>
                </w:tcPr>
                <w:p w14:paraId="2F0D0B69">
                  <w:pPr>
                    <w:adjustRightInd w:val="0"/>
                    <w:snapToGrid w:val="0"/>
                    <w:jc w:val="center"/>
                    <w:rPr>
                      <w:rFonts w:hint="default" w:eastAsia="宋体"/>
                      <w:b/>
                      <w:bCs w:val="0"/>
                      <w:color w:val="auto"/>
                      <w:sz w:val="21"/>
                      <w:szCs w:val="21"/>
                      <w:highlight w:val="none"/>
                      <w:lang w:val="en-US" w:eastAsia="zh-CN"/>
                    </w:rPr>
                  </w:pPr>
                  <w:r>
                    <w:rPr>
                      <w:rFonts w:hint="eastAsia"/>
                      <w:b/>
                      <w:bCs w:val="0"/>
                      <w:color w:val="auto"/>
                      <w:sz w:val="21"/>
                      <w:szCs w:val="21"/>
                      <w:highlight w:val="none"/>
                      <w:lang w:val="en-US" w:eastAsia="zh-CN"/>
                    </w:rPr>
                    <w:t>本次技改工程</w:t>
                  </w:r>
                </w:p>
              </w:tc>
              <w:tc>
                <w:tcPr>
                  <w:tcW w:w="859" w:type="dxa"/>
                  <w:vAlign w:val="center"/>
                </w:tcPr>
                <w:p w14:paraId="69560242">
                  <w:pPr>
                    <w:adjustRightInd w:val="0"/>
                    <w:snapToGrid w:val="0"/>
                    <w:jc w:val="center"/>
                    <w:rPr>
                      <w:rFonts w:hint="default" w:eastAsia="宋体"/>
                      <w:b/>
                      <w:bCs w:val="0"/>
                      <w:color w:val="auto"/>
                      <w:sz w:val="21"/>
                      <w:szCs w:val="21"/>
                      <w:highlight w:val="none"/>
                      <w:lang w:val="en-US" w:eastAsia="zh-CN"/>
                    </w:rPr>
                  </w:pPr>
                  <w:r>
                    <w:rPr>
                      <w:rFonts w:hint="eastAsia"/>
                      <w:b/>
                      <w:bCs w:val="0"/>
                      <w:color w:val="auto"/>
                      <w:sz w:val="21"/>
                      <w:szCs w:val="21"/>
                      <w:highlight w:val="none"/>
                      <w:lang w:val="en-US" w:eastAsia="zh-CN"/>
                    </w:rPr>
                    <w:t>增减量</w:t>
                  </w:r>
                </w:p>
              </w:tc>
              <w:tc>
                <w:tcPr>
                  <w:tcW w:w="914" w:type="dxa"/>
                  <w:vAlign w:val="center"/>
                </w:tcPr>
                <w:p w14:paraId="4B95DB75">
                  <w:pPr>
                    <w:adjustRightInd w:val="0"/>
                    <w:snapToGrid w:val="0"/>
                    <w:jc w:val="center"/>
                    <w:rPr>
                      <w:b/>
                      <w:bCs w:val="0"/>
                      <w:color w:val="auto"/>
                      <w:sz w:val="21"/>
                      <w:szCs w:val="21"/>
                      <w:highlight w:val="none"/>
                    </w:rPr>
                  </w:pPr>
                  <w:r>
                    <w:rPr>
                      <w:rFonts w:hint="eastAsia"/>
                      <w:b/>
                      <w:bCs w:val="0"/>
                      <w:color w:val="auto"/>
                      <w:sz w:val="21"/>
                      <w:szCs w:val="21"/>
                      <w:highlight w:val="none"/>
                      <w:lang w:val="en-US" w:eastAsia="zh-CN"/>
                    </w:rPr>
                    <w:t>现有工程</w:t>
                  </w:r>
                </w:p>
              </w:tc>
              <w:tc>
                <w:tcPr>
                  <w:tcW w:w="927" w:type="dxa"/>
                  <w:vAlign w:val="center"/>
                </w:tcPr>
                <w:p w14:paraId="0CC8AB45">
                  <w:pPr>
                    <w:adjustRightInd w:val="0"/>
                    <w:snapToGrid w:val="0"/>
                    <w:jc w:val="center"/>
                    <w:rPr>
                      <w:b/>
                      <w:bCs w:val="0"/>
                      <w:color w:val="auto"/>
                      <w:sz w:val="21"/>
                      <w:szCs w:val="21"/>
                      <w:highlight w:val="none"/>
                    </w:rPr>
                  </w:pPr>
                  <w:r>
                    <w:rPr>
                      <w:rFonts w:hint="eastAsia"/>
                      <w:b/>
                      <w:bCs w:val="0"/>
                      <w:color w:val="auto"/>
                      <w:sz w:val="21"/>
                      <w:szCs w:val="21"/>
                      <w:highlight w:val="none"/>
                      <w:lang w:val="en-US" w:eastAsia="zh-CN"/>
                    </w:rPr>
                    <w:t>本次技改工程</w:t>
                  </w:r>
                </w:p>
              </w:tc>
              <w:tc>
                <w:tcPr>
                  <w:tcW w:w="896" w:type="dxa"/>
                  <w:vAlign w:val="center"/>
                </w:tcPr>
                <w:p w14:paraId="1A6DD75E">
                  <w:pPr>
                    <w:adjustRightInd w:val="0"/>
                    <w:snapToGrid w:val="0"/>
                    <w:jc w:val="center"/>
                    <w:rPr>
                      <w:b/>
                      <w:bCs w:val="0"/>
                      <w:color w:val="auto"/>
                      <w:sz w:val="21"/>
                      <w:szCs w:val="21"/>
                      <w:highlight w:val="none"/>
                    </w:rPr>
                  </w:pPr>
                  <w:r>
                    <w:rPr>
                      <w:rFonts w:hint="eastAsia"/>
                      <w:b/>
                      <w:bCs w:val="0"/>
                      <w:color w:val="auto"/>
                      <w:sz w:val="21"/>
                      <w:szCs w:val="21"/>
                      <w:highlight w:val="none"/>
                      <w:lang w:val="en-US" w:eastAsia="zh-CN"/>
                    </w:rPr>
                    <w:t>增减量</w:t>
                  </w:r>
                </w:p>
              </w:tc>
            </w:tr>
            <w:tr w14:paraId="5DEF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6" w:type="dxa"/>
                  <w:vAlign w:val="center"/>
                </w:tcPr>
                <w:p w14:paraId="59FE5F69">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1371" w:type="dxa"/>
                  <w:gridSpan w:val="2"/>
                  <w:vAlign w:val="center"/>
                </w:tcPr>
                <w:p w14:paraId="0E7AB76D">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纯水</w:t>
                  </w:r>
                  <w:r>
                    <w:rPr>
                      <w:rFonts w:hint="default" w:ascii="Times New Roman" w:hAnsi="Times New Roman" w:cs="Times New Roman"/>
                      <w:b w:val="0"/>
                      <w:bCs/>
                      <w:color w:val="auto"/>
                      <w:sz w:val="21"/>
                      <w:szCs w:val="21"/>
                      <w:highlight w:val="none"/>
                      <w:lang w:val="en-US" w:eastAsia="zh-CN"/>
                    </w:rPr>
                    <w:t>制备</w:t>
                  </w:r>
                  <w:r>
                    <w:rPr>
                      <w:rFonts w:hint="default" w:ascii="Times New Roman" w:hAnsi="Times New Roman" w:cs="Times New Roman"/>
                      <w:b w:val="0"/>
                      <w:bCs/>
                      <w:color w:val="auto"/>
                      <w:sz w:val="21"/>
                      <w:szCs w:val="21"/>
                      <w:highlight w:val="none"/>
                    </w:rPr>
                    <w:t>系统</w:t>
                  </w:r>
                  <w:r>
                    <w:rPr>
                      <w:rFonts w:hint="default" w:ascii="Times New Roman" w:hAnsi="Times New Roman" w:cs="Times New Roman"/>
                      <w:b w:val="0"/>
                      <w:bCs/>
                      <w:color w:val="auto"/>
                      <w:sz w:val="21"/>
                      <w:szCs w:val="21"/>
                      <w:highlight w:val="none"/>
                      <w:lang w:val="en-US" w:eastAsia="zh-CN"/>
                    </w:rPr>
                    <w:t>用水</w:t>
                  </w:r>
                </w:p>
              </w:tc>
              <w:tc>
                <w:tcPr>
                  <w:tcW w:w="859" w:type="dxa"/>
                  <w:vAlign w:val="center"/>
                </w:tcPr>
                <w:p w14:paraId="04BD3595">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自来水</w:t>
                  </w:r>
                </w:p>
              </w:tc>
              <w:tc>
                <w:tcPr>
                  <w:tcW w:w="873" w:type="dxa"/>
                  <w:vAlign w:val="center"/>
                </w:tcPr>
                <w:p w14:paraId="4C9FCE5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64.01</w:t>
                  </w:r>
                </w:p>
              </w:tc>
              <w:tc>
                <w:tcPr>
                  <w:tcW w:w="872" w:type="dxa"/>
                  <w:vAlign w:val="center"/>
                </w:tcPr>
                <w:p w14:paraId="00A797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78.17</w:t>
                  </w:r>
                </w:p>
              </w:tc>
              <w:tc>
                <w:tcPr>
                  <w:tcW w:w="859" w:type="dxa"/>
                  <w:vAlign w:val="center"/>
                </w:tcPr>
                <w:p w14:paraId="7E539C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+14.16</w:t>
                  </w:r>
                </w:p>
              </w:tc>
              <w:tc>
                <w:tcPr>
                  <w:tcW w:w="914" w:type="dxa"/>
                  <w:vAlign w:val="center"/>
                </w:tcPr>
                <w:p w14:paraId="3B58945E">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3.97</w:t>
                  </w:r>
                </w:p>
              </w:tc>
              <w:tc>
                <w:tcPr>
                  <w:tcW w:w="927" w:type="dxa"/>
                  <w:vAlign w:val="center"/>
                </w:tcPr>
                <w:p w14:paraId="1F260F38">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7.51</w:t>
                  </w:r>
                </w:p>
              </w:tc>
              <w:tc>
                <w:tcPr>
                  <w:tcW w:w="896" w:type="dxa"/>
                  <w:vAlign w:val="center"/>
                </w:tcPr>
                <w:p w14:paraId="7353F35D">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3.54</w:t>
                  </w:r>
                </w:p>
              </w:tc>
            </w:tr>
            <w:tr w14:paraId="7E66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346" w:type="dxa"/>
                  <w:vAlign w:val="center"/>
                </w:tcPr>
                <w:p w14:paraId="51494DE7">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w:t>
                  </w:r>
                </w:p>
              </w:tc>
              <w:tc>
                <w:tcPr>
                  <w:tcW w:w="1371" w:type="dxa"/>
                  <w:gridSpan w:val="2"/>
                  <w:vAlign w:val="center"/>
                </w:tcPr>
                <w:p w14:paraId="75041B22">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纯水制备系统反冲洗</w:t>
                  </w:r>
                  <w:r>
                    <w:rPr>
                      <w:rFonts w:hint="default" w:ascii="Times New Roman" w:hAnsi="Times New Roman" w:cs="Times New Roman"/>
                      <w:b w:val="0"/>
                      <w:bCs/>
                      <w:color w:val="auto"/>
                      <w:sz w:val="21"/>
                      <w:szCs w:val="21"/>
                      <w:highlight w:val="none"/>
                      <w:lang w:val="en-US" w:eastAsia="zh-CN"/>
                    </w:rPr>
                    <w:t>用水</w:t>
                  </w:r>
                </w:p>
              </w:tc>
              <w:tc>
                <w:tcPr>
                  <w:tcW w:w="859" w:type="dxa"/>
                  <w:vAlign w:val="center"/>
                </w:tcPr>
                <w:p w14:paraId="1880D502">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自来水</w:t>
                  </w:r>
                </w:p>
              </w:tc>
              <w:tc>
                <w:tcPr>
                  <w:tcW w:w="873" w:type="dxa"/>
                  <w:vAlign w:val="center"/>
                </w:tcPr>
                <w:p w14:paraId="64D3BFB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72" w:type="dxa"/>
                  <w:vAlign w:val="center"/>
                </w:tcPr>
                <w:p w14:paraId="1D1269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59" w:type="dxa"/>
                  <w:vAlign w:val="center"/>
                </w:tcPr>
                <w:p w14:paraId="3D40E3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914" w:type="dxa"/>
                  <w:vAlign w:val="center"/>
                </w:tcPr>
                <w:p w14:paraId="6AA6C9B8">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927" w:type="dxa"/>
                  <w:vAlign w:val="center"/>
                </w:tcPr>
                <w:p w14:paraId="3C2E23A3">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896" w:type="dxa"/>
                  <w:vAlign w:val="center"/>
                </w:tcPr>
                <w:p w14:paraId="3C996963">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6FB9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346" w:type="dxa"/>
                  <w:vMerge w:val="restart"/>
                  <w:vAlign w:val="center"/>
                </w:tcPr>
                <w:p w14:paraId="1DF8592F">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w:t>
                  </w:r>
                </w:p>
              </w:tc>
              <w:tc>
                <w:tcPr>
                  <w:tcW w:w="685" w:type="dxa"/>
                  <w:vMerge w:val="restart"/>
                  <w:vAlign w:val="center"/>
                </w:tcPr>
                <w:p w14:paraId="7B2DC9B2">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CIP清洗系统设备清洗</w:t>
                  </w:r>
                  <w:r>
                    <w:rPr>
                      <w:rFonts w:hint="default" w:ascii="Times New Roman" w:hAnsi="Times New Roman" w:cs="Times New Roman"/>
                      <w:b w:val="0"/>
                      <w:bCs/>
                      <w:color w:val="auto"/>
                      <w:sz w:val="21"/>
                      <w:szCs w:val="21"/>
                      <w:highlight w:val="none"/>
                      <w:lang w:val="en-US" w:eastAsia="zh-CN"/>
                    </w:rPr>
                    <w:t>用水</w:t>
                  </w:r>
                </w:p>
              </w:tc>
              <w:tc>
                <w:tcPr>
                  <w:tcW w:w="686" w:type="dxa"/>
                  <w:vAlign w:val="center"/>
                </w:tcPr>
                <w:p w14:paraId="6354E80C">
                  <w:pPr>
                    <w:adjustRightInd w:val="0"/>
                    <w:snapToGrid w:val="0"/>
                    <w:jc w:val="center"/>
                    <w:rPr>
                      <w:rFonts w:hint="default" w:ascii="Times New Roman" w:hAnsi="Times New Roman" w:cs="Times New Roman"/>
                      <w:b w:val="0"/>
                      <w:bCs/>
                      <w:color w:val="auto"/>
                      <w:sz w:val="21"/>
                      <w:szCs w:val="21"/>
                      <w:highlight w:val="none"/>
                    </w:rPr>
                  </w:pPr>
                  <w:r>
                    <w:rPr>
                      <w:rFonts w:hint="eastAsia" w:cs="Times New Roman"/>
                      <w:b w:val="0"/>
                      <w:bCs/>
                      <w:color w:val="auto"/>
                      <w:sz w:val="21"/>
                      <w:szCs w:val="21"/>
                      <w:highlight w:val="none"/>
                      <w:lang w:val="en-US" w:eastAsia="zh-CN"/>
                    </w:rPr>
                    <w:t>杀菌机</w:t>
                  </w:r>
                </w:p>
              </w:tc>
              <w:tc>
                <w:tcPr>
                  <w:tcW w:w="859" w:type="dxa"/>
                  <w:vMerge w:val="restart"/>
                  <w:vAlign w:val="center"/>
                </w:tcPr>
                <w:p w14:paraId="6B35EB97">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纯水</w:t>
                  </w:r>
                </w:p>
              </w:tc>
              <w:tc>
                <w:tcPr>
                  <w:tcW w:w="873" w:type="dxa"/>
                  <w:vAlign w:val="center"/>
                </w:tcPr>
                <w:p w14:paraId="1941FB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 w:val="0"/>
                      <w:bCs/>
                      <w:color w:val="auto"/>
                      <w:sz w:val="21"/>
                      <w:szCs w:val="21"/>
                      <w:highlight w:val="none"/>
                      <w:lang w:val="en-US" w:eastAsia="zh-CN"/>
                    </w:rPr>
                    <w:t>3</w:t>
                  </w:r>
                </w:p>
              </w:tc>
              <w:tc>
                <w:tcPr>
                  <w:tcW w:w="872" w:type="dxa"/>
                  <w:vAlign w:val="center"/>
                </w:tcPr>
                <w:p w14:paraId="10AFBC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 w:val="0"/>
                      <w:bCs/>
                      <w:color w:val="auto"/>
                      <w:sz w:val="21"/>
                      <w:szCs w:val="21"/>
                      <w:highlight w:val="none"/>
                      <w:lang w:val="en-US" w:eastAsia="zh-CN"/>
                    </w:rPr>
                    <w:t>3</w:t>
                  </w:r>
                </w:p>
              </w:tc>
              <w:tc>
                <w:tcPr>
                  <w:tcW w:w="859" w:type="dxa"/>
                  <w:vAlign w:val="center"/>
                </w:tcPr>
                <w:p w14:paraId="75AFA5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914" w:type="dxa"/>
                  <w:vAlign w:val="center"/>
                </w:tcPr>
                <w:p w14:paraId="3D4F0D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2.7</w:t>
                  </w:r>
                </w:p>
              </w:tc>
              <w:tc>
                <w:tcPr>
                  <w:tcW w:w="927" w:type="dxa"/>
                  <w:vAlign w:val="center"/>
                </w:tcPr>
                <w:p w14:paraId="64D9526D">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i w:val="0"/>
                      <w:iCs w:val="0"/>
                      <w:color w:val="auto"/>
                      <w:kern w:val="0"/>
                      <w:sz w:val="21"/>
                      <w:szCs w:val="21"/>
                      <w:u w:val="none"/>
                      <w:lang w:val="en-US" w:eastAsia="zh-CN" w:bidi="ar"/>
                    </w:rPr>
                    <w:t>2.7</w:t>
                  </w:r>
                </w:p>
              </w:tc>
              <w:tc>
                <w:tcPr>
                  <w:tcW w:w="896" w:type="dxa"/>
                  <w:vAlign w:val="center"/>
                </w:tcPr>
                <w:p w14:paraId="785C6A57">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43A7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346" w:type="dxa"/>
                  <w:vMerge w:val="continue"/>
                  <w:vAlign w:val="center"/>
                </w:tcPr>
                <w:p w14:paraId="424CF71F">
                  <w:pPr>
                    <w:adjustRightInd w:val="0"/>
                    <w:snapToGrid w:val="0"/>
                    <w:jc w:val="center"/>
                    <w:rPr>
                      <w:rFonts w:hint="default" w:ascii="Times New Roman" w:hAnsi="Times New Roman" w:cs="Times New Roman"/>
                      <w:b w:val="0"/>
                      <w:bCs/>
                      <w:color w:val="auto"/>
                      <w:sz w:val="21"/>
                      <w:szCs w:val="21"/>
                      <w:highlight w:val="none"/>
                      <w:lang w:val="en-US" w:eastAsia="zh-CN"/>
                    </w:rPr>
                  </w:pPr>
                </w:p>
              </w:tc>
              <w:tc>
                <w:tcPr>
                  <w:tcW w:w="685" w:type="dxa"/>
                  <w:vMerge w:val="continue"/>
                  <w:vAlign w:val="center"/>
                </w:tcPr>
                <w:p w14:paraId="0581807D">
                  <w:pPr>
                    <w:adjustRightInd w:val="0"/>
                    <w:snapToGrid w:val="0"/>
                    <w:jc w:val="center"/>
                    <w:rPr>
                      <w:rFonts w:hint="default" w:ascii="Times New Roman" w:hAnsi="Times New Roman" w:cs="Times New Roman"/>
                      <w:b w:val="0"/>
                      <w:bCs/>
                      <w:color w:val="auto"/>
                      <w:sz w:val="21"/>
                      <w:szCs w:val="21"/>
                      <w:highlight w:val="none"/>
                    </w:rPr>
                  </w:pPr>
                </w:p>
              </w:tc>
              <w:tc>
                <w:tcPr>
                  <w:tcW w:w="686" w:type="dxa"/>
                  <w:vAlign w:val="center"/>
                </w:tcPr>
                <w:p w14:paraId="56E1A440">
                  <w:pPr>
                    <w:adjustRightInd w:val="0"/>
                    <w:snapToGrid w:val="0"/>
                    <w:jc w:val="center"/>
                    <w:rPr>
                      <w:rFonts w:hint="default" w:ascii="Times New Roman" w:hAnsi="Times New Roman" w:cs="Times New Roman"/>
                      <w:b w:val="0"/>
                      <w:bCs/>
                      <w:color w:val="auto"/>
                      <w:sz w:val="21"/>
                      <w:szCs w:val="21"/>
                      <w:highlight w:val="none"/>
                    </w:rPr>
                  </w:pPr>
                  <w:r>
                    <w:rPr>
                      <w:rFonts w:hint="eastAsia" w:cs="Times New Roman"/>
                      <w:b w:val="0"/>
                      <w:bCs/>
                      <w:color w:val="auto"/>
                      <w:sz w:val="21"/>
                      <w:szCs w:val="21"/>
                      <w:highlight w:val="none"/>
                      <w:lang w:val="en-US" w:eastAsia="zh-CN"/>
                    </w:rPr>
                    <w:t>其他设备、管道</w:t>
                  </w:r>
                </w:p>
              </w:tc>
              <w:tc>
                <w:tcPr>
                  <w:tcW w:w="859" w:type="dxa"/>
                  <w:vMerge w:val="continue"/>
                  <w:vAlign w:val="center"/>
                </w:tcPr>
                <w:p w14:paraId="2FCFC3D3">
                  <w:pPr>
                    <w:adjustRightInd w:val="0"/>
                    <w:snapToGrid w:val="0"/>
                    <w:jc w:val="center"/>
                    <w:rPr>
                      <w:rFonts w:hint="default" w:ascii="Times New Roman" w:hAnsi="Times New Roman" w:cs="Times New Roman"/>
                      <w:b w:val="0"/>
                      <w:bCs/>
                      <w:color w:val="auto"/>
                      <w:sz w:val="21"/>
                      <w:szCs w:val="21"/>
                      <w:highlight w:val="none"/>
                      <w:lang w:val="en-US" w:eastAsia="zh-CN"/>
                    </w:rPr>
                  </w:pPr>
                </w:p>
              </w:tc>
              <w:tc>
                <w:tcPr>
                  <w:tcW w:w="873" w:type="dxa"/>
                  <w:vAlign w:val="center"/>
                </w:tcPr>
                <w:p w14:paraId="7E492C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9.99</w:t>
                  </w:r>
                </w:p>
              </w:tc>
              <w:tc>
                <w:tcPr>
                  <w:tcW w:w="872" w:type="dxa"/>
                  <w:vAlign w:val="center"/>
                </w:tcPr>
                <w:p w14:paraId="3458D9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9.99</w:t>
                  </w:r>
                </w:p>
              </w:tc>
              <w:tc>
                <w:tcPr>
                  <w:tcW w:w="859" w:type="dxa"/>
                  <w:vAlign w:val="center"/>
                </w:tcPr>
                <w:p w14:paraId="16F9988D">
                  <w:pPr>
                    <w:keepNext w:val="0"/>
                    <w:keepLines w:val="0"/>
                    <w:widowControl/>
                    <w:suppressLineNumbers w:val="0"/>
                    <w:jc w:val="center"/>
                    <w:textAlignment w:val="center"/>
                    <w:rPr>
                      <w:rFonts w:hint="default"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914" w:type="dxa"/>
                  <w:vAlign w:val="center"/>
                </w:tcPr>
                <w:p w14:paraId="6F1FE1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8.99</w:t>
                  </w:r>
                </w:p>
              </w:tc>
              <w:tc>
                <w:tcPr>
                  <w:tcW w:w="927" w:type="dxa"/>
                  <w:vAlign w:val="center"/>
                </w:tcPr>
                <w:p w14:paraId="659BDD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8.99</w:t>
                  </w:r>
                </w:p>
              </w:tc>
              <w:tc>
                <w:tcPr>
                  <w:tcW w:w="896" w:type="dxa"/>
                  <w:vAlign w:val="center"/>
                </w:tcPr>
                <w:p w14:paraId="0D98A6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646F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346" w:type="dxa"/>
                  <w:vAlign w:val="center"/>
                </w:tcPr>
                <w:p w14:paraId="4B96D3A6">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4</w:t>
                  </w:r>
                </w:p>
              </w:tc>
              <w:tc>
                <w:tcPr>
                  <w:tcW w:w="1371" w:type="dxa"/>
                  <w:gridSpan w:val="2"/>
                  <w:vAlign w:val="center"/>
                </w:tcPr>
                <w:p w14:paraId="48BABDEE">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val="0"/>
                      <w:color w:val="auto"/>
                      <w:sz w:val="21"/>
                      <w:szCs w:val="21"/>
                      <w:highlight w:val="none"/>
                      <w:lang w:val="en-US" w:eastAsia="zh-CN"/>
                    </w:rPr>
                    <w:t>第一道</w:t>
                  </w:r>
                  <w:r>
                    <w:rPr>
                      <w:rFonts w:hint="default" w:ascii="Times New Roman" w:hAnsi="Times New Roman" w:eastAsia="宋体" w:cs="Times New Roman"/>
                      <w:b w:val="0"/>
                      <w:bCs w:val="0"/>
                      <w:color w:val="auto"/>
                      <w:sz w:val="21"/>
                      <w:szCs w:val="21"/>
                      <w:highlight w:val="none"/>
                      <w:lang w:val="en-US" w:eastAsia="zh-CN"/>
                    </w:rPr>
                    <w:t>水果</w:t>
                  </w:r>
                  <w:r>
                    <w:rPr>
                      <w:rFonts w:hint="default" w:ascii="Times New Roman" w:hAnsi="Times New Roman" w:cs="Times New Roman"/>
                      <w:b w:val="0"/>
                      <w:bCs w:val="0"/>
                      <w:color w:val="auto"/>
                      <w:sz w:val="21"/>
                      <w:szCs w:val="21"/>
                      <w:highlight w:val="none"/>
                      <w:lang w:val="en-US" w:eastAsia="zh-CN"/>
                    </w:rPr>
                    <w:t>鼓泡</w:t>
                  </w:r>
                  <w:r>
                    <w:rPr>
                      <w:rFonts w:hint="default" w:ascii="Times New Roman" w:hAnsi="Times New Roman" w:cs="Times New Roman"/>
                      <w:b w:val="0"/>
                      <w:bCs w:val="0"/>
                      <w:color w:val="auto"/>
                      <w:sz w:val="21"/>
                      <w:szCs w:val="21"/>
                      <w:highlight w:val="none"/>
                    </w:rPr>
                    <w:t>清洗用水</w:t>
                  </w:r>
                </w:p>
              </w:tc>
              <w:tc>
                <w:tcPr>
                  <w:tcW w:w="859" w:type="dxa"/>
                  <w:vAlign w:val="center"/>
                </w:tcPr>
                <w:p w14:paraId="68AF3F1E">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浓水</w:t>
                  </w:r>
                </w:p>
              </w:tc>
              <w:tc>
                <w:tcPr>
                  <w:tcW w:w="873" w:type="dxa"/>
                  <w:vAlign w:val="center"/>
                </w:tcPr>
                <w:p w14:paraId="473985FE">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7.52</w:t>
                  </w:r>
                </w:p>
              </w:tc>
              <w:tc>
                <w:tcPr>
                  <w:tcW w:w="872" w:type="dxa"/>
                  <w:vAlign w:val="center"/>
                </w:tcPr>
                <w:p w14:paraId="12A3ED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7.52</w:t>
                  </w:r>
                </w:p>
              </w:tc>
              <w:tc>
                <w:tcPr>
                  <w:tcW w:w="859" w:type="dxa"/>
                  <w:vAlign w:val="center"/>
                </w:tcPr>
                <w:p w14:paraId="47AEF2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914" w:type="dxa"/>
                  <w:vAlign w:val="center"/>
                </w:tcPr>
                <w:p w14:paraId="74610506">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6.77</w:t>
                  </w:r>
                </w:p>
              </w:tc>
              <w:tc>
                <w:tcPr>
                  <w:tcW w:w="927" w:type="dxa"/>
                  <w:vAlign w:val="center"/>
                </w:tcPr>
                <w:p w14:paraId="230D4220">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6.7</w:t>
                  </w:r>
                  <w:r>
                    <w:rPr>
                      <w:rFonts w:hint="eastAsia" w:eastAsia="宋体" w:cs="Times New Roman"/>
                      <w:i w:val="0"/>
                      <w:iCs w:val="0"/>
                      <w:color w:val="auto"/>
                      <w:kern w:val="0"/>
                      <w:sz w:val="21"/>
                      <w:szCs w:val="21"/>
                      <w:u w:val="none"/>
                      <w:lang w:val="en-US" w:eastAsia="zh-CN" w:bidi="ar"/>
                    </w:rPr>
                    <w:t>7</w:t>
                  </w:r>
                </w:p>
              </w:tc>
              <w:tc>
                <w:tcPr>
                  <w:tcW w:w="896" w:type="dxa"/>
                  <w:vAlign w:val="center"/>
                </w:tcPr>
                <w:p w14:paraId="27304D05">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69A1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346" w:type="dxa"/>
                  <w:vAlign w:val="center"/>
                </w:tcPr>
                <w:p w14:paraId="4C89B902">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5</w:t>
                  </w:r>
                </w:p>
              </w:tc>
              <w:tc>
                <w:tcPr>
                  <w:tcW w:w="1371" w:type="dxa"/>
                  <w:gridSpan w:val="2"/>
                  <w:vAlign w:val="center"/>
                </w:tcPr>
                <w:p w14:paraId="3A6AA981">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第二道水果毛刷清洗用水</w:t>
                  </w:r>
                </w:p>
              </w:tc>
              <w:tc>
                <w:tcPr>
                  <w:tcW w:w="859" w:type="dxa"/>
                  <w:vAlign w:val="center"/>
                </w:tcPr>
                <w:p w14:paraId="2136C8C1">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浓水</w:t>
                  </w:r>
                </w:p>
              </w:tc>
              <w:tc>
                <w:tcPr>
                  <w:tcW w:w="873" w:type="dxa"/>
                  <w:vAlign w:val="center"/>
                </w:tcPr>
                <w:p w14:paraId="6A8C87D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4.51</w:t>
                  </w:r>
                </w:p>
              </w:tc>
              <w:tc>
                <w:tcPr>
                  <w:tcW w:w="872" w:type="dxa"/>
                  <w:vAlign w:val="center"/>
                </w:tcPr>
                <w:p w14:paraId="6B54AF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4.51</w:t>
                  </w:r>
                </w:p>
              </w:tc>
              <w:tc>
                <w:tcPr>
                  <w:tcW w:w="859" w:type="dxa"/>
                  <w:vAlign w:val="center"/>
                </w:tcPr>
                <w:p w14:paraId="339B68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914" w:type="dxa"/>
                  <w:vAlign w:val="center"/>
                </w:tcPr>
                <w:p w14:paraId="25EF4613">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4.06</w:t>
                  </w:r>
                </w:p>
              </w:tc>
              <w:tc>
                <w:tcPr>
                  <w:tcW w:w="927" w:type="dxa"/>
                  <w:vAlign w:val="center"/>
                </w:tcPr>
                <w:p w14:paraId="54296258">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r>
                    <w:rPr>
                      <w:rFonts w:hint="eastAsia" w:eastAsia="宋体" w:cs="Times New Roman"/>
                      <w:i w:val="0"/>
                      <w:iCs w:val="0"/>
                      <w:color w:val="auto"/>
                      <w:kern w:val="0"/>
                      <w:sz w:val="21"/>
                      <w:szCs w:val="21"/>
                      <w:u w:val="none"/>
                      <w:lang w:val="en-US" w:eastAsia="zh-CN" w:bidi="ar"/>
                    </w:rPr>
                    <w:t>6</w:t>
                  </w:r>
                </w:p>
              </w:tc>
              <w:tc>
                <w:tcPr>
                  <w:tcW w:w="896" w:type="dxa"/>
                  <w:vAlign w:val="center"/>
                </w:tcPr>
                <w:p w14:paraId="4B2C7E40">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377F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346" w:type="dxa"/>
                  <w:vAlign w:val="center"/>
                </w:tcPr>
                <w:p w14:paraId="3D46D765">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6</w:t>
                  </w:r>
                </w:p>
              </w:tc>
              <w:tc>
                <w:tcPr>
                  <w:tcW w:w="1371" w:type="dxa"/>
                  <w:gridSpan w:val="2"/>
                  <w:vAlign w:val="center"/>
                </w:tcPr>
                <w:p w14:paraId="51DB09C1">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val="0"/>
                      <w:color w:val="auto"/>
                      <w:sz w:val="21"/>
                      <w:szCs w:val="21"/>
                      <w:highlight w:val="none"/>
                      <w:lang w:val="en-US" w:eastAsia="zh-CN"/>
                    </w:rPr>
                    <w:t>第三道水果鼓泡消毒用水</w:t>
                  </w:r>
                </w:p>
              </w:tc>
              <w:tc>
                <w:tcPr>
                  <w:tcW w:w="859" w:type="dxa"/>
                  <w:vAlign w:val="center"/>
                </w:tcPr>
                <w:p w14:paraId="5714E824">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纯水</w:t>
                  </w:r>
                </w:p>
              </w:tc>
              <w:tc>
                <w:tcPr>
                  <w:tcW w:w="873" w:type="dxa"/>
                  <w:vAlign w:val="center"/>
                </w:tcPr>
                <w:p w14:paraId="00A9E52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2.82</w:t>
                  </w:r>
                </w:p>
              </w:tc>
              <w:tc>
                <w:tcPr>
                  <w:tcW w:w="872" w:type="dxa"/>
                  <w:vAlign w:val="center"/>
                </w:tcPr>
                <w:p w14:paraId="08F29D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2.82</w:t>
                  </w:r>
                </w:p>
              </w:tc>
              <w:tc>
                <w:tcPr>
                  <w:tcW w:w="859" w:type="dxa"/>
                  <w:vAlign w:val="center"/>
                </w:tcPr>
                <w:p w14:paraId="3FF287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914" w:type="dxa"/>
                  <w:vAlign w:val="center"/>
                </w:tcPr>
                <w:p w14:paraId="79BA478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2.54</w:t>
                  </w:r>
                </w:p>
              </w:tc>
              <w:tc>
                <w:tcPr>
                  <w:tcW w:w="927" w:type="dxa"/>
                  <w:vAlign w:val="center"/>
                </w:tcPr>
                <w:p w14:paraId="70BAEE2D">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2.5</w:t>
                  </w:r>
                  <w:r>
                    <w:rPr>
                      <w:rFonts w:hint="eastAsia" w:eastAsia="宋体" w:cs="Times New Roman"/>
                      <w:i w:val="0"/>
                      <w:iCs w:val="0"/>
                      <w:color w:val="auto"/>
                      <w:kern w:val="0"/>
                      <w:sz w:val="21"/>
                      <w:szCs w:val="21"/>
                      <w:u w:val="none"/>
                      <w:lang w:val="en-US" w:eastAsia="zh-CN" w:bidi="ar"/>
                    </w:rPr>
                    <w:t>4</w:t>
                  </w:r>
                </w:p>
              </w:tc>
              <w:tc>
                <w:tcPr>
                  <w:tcW w:w="896" w:type="dxa"/>
                  <w:vAlign w:val="center"/>
                </w:tcPr>
                <w:p w14:paraId="6DCE97CD">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351D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346" w:type="dxa"/>
                  <w:vAlign w:val="center"/>
                </w:tcPr>
                <w:p w14:paraId="1AE3EC44">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7</w:t>
                  </w:r>
                </w:p>
              </w:tc>
              <w:tc>
                <w:tcPr>
                  <w:tcW w:w="1371" w:type="dxa"/>
                  <w:gridSpan w:val="2"/>
                  <w:vAlign w:val="center"/>
                </w:tcPr>
                <w:p w14:paraId="48E46B32">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val="0"/>
                      <w:color w:val="auto"/>
                      <w:sz w:val="21"/>
                      <w:szCs w:val="21"/>
                      <w:highlight w:val="none"/>
                      <w:lang w:val="en-US" w:eastAsia="zh-CN"/>
                    </w:rPr>
                    <w:t>第四道水果鼓泡清洗用水</w:t>
                  </w:r>
                </w:p>
              </w:tc>
              <w:tc>
                <w:tcPr>
                  <w:tcW w:w="859" w:type="dxa"/>
                  <w:vAlign w:val="center"/>
                </w:tcPr>
                <w:p w14:paraId="5936D307">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纯水</w:t>
                  </w:r>
                </w:p>
              </w:tc>
              <w:tc>
                <w:tcPr>
                  <w:tcW w:w="873" w:type="dxa"/>
                  <w:vAlign w:val="center"/>
                </w:tcPr>
                <w:p w14:paraId="0AE83E8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15.04</w:t>
                  </w:r>
                </w:p>
              </w:tc>
              <w:tc>
                <w:tcPr>
                  <w:tcW w:w="872" w:type="dxa"/>
                  <w:vAlign w:val="center"/>
                </w:tcPr>
                <w:p w14:paraId="4D4E61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15.04</w:t>
                  </w:r>
                </w:p>
              </w:tc>
              <w:tc>
                <w:tcPr>
                  <w:tcW w:w="859" w:type="dxa"/>
                  <w:vAlign w:val="center"/>
                </w:tcPr>
                <w:p w14:paraId="6604A0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914" w:type="dxa"/>
                  <w:vAlign w:val="center"/>
                </w:tcPr>
                <w:p w14:paraId="0BEB675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13.54</w:t>
                  </w:r>
                </w:p>
              </w:tc>
              <w:tc>
                <w:tcPr>
                  <w:tcW w:w="927" w:type="dxa"/>
                  <w:vAlign w:val="center"/>
                </w:tcPr>
                <w:p w14:paraId="3CAD141A">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13.5</w:t>
                  </w:r>
                  <w:r>
                    <w:rPr>
                      <w:rFonts w:hint="eastAsia" w:eastAsia="宋体" w:cs="Times New Roman"/>
                      <w:i w:val="0"/>
                      <w:iCs w:val="0"/>
                      <w:color w:val="auto"/>
                      <w:kern w:val="0"/>
                      <w:sz w:val="21"/>
                      <w:szCs w:val="21"/>
                      <w:u w:val="none"/>
                      <w:lang w:val="en-US" w:eastAsia="zh-CN" w:bidi="ar"/>
                    </w:rPr>
                    <w:t>4</w:t>
                  </w:r>
                </w:p>
              </w:tc>
              <w:tc>
                <w:tcPr>
                  <w:tcW w:w="896" w:type="dxa"/>
                  <w:vAlign w:val="center"/>
                </w:tcPr>
                <w:p w14:paraId="02807881">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019B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6" w:type="dxa"/>
                  <w:vAlign w:val="center"/>
                </w:tcPr>
                <w:p w14:paraId="1289DD63">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8</w:t>
                  </w:r>
                </w:p>
              </w:tc>
              <w:tc>
                <w:tcPr>
                  <w:tcW w:w="1371" w:type="dxa"/>
                  <w:gridSpan w:val="2"/>
                  <w:vAlign w:val="center"/>
                </w:tcPr>
                <w:p w14:paraId="2EC21BA4">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化验室用水</w:t>
                  </w:r>
                </w:p>
              </w:tc>
              <w:tc>
                <w:tcPr>
                  <w:tcW w:w="859" w:type="dxa"/>
                  <w:vAlign w:val="center"/>
                </w:tcPr>
                <w:p w14:paraId="350D8AFD">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纯水</w:t>
                  </w:r>
                </w:p>
              </w:tc>
              <w:tc>
                <w:tcPr>
                  <w:tcW w:w="873" w:type="dxa"/>
                  <w:vAlign w:val="center"/>
                </w:tcPr>
                <w:p w14:paraId="5E273261">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0.38</w:t>
                  </w:r>
                </w:p>
              </w:tc>
              <w:tc>
                <w:tcPr>
                  <w:tcW w:w="872" w:type="dxa"/>
                  <w:vAlign w:val="center"/>
                </w:tcPr>
                <w:p w14:paraId="5FBEF9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0.38</w:t>
                  </w:r>
                </w:p>
              </w:tc>
              <w:tc>
                <w:tcPr>
                  <w:tcW w:w="859" w:type="dxa"/>
                  <w:vAlign w:val="center"/>
                </w:tcPr>
                <w:p w14:paraId="190E92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914" w:type="dxa"/>
                  <w:vAlign w:val="center"/>
                </w:tcPr>
                <w:p w14:paraId="3D7B9DEC">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0.32</w:t>
                  </w:r>
                </w:p>
              </w:tc>
              <w:tc>
                <w:tcPr>
                  <w:tcW w:w="927" w:type="dxa"/>
                  <w:vAlign w:val="center"/>
                </w:tcPr>
                <w:p w14:paraId="33C846F5">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eastAsia="宋体" w:cs="Times New Roman"/>
                      <w:i w:val="0"/>
                      <w:iCs w:val="0"/>
                      <w:color w:val="auto"/>
                      <w:kern w:val="0"/>
                      <w:sz w:val="21"/>
                      <w:szCs w:val="21"/>
                      <w:u w:val="none"/>
                      <w:lang w:val="en-US" w:eastAsia="zh-CN" w:bidi="ar"/>
                    </w:rPr>
                    <w:t>32</w:t>
                  </w:r>
                </w:p>
              </w:tc>
              <w:tc>
                <w:tcPr>
                  <w:tcW w:w="896" w:type="dxa"/>
                  <w:vAlign w:val="center"/>
                </w:tcPr>
                <w:p w14:paraId="3B387013">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162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6" w:type="dxa"/>
                  <w:vAlign w:val="center"/>
                </w:tcPr>
                <w:p w14:paraId="38955134">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9</w:t>
                  </w:r>
                </w:p>
              </w:tc>
              <w:tc>
                <w:tcPr>
                  <w:tcW w:w="1371" w:type="dxa"/>
                  <w:gridSpan w:val="2"/>
                  <w:vAlign w:val="center"/>
                </w:tcPr>
                <w:p w14:paraId="34455952">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设备冷却</w:t>
                  </w:r>
                  <w:r>
                    <w:rPr>
                      <w:rFonts w:hint="default" w:ascii="Times New Roman" w:hAnsi="Times New Roman" w:cs="Times New Roman"/>
                      <w:b w:val="0"/>
                      <w:bCs/>
                      <w:color w:val="auto"/>
                      <w:sz w:val="21"/>
                      <w:szCs w:val="21"/>
                      <w:highlight w:val="none"/>
                      <w:lang w:val="en-US" w:eastAsia="zh-CN"/>
                    </w:rPr>
                    <w:t>用</w:t>
                  </w:r>
                  <w:r>
                    <w:rPr>
                      <w:rFonts w:hint="default" w:ascii="Times New Roman" w:hAnsi="Times New Roman" w:cs="Times New Roman"/>
                      <w:b w:val="0"/>
                      <w:bCs/>
                      <w:color w:val="auto"/>
                      <w:sz w:val="21"/>
                      <w:szCs w:val="21"/>
                      <w:highlight w:val="none"/>
                    </w:rPr>
                    <w:t>水</w:t>
                  </w:r>
                </w:p>
              </w:tc>
              <w:tc>
                <w:tcPr>
                  <w:tcW w:w="859" w:type="dxa"/>
                  <w:vAlign w:val="center"/>
                </w:tcPr>
                <w:p w14:paraId="7B0676C2">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自来水</w:t>
                  </w:r>
                </w:p>
              </w:tc>
              <w:tc>
                <w:tcPr>
                  <w:tcW w:w="873" w:type="dxa"/>
                  <w:vAlign w:val="center"/>
                </w:tcPr>
                <w:p w14:paraId="2C097A9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b w:val="0"/>
                      <w:bCs/>
                      <w:color w:val="auto"/>
                      <w:sz w:val="21"/>
                      <w:szCs w:val="21"/>
                      <w:highlight w:val="none"/>
                      <w:lang w:val="en-US" w:eastAsia="zh-CN"/>
                    </w:rPr>
                    <w:t>2.5</w:t>
                  </w:r>
                </w:p>
              </w:tc>
              <w:tc>
                <w:tcPr>
                  <w:tcW w:w="872" w:type="dxa"/>
                  <w:vAlign w:val="center"/>
                </w:tcPr>
                <w:p w14:paraId="7BA0EE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w:t>
                  </w:r>
                </w:p>
              </w:tc>
              <w:tc>
                <w:tcPr>
                  <w:tcW w:w="859" w:type="dxa"/>
                  <w:vAlign w:val="center"/>
                </w:tcPr>
                <w:p w14:paraId="03F7CD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914" w:type="dxa"/>
                  <w:vAlign w:val="center"/>
                </w:tcPr>
                <w:p w14:paraId="5771D1C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b w:val="0"/>
                      <w:bCs/>
                      <w:color w:val="auto"/>
                      <w:sz w:val="21"/>
                      <w:szCs w:val="21"/>
                      <w:highlight w:val="none"/>
                      <w:lang w:val="en-US" w:eastAsia="zh-CN"/>
                    </w:rPr>
                    <w:t>0</w:t>
                  </w:r>
                </w:p>
              </w:tc>
              <w:tc>
                <w:tcPr>
                  <w:tcW w:w="927" w:type="dxa"/>
                  <w:vAlign w:val="center"/>
                </w:tcPr>
                <w:p w14:paraId="3564E509">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96" w:type="dxa"/>
                  <w:vAlign w:val="center"/>
                </w:tcPr>
                <w:p w14:paraId="34A35815">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37BA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346" w:type="dxa"/>
                  <w:vAlign w:val="center"/>
                </w:tcPr>
                <w:p w14:paraId="0D63F64B">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10</w:t>
                  </w:r>
                </w:p>
              </w:tc>
              <w:tc>
                <w:tcPr>
                  <w:tcW w:w="1371" w:type="dxa"/>
                  <w:gridSpan w:val="2"/>
                  <w:vAlign w:val="center"/>
                </w:tcPr>
                <w:p w14:paraId="5B0DE581">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锅炉用水</w:t>
                  </w:r>
                </w:p>
              </w:tc>
              <w:tc>
                <w:tcPr>
                  <w:tcW w:w="859" w:type="dxa"/>
                  <w:vAlign w:val="center"/>
                </w:tcPr>
                <w:p w14:paraId="6D5595A6">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纯水</w:t>
                  </w:r>
                </w:p>
              </w:tc>
              <w:tc>
                <w:tcPr>
                  <w:tcW w:w="873" w:type="dxa"/>
                  <w:vAlign w:val="center"/>
                </w:tcPr>
                <w:p w14:paraId="28C3438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b w:val="0"/>
                      <w:bCs/>
                      <w:color w:val="auto"/>
                      <w:sz w:val="21"/>
                      <w:szCs w:val="21"/>
                      <w:highlight w:val="none"/>
                      <w:lang w:val="en-US" w:eastAsia="zh-CN"/>
                    </w:rPr>
                    <w:t>16.78</w:t>
                  </w:r>
                </w:p>
              </w:tc>
              <w:tc>
                <w:tcPr>
                  <w:tcW w:w="872" w:type="dxa"/>
                  <w:vAlign w:val="center"/>
                </w:tcPr>
                <w:p w14:paraId="7B691B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w:t>
                  </w:r>
                  <w:r>
                    <w:rPr>
                      <w:rFonts w:hint="eastAsia" w:eastAsia="宋体" w:cs="Times New Roman"/>
                      <w:i w:val="0"/>
                      <w:iCs w:val="0"/>
                      <w:color w:val="auto"/>
                      <w:kern w:val="0"/>
                      <w:sz w:val="21"/>
                      <w:szCs w:val="21"/>
                      <w:u w:val="none"/>
                      <w:lang w:val="en-US" w:eastAsia="zh-CN" w:bidi="ar"/>
                    </w:rPr>
                    <w:t>4</w:t>
                  </w:r>
                </w:p>
              </w:tc>
              <w:tc>
                <w:tcPr>
                  <w:tcW w:w="859" w:type="dxa"/>
                  <w:vAlign w:val="center"/>
                </w:tcPr>
                <w:p w14:paraId="729902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+10.62</w:t>
                  </w:r>
                </w:p>
              </w:tc>
              <w:tc>
                <w:tcPr>
                  <w:tcW w:w="914" w:type="dxa"/>
                  <w:vAlign w:val="center"/>
                </w:tcPr>
                <w:p w14:paraId="45FB8BA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b w:val="0"/>
                      <w:bCs/>
                      <w:color w:val="auto"/>
                      <w:sz w:val="21"/>
                      <w:szCs w:val="21"/>
                      <w:highlight w:val="none"/>
                      <w:lang w:val="en-US" w:eastAsia="zh-CN"/>
                    </w:rPr>
                    <w:t>0.78</w:t>
                  </w:r>
                </w:p>
              </w:tc>
              <w:tc>
                <w:tcPr>
                  <w:tcW w:w="927" w:type="dxa"/>
                  <w:vAlign w:val="center"/>
                </w:tcPr>
                <w:p w14:paraId="687C4CE7">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i w:val="0"/>
                      <w:iCs w:val="0"/>
                      <w:color w:val="auto"/>
                      <w:kern w:val="0"/>
                      <w:sz w:val="21"/>
                      <w:szCs w:val="21"/>
                      <w:u w:val="none"/>
                      <w:lang w:val="en-US" w:eastAsia="zh-CN" w:bidi="ar"/>
                    </w:rPr>
                    <w:t>1</w:t>
                  </w:r>
                </w:p>
              </w:tc>
              <w:tc>
                <w:tcPr>
                  <w:tcW w:w="896" w:type="dxa"/>
                  <w:vAlign w:val="center"/>
                </w:tcPr>
                <w:p w14:paraId="0570C4EA">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lang w:val="en-US" w:eastAsia="zh-CN"/>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0.22</w:t>
                  </w:r>
                </w:p>
              </w:tc>
            </w:tr>
            <w:tr w14:paraId="4DB90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346" w:type="dxa"/>
                  <w:vAlign w:val="center"/>
                </w:tcPr>
                <w:p w14:paraId="2B4E4B72">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11</w:t>
                  </w:r>
                </w:p>
              </w:tc>
              <w:tc>
                <w:tcPr>
                  <w:tcW w:w="1371" w:type="dxa"/>
                  <w:gridSpan w:val="2"/>
                  <w:vAlign w:val="center"/>
                </w:tcPr>
                <w:p w14:paraId="62420363">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生产车间地面清洗</w:t>
                  </w:r>
                  <w:r>
                    <w:rPr>
                      <w:rFonts w:hint="default" w:ascii="Times New Roman" w:hAnsi="Times New Roman" w:cs="Times New Roman"/>
                      <w:b w:val="0"/>
                      <w:bCs/>
                      <w:color w:val="auto"/>
                      <w:sz w:val="21"/>
                      <w:szCs w:val="21"/>
                      <w:highlight w:val="none"/>
                      <w:lang w:val="en-US" w:eastAsia="zh-CN"/>
                    </w:rPr>
                    <w:t>用</w:t>
                  </w:r>
                  <w:r>
                    <w:rPr>
                      <w:rFonts w:hint="default" w:ascii="Times New Roman" w:hAnsi="Times New Roman" w:cs="Times New Roman"/>
                      <w:b w:val="0"/>
                      <w:bCs/>
                      <w:color w:val="auto"/>
                      <w:sz w:val="21"/>
                      <w:szCs w:val="21"/>
                      <w:highlight w:val="none"/>
                    </w:rPr>
                    <w:t>水</w:t>
                  </w:r>
                </w:p>
              </w:tc>
              <w:tc>
                <w:tcPr>
                  <w:tcW w:w="859" w:type="dxa"/>
                  <w:vAlign w:val="center"/>
                </w:tcPr>
                <w:p w14:paraId="2D039703">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自来水</w:t>
                  </w:r>
                </w:p>
              </w:tc>
              <w:tc>
                <w:tcPr>
                  <w:tcW w:w="873" w:type="dxa"/>
                  <w:vAlign w:val="center"/>
                </w:tcPr>
                <w:p w14:paraId="0047E38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b w:val="0"/>
                      <w:bCs/>
                      <w:color w:val="auto"/>
                      <w:sz w:val="21"/>
                      <w:szCs w:val="21"/>
                      <w:highlight w:val="none"/>
                      <w:lang w:val="en-US" w:eastAsia="zh-CN"/>
                    </w:rPr>
                    <w:t>2</w:t>
                  </w:r>
                </w:p>
              </w:tc>
              <w:tc>
                <w:tcPr>
                  <w:tcW w:w="872" w:type="dxa"/>
                  <w:vAlign w:val="center"/>
                </w:tcPr>
                <w:p w14:paraId="1C4F18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859" w:type="dxa"/>
                  <w:vAlign w:val="center"/>
                </w:tcPr>
                <w:p w14:paraId="24A576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914" w:type="dxa"/>
                  <w:vAlign w:val="center"/>
                </w:tcPr>
                <w:p w14:paraId="2A3BF55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b w:val="0"/>
                      <w:bCs/>
                      <w:color w:val="auto"/>
                      <w:sz w:val="21"/>
                      <w:szCs w:val="21"/>
                      <w:highlight w:val="none"/>
                      <w:lang w:val="en-US" w:eastAsia="zh-CN"/>
                    </w:rPr>
                    <w:t>1.6</w:t>
                  </w:r>
                </w:p>
              </w:tc>
              <w:tc>
                <w:tcPr>
                  <w:tcW w:w="927" w:type="dxa"/>
                  <w:vAlign w:val="center"/>
                </w:tcPr>
                <w:p w14:paraId="39676357">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w:t>
                  </w:r>
                </w:p>
              </w:tc>
              <w:tc>
                <w:tcPr>
                  <w:tcW w:w="896" w:type="dxa"/>
                  <w:vAlign w:val="center"/>
                </w:tcPr>
                <w:p w14:paraId="080EAF39">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3BFC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346" w:type="dxa"/>
                  <w:vAlign w:val="center"/>
                </w:tcPr>
                <w:p w14:paraId="13C9AC24">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12</w:t>
                  </w:r>
                </w:p>
              </w:tc>
              <w:tc>
                <w:tcPr>
                  <w:tcW w:w="1371" w:type="dxa"/>
                  <w:gridSpan w:val="2"/>
                  <w:vAlign w:val="center"/>
                </w:tcPr>
                <w:p w14:paraId="5F2A8B55">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val="0"/>
                      <w:color w:val="auto"/>
                      <w:sz w:val="21"/>
                      <w:szCs w:val="21"/>
                      <w:highlight w:val="none"/>
                      <w:lang w:val="en-US" w:eastAsia="zh-CN"/>
                    </w:rPr>
                    <w:t>实验器皿清洗用水</w:t>
                  </w:r>
                </w:p>
              </w:tc>
              <w:tc>
                <w:tcPr>
                  <w:tcW w:w="859" w:type="dxa"/>
                  <w:vAlign w:val="center"/>
                </w:tcPr>
                <w:p w14:paraId="2A556AB1">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自来水</w:t>
                  </w:r>
                </w:p>
              </w:tc>
              <w:tc>
                <w:tcPr>
                  <w:tcW w:w="873" w:type="dxa"/>
                  <w:vAlign w:val="center"/>
                </w:tcPr>
                <w:p w14:paraId="0719BB2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b w:val="0"/>
                      <w:bCs/>
                      <w:color w:val="auto"/>
                      <w:sz w:val="21"/>
                      <w:szCs w:val="21"/>
                      <w:highlight w:val="none"/>
                      <w:lang w:val="en-US" w:eastAsia="zh-CN"/>
                    </w:rPr>
                    <w:t>0.1</w:t>
                  </w:r>
                </w:p>
              </w:tc>
              <w:tc>
                <w:tcPr>
                  <w:tcW w:w="872" w:type="dxa"/>
                  <w:vAlign w:val="center"/>
                </w:tcPr>
                <w:p w14:paraId="60D9CC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w:t>
                  </w:r>
                </w:p>
              </w:tc>
              <w:tc>
                <w:tcPr>
                  <w:tcW w:w="859" w:type="dxa"/>
                  <w:vAlign w:val="center"/>
                </w:tcPr>
                <w:p w14:paraId="6FC689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914" w:type="dxa"/>
                  <w:vAlign w:val="center"/>
                </w:tcPr>
                <w:p w14:paraId="7F79359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b w:val="0"/>
                      <w:bCs/>
                      <w:color w:val="auto"/>
                      <w:sz w:val="21"/>
                      <w:szCs w:val="21"/>
                      <w:highlight w:val="none"/>
                      <w:lang w:val="en-US" w:eastAsia="zh-CN"/>
                    </w:rPr>
                    <w:t>0.08</w:t>
                  </w:r>
                </w:p>
              </w:tc>
              <w:tc>
                <w:tcPr>
                  <w:tcW w:w="927" w:type="dxa"/>
                  <w:vAlign w:val="center"/>
                </w:tcPr>
                <w:p w14:paraId="3865EB7E">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0.08</w:t>
                  </w:r>
                </w:p>
              </w:tc>
              <w:tc>
                <w:tcPr>
                  <w:tcW w:w="896" w:type="dxa"/>
                  <w:vAlign w:val="center"/>
                </w:tcPr>
                <w:p w14:paraId="1ED628E1">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6F76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346" w:type="dxa"/>
                  <w:shd w:val="clear" w:color="auto" w:fill="auto"/>
                  <w:vAlign w:val="center"/>
                </w:tcPr>
                <w:p w14:paraId="6B8729A1">
                  <w:pPr>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13</w:t>
                  </w:r>
                </w:p>
              </w:tc>
              <w:tc>
                <w:tcPr>
                  <w:tcW w:w="1371" w:type="dxa"/>
                  <w:gridSpan w:val="2"/>
                  <w:vAlign w:val="center"/>
                </w:tcPr>
                <w:p w14:paraId="2CB93F0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生物质锅炉风机冷却水</w:t>
                  </w:r>
                </w:p>
              </w:tc>
              <w:tc>
                <w:tcPr>
                  <w:tcW w:w="859" w:type="dxa"/>
                  <w:vAlign w:val="center"/>
                </w:tcPr>
                <w:p w14:paraId="55B72FD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自来水</w:t>
                  </w:r>
                </w:p>
              </w:tc>
              <w:tc>
                <w:tcPr>
                  <w:tcW w:w="873" w:type="dxa"/>
                  <w:vAlign w:val="center"/>
                </w:tcPr>
                <w:p w14:paraId="0B406E3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b w:val="0"/>
                      <w:bCs/>
                      <w:color w:val="auto"/>
                      <w:sz w:val="21"/>
                      <w:szCs w:val="21"/>
                      <w:highlight w:val="none"/>
                      <w:lang w:val="en-US" w:eastAsia="zh-CN"/>
                    </w:rPr>
                    <w:t>1</w:t>
                  </w:r>
                </w:p>
              </w:tc>
              <w:tc>
                <w:tcPr>
                  <w:tcW w:w="872" w:type="dxa"/>
                  <w:vAlign w:val="center"/>
                </w:tcPr>
                <w:p w14:paraId="7E1D1F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859" w:type="dxa"/>
                  <w:vAlign w:val="center"/>
                </w:tcPr>
                <w:p w14:paraId="52C225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w:t>
                  </w:r>
                </w:p>
              </w:tc>
              <w:tc>
                <w:tcPr>
                  <w:tcW w:w="914" w:type="dxa"/>
                  <w:vAlign w:val="center"/>
                </w:tcPr>
                <w:p w14:paraId="43C5D7E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b w:val="0"/>
                      <w:bCs/>
                      <w:color w:val="auto"/>
                      <w:sz w:val="21"/>
                      <w:szCs w:val="21"/>
                      <w:highlight w:val="none"/>
                      <w:lang w:val="en-US" w:eastAsia="zh-CN"/>
                    </w:rPr>
                    <w:t>0</w:t>
                  </w:r>
                </w:p>
              </w:tc>
              <w:tc>
                <w:tcPr>
                  <w:tcW w:w="927" w:type="dxa"/>
                  <w:vAlign w:val="center"/>
                </w:tcPr>
                <w:p w14:paraId="695249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896" w:type="dxa"/>
                  <w:vAlign w:val="center"/>
                </w:tcPr>
                <w:p w14:paraId="39C76B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2DB1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346" w:type="dxa"/>
                  <w:shd w:val="clear" w:color="auto" w:fill="auto"/>
                  <w:vAlign w:val="center"/>
                </w:tcPr>
                <w:p w14:paraId="0E4EF3D9">
                  <w:pPr>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14</w:t>
                  </w:r>
                </w:p>
              </w:tc>
              <w:tc>
                <w:tcPr>
                  <w:tcW w:w="1371" w:type="dxa"/>
                  <w:gridSpan w:val="2"/>
                  <w:vAlign w:val="center"/>
                </w:tcPr>
                <w:p w14:paraId="5270EDC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水膜除尘器除尘用水</w:t>
                  </w:r>
                </w:p>
              </w:tc>
              <w:tc>
                <w:tcPr>
                  <w:tcW w:w="859" w:type="dxa"/>
                  <w:vAlign w:val="center"/>
                </w:tcPr>
                <w:p w14:paraId="1871EA0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生物质锅炉风机冷却水</w:t>
                  </w:r>
                </w:p>
              </w:tc>
              <w:tc>
                <w:tcPr>
                  <w:tcW w:w="873" w:type="dxa"/>
                  <w:vAlign w:val="center"/>
                </w:tcPr>
                <w:p w14:paraId="34B5856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b w:val="0"/>
                      <w:bCs/>
                      <w:color w:val="auto"/>
                      <w:sz w:val="21"/>
                      <w:szCs w:val="21"/>
                      <w:highlight w:val="none"/>
                      <w:lang w:val="en-US" w:eastAsia="zh-CN"/>
                    </w:rPr>
                    <w:t>0.9</w:t>
                  </w:r>
                </w:p>
              </w:tc>
              <w:tc>
                <w:tcPr>
                  <w:tcW w:w="872" w:type="dxa"/>
                  <w:vAlign w:val="center"/>
                </w:tcPr>
                <w:p w14:paraId="0498EE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859" w:type="dxa"/>
                  <w:vAlign w:val="center"/>
                </w:tcPr>
                <w:p w14:paraId="2DBB0C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-0.9</w:t>
                  </w:r>
                </w:p>
              </w:tc>
              <w:tc>
                <w:tcPr>
                  <w:tcW w:w="914" w:type="dxa"/>
                  <w:vAlign w:val="center"/>
                </w:tcPr>
                <w:p w14:paraId="0D5FA49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b w:val="0"/>
                      <w:bCs/>
                      <w:color w:val="auto"/>
                      <w:sz w:val="21"/>
                      <w:szCs w:val="21"/>
                      <w:highlight w:val="none"/>
                      <w:lang w:val="en-US" w:eastAsia="zh-CN"/>
                    </w:rPr>
                    <w:t>0</w:t>
                  </w:r>
                </w:p>
              </w:tc>
              <w:tc>
                <w:tcPr>
                  <w:tcW w:w="927" w:type="dxa"/>
                  <w:vAlign w:val="center"/>
                </w:tcPr>
                <w:p w14:paraId="3A3B74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896" w:type="dxa"/>
                  <w:vAlign w:val="center"/>
                </w:tcPr>
                <w:p w14:paraId="38FA8B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7361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6" w:type="dxa"/>
                  <w:vAlign w:val="center"/>
                </w:tcPr>
                <w:p w14:paraId="70220470">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15</w:t>
                  </w:r>
                </w:p>
              </w:tc>
              <w:tc>
                <w:tcPr>
                  <w:tcW w:w="1371" w:type="dxa"/>
                  <w:gridSpan w:val="2"/>
                  <w:vAlign w:val="center"/>
                </w:tcPr>
                <w:p w14:paraId="798F8157">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食堂用水</w:t>
                  </w:r>
                </w:p>
              </w:tc>
              <w:tc>
                <w:tcPr>
                  <w:tcW w:w="859" w:type="dxa"/>
                  <w:vAlign w:val="center"/>
                </w:tcPr>
                <w:p w14:paraId="2D10B4B4">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自来水</w:t>
                  </w:r>
                </w:p>
              </w:tc>
              <w:tc>
                <w:tcPr>
                  <w:tcW w:w="873" w:type="dxa"/>
                  <w:vAlign w:val="center"/>
                </w:tcPr>
                <w:p w14:paraId="51BE57A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b w:val="0"/>
                      <w:bCs/>
                      <w:color w:val="auto"/>
                      <w:sz w:val="21"/>
                      <w:szCs w:val="21"/>
                      <w:highlight w:val="none"/>
                      <w:lang w:val="en-US" w:eastAsia="zh-CN"/>
                    </w:rPr>
                    <w:t>0.9</w:t>
                  </w:r>
                </w:p>
              </w:tc>
              <w:tc>
                <w:tcPr>
                  <w:tcW w:w="872" w:type="dxa"/>
                  <w:vAlign w:val="center"/>
                </w:tcPr>
                <w:p w14:paraId="4567E2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w:t>
                  </w:r>
                </w:p>
              </w:tc>
              <w:tc>
                <w:tcPr>
                  <w:tcW w:w="859" w:type="dxa"/>
                  <w:vAlign w:val="center"/>
                </w:tcPr>
                <w:p w14:paraId="330590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914" w:type="dxa"/>
                  <w:vAlign w:val="center"/>
                </w:tcPr>
                <w:p w14:paraId="3C9EAFF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b w:val="0"/>
                      <w:bCs/>
                      <w:color w:val="auto"/>
                      <w:sz w:val="21"/>
                      <w:szCs w:val="21"/>
                      <w:highlight w:val="none"/>
                      <w:lang w:val="en-US" w:eastAsia="zh-CN"/>
                    </w:rPr>
                    <w:t>0.72</w:t>
                  </w:r>
                </w:p>
              </w:tc>
              <w:tc>
                <w:tcPr>
                  <w:tcW w:w="927" w:type="dxa"/>
                  <w:vAlign w:val="center"/>
                </w:tcPr>
                <w:p w14:paraId="63ADBBE4">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0.72</w:t>
                  </w:r>
                </w:p>
              </w:tc>
              <w:tc>
                <w:tcPr>
                  <w:tcW w:w="896" w:type="dxa"/>
                  <w:vAlign w:val="center"/>
                </w:tcPr>
                <w:p w14:paraId="2A29D576">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5B91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346" w:type="dxa"/>
                  <w:vAlign w:val="center"/>
                </w:tcPr>
                <w:p w14:paraId="76893DD3">
                  <w:pPr>
                    <w:adjustRightInd w:val="0"/>
                    <w:snapToGrid w:val="0"/>
                    <w:jc w:val="center"/>
                    <w:rPr>
                      <w:rFonts w:hint="default" w:ascii="Times New Roman" w:hAnsi="Times New Roman"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16</w:t>
                  </w:r>
                </w:p>
              </w:tc>
              <w:tc>
                <w:tcPr>
                  <w:tcW w:w="1371" w:type="dxa"/>
                  <w:gridSpan w:val="2"/>
                  <w:vAlign w:val="center"/>
                </w:tcPr>
                <w:p w14:paraId="1F03FF50">
                  <w:pPr>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生活用水</w:t>
                  </w:r>
                </w:p>
              </w:tc>
              <w:tc>
                <w:tcPr>
                  <w:tcW w:w="859" w:type="dxa"/>
                  <w:vAlign w:val="center"/>
                </w:tcPr>
                <w:p w14:paraId="74F21619">
                  <w:pPr>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自来水</w:t>
                  </w:r>
                </w:p>
              </w:tc>
              <w:tc>
                <w:tcPr>
                  <w:tcW w:w="873" w:type="dxa"/>
                  <w:vAlign w:val="center"/>
                </w:tcPr>
                <w:p w14:paraId="4175523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b w:val="0"/>
                      <w:bCs/>
                      <w:color w:val="auto"/>
                      <w:sz w:val="21"/>
                      <w:szCs w:val="21"/>
                      <w:highlight w:val="none"/>
                      <w:lang w:val="en-US" w:eastAsia="zh-CN"/>
                    </w:rPr>
                    <w:t>2.4</w:t>
                  </w:r>
                </w:p>
              </w:tc>
              <w:tc>
                <w:tcPr>
                  <w:tcW w:w="872" w:type="dxa"/>
                  <w:vAlign w:val="center"/>
                </w:tcPr>
                <w:p w14:paraId="01B729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w:t>
                  </w:r>
                </w:p>
              </w:tc>
              <w:tc>
                <w:tcPr>
                  <w:tcW w:w="859" w:type="dxa"/>
                  <w:vAlign w:val="center"/>
                </w:tcPr>
                <w:p w14:paraId="5B9F6B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914" w:type="dxa"/>
                  <w:vAlign w:val="center"/>
                </w:tcPr>
                <w:p w14:paraId="23AF648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b w:val="0"/>
                      <w:bCs/>
                      <w:color w:val="auto"/>
                      <w:sz w:val="21"/>
                      <w:szCs w:val="21"/>
                      <w:highlight w:val="none"/>
                      <w:lang w:val="en-US" w:eastAsia="zh-CN"/>
                    </w:rPr>
                    <w:t>1.92</w:t>
                  </w:r>
                </w:p>
              </w:tc>
              <w:tc>
                <w:tcPr>
                  <w:tcW w:w="927" w:type="dxa"/>
                  <w:vAlign w:val="center"/>
                </w:tcPr>
                <w:p w14:paraId="4C97D81D">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1.92</w:t>
                  </w:r>
                </w:p>
              </w:tc>
              <w:tc>
                <w:tcPr>
                  <w:tcW w:w="896" w:type="dxa"/>
                  <w:vAlign w:val="center"/>
                </w:tcPr>
                <w:p w14:paraId="2AC37FB2">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bl>
          <w:p w14:paraId="6E86AB74">
            <w:pPr>
              <w:pStyle w:val="21"/>
              <w:keepNext w:val="0"/>
              <w:keepLines w:val="0"/>
              <w:pageBreakBefore w:val="0"/>
              <w:widowControl/>
              <w:kinsoku/>
              <w:wordWrap/>
              <w:overflowPunct/>
              <w:topLinePunct w:val="0"/>
              <w:autoSpaceDE/>
              <w:autoSpaceDN/>
              <w:bidi w:val="0"/>
              <w:adjustRightInd/>
              <w:snapToGrid w:val="0"/>
              <w:spacing w:before="0" w:after="0" w:line="360" w:lineRule="auto"/>
              <w:ind w:left="0" w:leftChars="0" w:right="113" w:firstLine="480" w:firstLineChars="200"/>
              <w:textAlignment w:val="auto"/>
              <w:rPr>
                <w:rFonts w:hint="default" w:cs="Times New Roman"/>
                <w:color w:val="auto"/>
                <w:kern w:val="0"/>
                <w:sz w:val="24"/>
                <w:szCs w:val="24"/>
                <w:highlight w:val="none"/>
                <w:lang w:val="en-US" w:eastAsia="zh-CN" w:bidi="ar"/>
              </w:rPr>
            </w:pPr>
            <w:r>
              <w:rPr>
                <w:rFonts w:hint="eastAsia"/>
                <w:b w:val="0"/>
                <w:bCs w:val="0"/>
                <w:color w:val="auto"/>
                <w:sz w:val="24"/>
                <w:szCs w:val="24"/>
                <w:highlight w:val="none"/>
                <w:lang w:val="en-US" w:eastAsia="zh-CN"/>
              </w:rPr>
              <w:t>根据上表可知，本次技改后，仅</w:t>
            </w:r>
            <w:r>
              <w:rPr>
                <w:rFonts w:hint="default" w:ascii="Times New Roman" w:hAnsi="Times New Roman" w:cs="Times New Roman"/>
                <w:b w:val="0"/>
                <w:bCs/>
                <w:color w:val="auto"/>
                <w:sz w:val="24"/>
                <w:szCs w:val="24"/>
                <w:highlight w:val="none"/>
              </w:rPr>
              <w:t>纯水</w:t>
            </w:r>
            <w:r>
              <w:rPr>
                <w:rFonts w:hint="default" w:ascii="Times New Roman" w:hAnsi="Times New Roman" w:cs="Times New Roman"/>
                <w:b w:val="0"/>
                <w:bCs/>
                <w:color w:val="auto"/>
                <w:sz w:val="24"/>
                <w:szCs w:val="24"/>
                <w:highlight w:val="none"/>
                <w:lang w:val="en-US" w:eastAsia="zh-CN"/>
              </w:rPr>
              <w:t>制备</w:t>
            </w:r>
            <w:r>
              <w:rPr>
                <w:rFonts w:hint="default" w:ascii="Times New Roman" w:hAnsi="Times New Roman" w:cs="Times New Roman"/>
                <w:b w:val="0"/>
                <w:bCs/>
                <w:color w:val="auto"/>
                <w:sz w:val="24"/>
                <w:szCs w:val="24"/>
                <w:highlight w:val="none"/>
              </w:rPr>
              <w:t>系统</w:t>
            </w:r>
            <w:r>
              <w:rPr>
                <w:rFonts w:hint="eastAsia" w:ascii="Times New Roman" w:hAnsi="Times New Roman" w:cs="Times New Roman"/>
                <w:b w:val="0"/>
                <w:bCs/>
                <w:color w:val="auto"/>
                <w:sz w:val="24"/>
                <w:szCs w:val="24"/>
                <w:highlight w:val="none"/>
                <w:lang w:val="en-US" w:eastAsia="zh-CN"/>
              </w:rPr>
              <w:t>废水、锅炉排水日废水量有所增加，纯水制备系统废水水量增加3.54m</w:t>
            </w:r>
            <w:r>
              <w:rPr>
                <w:rFonts w:hint="eastAsia" w:ascii="Times New Roman" w:hAnsi="Times New Roman" w:cs="Times New Roman"/>
                <w:b w:val="0"/>
                <w:bCs/>
                <w:color w:val="auto"/>
                <w:sz w:val="24"/>
                <w:szCs w:val="24"/>
                <w:highlight w:val="none"/>
                <w:vertAlign w:val="superscript"/>
                <w:lang w:val="en-US" w:eastAsia="zh-CN"/>
              </w:rPr>
              <w:t>3</w:t>
            </w:r>
            <w:r>
              <w:rPr>
                <w:rFonts w:hint="eastAsia" w:ascii="Times New Roman" w:hAnsi="Times New Roman" w:cs="Times New Roman"/>
                <w:b w:val="0"/>
                <w:bCs/>
                <w:color w:val="auto"/>
                <w:sz w:val="24"/>
                <w:szCs w:val="24"/>
                <w:highlight w:val="none"/>
                <w:lang w:val="en-US" w:eastAsia="zh-CN"/>
              </w:rPr>
              <w:t>/d，锅炉排水水量增加0.22m</w:t>
            </w:r>
            <w:r>
              <w:rPr>
                <w:rFonts w:hint="eastAsia" w:ascii="Times New Roman" w:hAnsi="Times New Roman" w:cs="Times New Roman"/>
                <w:b w:val="0"/>
                <w:bCs/>
                <w:color w:val="auto"/>
                <w:sz w:val="24"/>
                <w:szCs w:val="24"/>
                <w:highlight w:val="none"/>
                <w:vertAlign w:val="superscript"/>
                <w:lang w:val="en-US" w:eastAsia="zh-CN"/>
              </w:rPr>
              <w:t>3</w:t>
            </w:r>
            <w:r>
              <w:rPr>
                <w:rFonts w:hint="eastAsia" w:ascii="Times New Roman" w:hAnsi="Times New Roman" w:cs="Times New Roman"/>
                <w:b w:val="0"/>
                <w:bCs/>
                <w:color w:val="auto"/>
                <w:sz w:val="24"/>
                <w:szCs w:val="24"/>
                <w:highlight w:val="none"/>
                <w:lang w:val="en-US" w:eastAsia="zh-CN"/>
              </w:rPr>
              <w:t>/d，其他废水量均不变，增加废水均进入</w:t>
            </w:r>
            <w:r>
              <w:rPr>
                <w:rFonts w:hint="eastAsia" w:ascii="Times New Roman" w:hAnsi="Times New Roman" w:cs="Times New Roman"/>
                <w:color w:val="auto"/>
                <w:kern w:val="0"/>
                <w:sz w:val="24"/>
                <w:szCs w:val="24"/>
                <w:highlight w:val="none"/>
                <w:lang w:val="en-US" w:eastAsia="zh-CN" w:bidi="ar"/>
              </w:rPr>
              <w:t>沉淀池</w:t>
            </w:r>
            <w:r>
              <w:rPr>
                <w:rFonts w:hint="eastAsia" w:cs="Times New Roman"/>
                <w:color w:val="auto"/>
                <w:kern w:val="0"/>
                <w:sz w:val="24"/>
                <w:szCs w:val="24"/>
                <w:highlight w:val="none"/>
                <w:lang w:val="en-US" w:eastAsia="zh-CN" w:bidi="ar"/>
              </w:rPr>
              <w:t>（</w:t>
            </w:r>
            <w:r>
              <w:rPr>
                <w:rFonts w:hint="eastAsia" w:ascii="Times New Roman" w:hAnsi="Times New Roman"/>
                <w:color w:val="auto"/>
                <w:sz w:val="24"/>
                <w:szCs w:val="24"/>
                <w:highlight w:val="none"/>
                <w:lang w:val="en-US" w:eastAsia="zh-CN"/>
              </w:rPr>
              <w:t>调节+气浮沉淀</w:t>
            </w:r>
            <w:r>
              <w:rPr>
                <w:rFonts w:hint="eastAsia" w:cs="Times New Roman"/>
                <w:color w:val="auto"/>
                <w:kern w:val="0"/>
                <w:sz w:val="24"/>
                <w:szCs w:val="24"/>
                <w:highlight w:val="none"/>
                <w:lang w:val="en-US" w:eastAsia="zh-CN" w:bidi="ar"/>
              </w:rPr>
              <w:t>）处理。</w:t>
            </w:r>
            <w:r>
              <w:rPr>
                <w:rFonts w:hint="default" w:ascii="Times New Roman" w:hAnsi="Times New Roman" w:cs="Times New Roman"/>
                <w:b w:val="0"/>
                <w:bCs/>
                <w:color w:val="auto"/>
                <w:sz w:val="24"/>
                <w:szCs w:val="24"/>
                <w:highlight w:val="none"/>
              </w:rPr>
              <w:t>CIP清洗系统设备清洗</w:t>
            </w:r>
            <w:r>
              <w:rPr>
                <w:rFonts w:hint="eastAsia" w:ascii="Times New Roman" w:hAnsi="Times New Roman" w:cs="Times New Roman"/>
                <w:b w:val="0"/>
                <w:bCs/>
                <w:color w:val="auto"/>
                <w:sz w:val="24"/>
                <w:szCs w:val="24"/>
                <w:highlight w:val="none"/>
                <w:lang w:val="en-US" w:eastAsia="zh-CN"/>
              </w:rPr>
              <w:t>废水中</w:t>
            </w:r>
            <w:r>
              <w:rPr>
                <w:rFonts w:hint="eastAsia" w:cs="Times New Roman"/>
                <w:color w:val="auto"/>
                <w:kern w:val="0"/>
                <w:sz w:val="24"/>
                <w:szCs w:val="24"/>
                <w:highlight w:val="none"/>
                <w:lang w:val="en-US" w:eastAsia="zh-CN" w:bidi="ar"/>
              </w:rPr>
              <w:t>杀菌</w:t>
            </w:r>
            <w:r>
              <w:rPr>
                <w:rFonts w:hint="default" w:ascii="Times New Roman" w:hAnsi="Times New Roman" w:cs="Times New Roman"/>
                <w:color w:val="auto"/>
                <w:kern w:val="0"/>
                <w:sz w:val="24"/>
                <w:szCs w:val="24"/>
                <w:highlight w:val="none"/>
                <w:lang w:val="en-US" w:eastAsia="zh-CN" w:bidi="ar"/>
              </w:rPr>
              <w:t>机日清洗废水量不变，仅年废水量增加（</w:t>
            </w:r>
            <w:r>
              <w:rPr>
                <w:rFonts w:hint="eastAsia" w:ascii="Times New Roman" w:hAnsi="Times New Roman" w:cs="Times New Roman"/>
                <w:color w:val="auto"/>
                <w:kern w:val="0"/>
                <w:sz w:val="24"/>
                <w:szCs w:val="24"/>
                <w:highlight w:val="none"/>
                <w:lang w:val="en-US" w:eastAsia="zh-CN" w:bidi="ar"/>
              </w:rPr>
              <w:t>因杀菌机</w:t>
            </w:r>
            <w:r>
              <w:rPr>
                <w:rFonts w:hint="default" w:ascii="Times New Roman" w:hAnsi="Times New Roman" w:cs="Times New Roman"/>
                <w:color w:val="auto"/>
                <w:kern w:val="0"/>
                <w:sz w:val="24"/>
                <w:szCs w:val="24"/>
                <w:highlight w:val="none"/>
                <w:lang w:val="en-US" w:eastAsia="zh-CN" w:bidi="ar"/>
              </w:rPr>
              <w:t>年使用时间由40d增加至200d）。</w:t>
            </w:r>
          </w:p>
          <w:p w14:paraId="1F07BD65">
            <w:pPr>
              <w:ind w:firstLine="480" w:firstLineChars="200"/>
              <w:rPr>
                <w:rFonts w:hint="default"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技改前后</w:t>
            </w:r>
            <w:r>
              <w:rPr>
                <w:rFonts w:hint="default" w:ascii="Times New Roman" w:hAnsi="Times New Roman" w:cs="Times New Roman"/>
                <w:b w:val="0"/>
                <w:bCs/>
                <w:color w:val="auto"/>
                <w:sz w:val="24"/>
                <w:szCs w:val="24"/>
                <w:highlight w:val="none"/>
              </w:rPr>
              <w:t>纯水</w:t>
            </w:r>
            <w:r>
              <w:rPr>
                <w:rFonts w:hint="default" w:ascii="Times New Roman" w:hAnsi="Times New Roman" w:cs="Times New Roman"/>
                <w:b w:val="0"/>
                <w:bCs/>
                <w:color w:val="auto"/>
                <w:sz w:val="24"/>
                <w:szCs w:val="24"/>
                <w:highlight w:val="none"/>
                <w:lang w:val="en-US" w:eastAsia="zh-CN"/>
              </w:rPr>
              <w:t>制备</w:t>
            </w:r>
            <w:r>
              <w:rPr>
                <w:rFonts w:hint="default" w:ascii="Times New Roman" w:hAnsi="Times New Roman" w:cs="Times New Roman"/>
                <w:b w:val="0"/>
                <w:bCs/>
                <w:color w:val="auto"/>
                <w:sz w:val="24"/>
                <w:szCs w:val="24"/>
                <w:highlight w:val="none"/>
              </w:rPr>
              <w:t>系统</w:t>
            </w:r>
            <w:r>
              <w:rPr>
                <w:rFonts w:hint="eastAsia" w:ascii="Times New Roman" w:hAnsi="Times New Roman" w:cs="Times New Roman"/>
                <w:b w:val="0"/>
                <w:bCs/>
                <w:color w:val="auto"/>
                <w:sz w:val="24"/>
                <w:szCs w:val="24"/>
                <w:highlight w:val="none"/>
                <w:lang w:val="en-US" w:eastAsia="zh-CN"/>
              </w:rPr>
              <w:t>废水、锅炉排水</w:t>
            </w:r>
            <w:r>
              <w:rPr>
                <w:rFonts w:hint="eastAsia" w:cs="Times New Roman"/>
                <w:b w:val="0"/>
                <w:bCs/>
                <w:color w:val="auto"/>
                <w:sz w:val="24"/>
                <w:szCs w:val="24"/>
                <w:highlight w:val="none"/>
                <w:lang w:val="en-US" w:eastAsia="zh-CN"/>
              </w:rPr>
              <w:t>水量对比情况详见下表。</w:t>
            </w:r>
          </w:p>
          <w:p w14:paraId="642F4F91">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2" w:firstLineChars="200"/>
              <w:jc w:val="center"/>
              <w:textAlignment w:val="auto"/>
              <w:rPr>
                <w:rFonts w:hint="eastAsia"/>
                <w:b/>
                <w:bCs/>
                <w:color w:val="auto"/>
                <w:kern w:val="2"/>
                <w:sz w:val="21"/>
                <w:szCs w:val="21"/>
                <w:lang w:val="en-US" w:eastAsia="zh-CN"/>
              </w:rPr>
            </w:pPr>
            <w:r>
              <w:rPr>
                <w:b/>
                <w:bCs/>
                <w:color w:val="auto"/>
                <w:sz w:val="21"/>
                <w:szCs w:val="21"/>
                <w:highlight w:val="none"/>
              </w:rPr>
              <w:t>表2-</w:t>
            </w:r>
            <w:r>
              <w:rPr>
                <w:rFonts w:hint="eastAsia"/>
                <w:b/>
                <w:bCs/>
                <w:color w:val="auto"/>
                <w:sz w:val="21"/>
                <w:szCs w:val="21"/>
                <w:highlight w:val="none"/>
                <w:lang w:val="en-US" w:eastAsia="zh-CN"/>
              </w:rPr>
              <w:t xml:space="preserve">11  </w:t>
            </w:r>
            <w:r>
              <w:rPr>
                <w:rFonts w:hint="eastAsia"/>
                <w:b/>
                <w:bCs/>
                <w:color w:val="auto"/>
                <w:sz w:val="21"/>
                <w:szCs w:val="21"/>
                <w:lang w:val="en-US" w:eastAsia="zh-CN"/>
              </w:rPr>
              <w:t>技改前后</w:t>
            </w:r>
            <w:r>
              <w:rPr>
                <w:rFonts w:hint="default" w:ascii="Times New Roman" w:hAnsi="Times New Roman" w:cs="Times New Roman"/>
                <w:b/>
                <w:bCs/>
                <w:color w:val="auto"/>
                <w:sz w:val="21"/>
                <w:szCs w:val="21"/>
                <w:highlight w:val="none"/>
              </w:rPr>
              <w:t>纯水</w:t>
            </w:r>
            <w:r>
              <w:rPr>
                <w:rFonts w:hint="default" w:ascii="Times New Roman" w:hAnsi="Times New Roman" w:cs="Times New Roman"/>
                <w:b/>
                <w:bCs/>
                <w:color w:val="auto"/>
                <w:sz w:val="21"/>
                <w:szCs w:val="21"/>
                <w:highlight w:val="none"/>
                <w:lang w:val="en-US" w:eastAsia="zh-CN"/>
              </w:rPr>
              <w:t>制备</w:t>
            </w:r>
            <w:r>
              <w:rPr>
                <w:rFonts w:hint="default" w:ascii="Times New Roman" w:hAnsi="Times New Roman" w:cs="Times New Roman"/>
                <w:b/>
                <w:bCs/>
                <w:color w:val="auto"/>
                <w:sz w:val="21"/>
                <w:szCs w:val="21"/>
                <w:highlight w:val="none"/>
              </w:rPr>
              <w:t>系统</w:t>
            </w:r>
            <w:r>
              <w:rPr>
                <w:rFonts w:hint="eastAsia" w:ascii="Times New Roman" w:hAnsi="Times New Roman" w:cs="Times New Roman"/>
                <w:b/>
                <w:bCs/>
                <w:color w:val="auto"/>
                <w:sz w:val="21"/>
                <w:szCs w:val="21"/>
                <w:highlight w:val="none"/>
                <w:lang w:val="en-US" w:eastAsia="zh-CN"/>
              </w:rPr>
              <w:t>废水、锅炉排水</w:t>
            </w:r>
            <w:r>
              <w:rPr>
                <w:rFonts w:hint="eastAsia" w:cs="Times New Roman"/>
                <w:b/>
                <w:bCs/>
                <w:color w:val="auto"/>
                <w:sz w:val="21"/>
                <w:szCs w:val="21"/>
                <w:highlight w:val="none"/>
                <w:lang w:val="en-US" w:eastAsia="zh-CN"/>
              </w:rPr>
              <w:t>、</w:t>
            </w:r>
            <w:r>
              <w:rPr>
                <w:rFonts w:hint="eastAsia"/>
                <w:b/>
                <w:bCs/>
                <w:color w:val="auto"/>
                <w:sz w:val="21"/>
                <w:szCs w:val="21"/>
                <w:lang w:val="en-US" w:eastAsia="zh-CN"/>
              </w:rPr>
              <w:t>水量对比情况</w:t>
            </w:r>
            <w:r>
              <w:rPr>
                <w:rFonts w:hint="eastAsia"/>
                <w:b/>
                <w:bCs/>
                <w:color w:val="auto"/>
                <w:sz w:val="21"/>
                <w:szCs w:val="21"/>
              </w:rPr>
              <w:t>一览表</w:t>
            </w:r>
          </w:p>
          <w:tbl>
            <w:tblPr>
              <w:tblStyle w:val="23"/>
              <w:tblW w:w="8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2121"/>
              <w:gridCol w:w="735"/>
              <w:gridCol w:w="1050"/>
              <w:gridCol w:w="943"/>
              <w:gridCol w:w="835"/>
              <w:gridCol w:w="937"/>
              <w:gridCol w:w="909"/>
            </w:tblGrid>
            <w:tr w14:paraId="468F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568" w:type="dxa"/>
                  <w:vMerge w:val="restart"/>
                  <w:vAlign w:val="center"/>
                </w:tcPr>
                <w:p w14:paraId="61077C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kern w:val="2"/>
                      <w:sz w:val="21"/>
                      <w:szCs w:val="21"/>
                      <w:vertAlign w:val="baseline"/>
                      <w:lang w:val="en-US" w:eastAsia="zh-CN"/>
                    </w:rPr>
                  </w:pPr>
                  <w:r>
                    <w:rPr>
                      <w:rFonts w:hint="eastAsia"/>
                      <w:b/>
                      <w:bCs/>
                      <w:color w:val="auto"/>
                      <w:kern w:val="2"/>
                      <w:sz w:val="21"/>
                      <w:szCs w:val="21"/>
                      <w:vertAlign w:val="baseline"/>
                      <w:lang w:val="en-US" w:eastAsia="zh-CN"/>
                    </w:rPr>
                    <w:t>序号</w:t>
                  </w:r>
                </w:p>
              </w:tc>
              <w:tc>
                <w:tcPr>
                  <w:tcW w:w="2121" w:type="dxa"/>
                  <w:vMerge w:val="restart"/>
                  <w:vAlign w:val="center"/>
                </w:tcPr>
                <w:p w14:paraId="3AE8D5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kern w:val="2"/>
                      <w:sz w:val="21"/>
                      <w:szCs w:val="21"/>
                      <w:highlight w:val="none"/>
                      <w:vertAlign w:val="baseline"/>
                      <w:lang w:val="en-US" w:eastAsia="zh-CN"/>
                    </w:rPr>
                  </w:pPr>
                  <w:r>
                    <w:rPr>
                      <w:rFonts w:hint="eastAsia"/>
                      <w:b/>
                      <w:bCs/>
                      <w:color w:val="auto"/>
                      <w:kern w:val="2"/>
                      <w:sz w:val="21"/>
                      <w:szCs w:val="21"/>
                      <w:highlight w:val="none"/>
                      <w:vertAlign w:val="baseline"/>
                      <w:lang w:val="en-US" w:eastAsia="zh-CN"/>
                    </w:rPr>
                    <w:t>产污环节</w:t>
                  </w:r>
                </w:p>
              </w:tc>
              <w:tc>
                <w:tcPr>
                  <w:tcW w:w="2728" w:type="dxa"/>
                  <w:gridSpan w:val="3"/>
                  <w:vAlign w:val="center"/>
                </w:tcPr>
                <w:p w14:paraId="232CE3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kern w:val="2"/>
                      <w:sz w:val="21"/>
                      <w:szCs w:val="21"/>
                      <w:highlight w:val="none"/>
                      <w:vertAlign w:val="baseline"/>
                      <w:lang w:val="en-US" w:eastAsia="zh-CN"/>
                    </w:rPr>
                  </w:pPr>
                  <w:r>
                    <w:rPr>
                      <w:rFonts w:hint="eastAsia"/>
                      <w:b/>
                      <w:bCs/>
                      <w:color w:val="auto"/>
                      <w:kern w:val="2"/>
                      <w:sz w:val="21"/>
                      <w:szCs w:val="21"/>
                      <w:highlight w:val="none"/>
                      <w:vertAlign w:val="baseline"/>
                      <w:lang w:val="en-US" w:eastAsia="zh-CN"/>
                    </w:rPr>
                    <w:t>天废水量（m</w:t>
                  </w:r>
                  <w:r>
                    <w:rPr>
                      <w:rFonts w:hint="eastAsia"/>
                      <w:b/>
                      <w:bCs/>
                      <w:color w:val="auto"/>
                      <w:kern w:val="2"/>
                      <w:sz w:val="21"/>
                      <w:szCs w:val="21"/>
                      <w:highlight w:val="none"/>
                      <w:vertAlign w:val="superscript"/>
                      <w:lang w:val="en-US" w:eastAsia="zh-CN"/>
                    </w:rPr>
                    <w:t>3</w:t>
                  </w:r>
                  <w:r>
                    <w:rPr>
                      <w:rFonts w:hint="eastAsia"/>
                      <w:b/>
                      <w:bCs/>
                      <w:color w:val="auto"/>
                      <w:kern w:val="2"/>
                      <w:sz w:val="21"/>
                      <w:szCs w:val="21"/>
                      <w:highlight w:val="none"/>
                      <w:vertAlign w:val="baseline"/>
                      <w:lang w:val="en-US" w:eastAsia="zh-CN"/>
                    </w:rPr>
                    <w:t>/d）</w:t>
                  </w:r>
                </w:p>
              </w:tc>
              <w:tc>
                <w:tcPr>
                  <w:tcW w:w="2681" w:type="dxa"/>
                  <w:gridSpan w:val="3"/>
                  <w:vAlign w:val="center"/>
                </w:tcPr>
                <w:p w14:paraId="489CDC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kern w:val="2"/>
                      <w:sz w:val="21"/>
                      <w:szCs w:val="21"/>
                      <w:highlight w:val="none"/>
                      <w:vertAlign w:val="baseline"/>
                      <w:lang w:val="en-US" w:eastAsia="zh-CN"/>
                    </w:rPr>
                  </w:pPr>
                  <w:r>
                    <w:rPr>
                      <w:rFonts w:hint="eastAsia"/>
                      <w:b/>
                      <w:bCs/>
                      <w:color w:val="auto"/>
                      <w:kern w:val="2"/>
                      <w:sz w:val="21"/>
                      <w:szCs w:val="21"/>
                      <w:highlight w:val="none"/>
                      <w:vertAlign w:val="baseline"/>
                      <w:lang w:val="en-US" w:eastAsia="zh-CN"/>
                    </w:rPr>
                    <w:t>年废水量（m</w:t>
                  </w:r>
                  <w:r>
                    <w:rPr>
                      <w:rFonts w:hint="eastAsia"/>
                      <w:b/>
                      <w:bCs/>
                      <w:color w:val="auto"/>
                      <w:kern w:val="2"/>
                      <w:sz w:val="21"/>
                      <w:szCs w:val="21"/>
                      <w:highlight w:val="none"/>
                      <w:vertAlign w:val="superscript"/>
                      <w:lang w:val="en-US" w:eastAsia="zh-CN"/>
                    </w:rPr>
                    <w:t>3</w:t>
                  </w:r>
                  <w:r>
                    <w:rPr>
                      <w:rFonts w:hint="eastAsia"/>
                      <w:b/>
                      <w:bCs/>
                      <w:color w:val="auto"/>
                      <w:kern w:val="2"/>
                      <w:sz w:val="21"/>
                      <w:szCs w:val="21"/>
                      <w:highlight w:val="none"/>
                      <w:vertAlign w:val="baseline"/>
                      <w:lang w:val="en-US" w:eastAsia="zh-CN"/>
                    </w:rPr>
                    <w:t>/a）</w:t>
                  </w:r>
                </w:p>
              </w:tc>
            </w:tr>
            <w:tr w14:paraId="39E6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568" w:type="dxa"/>
                  <w:vMerge w:val="continue"/>
                  <w:vAlign w:val="center"/>
                </w:tcPr>
                <w:p w14:paraId="38B941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kern w:val="2"/>
                      <w:sz w:val="21"/>
                      <w:szCs w:val="21"/>
                      <w:vertAlign w:val="baseline"/>
                      <w:lang w:val="en-US" w:eastAsia="zh-CN"/>
                    </w:rPr>
                  </w:pPr>
                </w:p>
              </w:tc>
              <w:tc>
                <w:tcPr>
                  <w:tcW w:w="2121" w:type="dxa"/>
                  <w:vMerge w:val="continue"/>
                  <w:vAlign w:val="center"/>
                </w:tcPr>
                <w:p w14:paraId="025B6A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kern w:val="2"/>
                      <w:sz w:val="21"/>
                      <w:szCs w:val="21"/>
                      <w:highlight w:val="none"/>
                      <w:vertAlign w:val="baseline"/>
                      <w:lang w:val="en-US" w:eastAsia="zh-CN"/>
                    </w:rPr>
                  </w:pPr>
                </w:p>
              </w:tc>
              <w:tc>
                <w:tcPr>
                  <w:tcW w:w="735" w:type="dxa"/>
                  <w:vAlign w:val="center"/>
                </w:tcPr>
                <w:p w14:paraId="024A7E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kern w:val="2"/>
                      <w:sz w:val="21"/>
                      <w:szCs w:val="21"/>
                      <w:highlight w:val="none"/>
                      <w:vertAlign w:val="baseline"/>
                      <w:lang w:val="en-US" w:eastAsia="zh-CN"/>
                    </w:rPr>
                  </w:pPr>
                  <w:r>
                    <w:rPr>
                      <w:rFonts w:hint="eastAsia"/>
                      <w:b/>
                      <w:bCs/>
                      <w:color w:val="auto"/>
                      <w:kern w:val="2"/>
                      <w:sz w:val="21"/>
                      <w:szCs w:val="21"/>
                      <w:highlight w:val="none"/>
                      <w:vertAlign w:val="baseline"/>
                      <w:lang w:val="en-US" w:eastAsia="zh-CN"/>
                    </w:rPr>
                    <w:t>现有工程</w:t>
                  </w:r>
                </w:p>
              </w:tc>
              <w:tc>
                <w:tcPr>
                  <w:tcW w:w="1050" w:type="dxa"/>
                  <w:vAlign w:val="center"/>
                </w:tcPr>
                <w:p w14:paraId="0B10EB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kern w:val="2"/>
                      <w:sz w:val="21"/>
                      <w:szCs w:val="21"/>
                      <w:highlight w:val="none"/>
                      <w:vertAlign w:val="baseline"/>
                      <w:lang w:val="en-US" w:eastAsia="zh-CN"/>
                    </w:rPr>
                  </w:pPr>
                  <w:r>
                    <w:rPr>
                      <w:rFonts w:hint="eastAsia"/>
                      <w:b/>
                      <w:bCs/>
                      <w:color w:val="auto"/>
                      <w:kern w:val="2"/>
                      <w:sz w:val="21"/>
                      <w:szCs w:val="21"/>
                      <w:highlight w:val="none"/>
                      <w:vertAlign w:val="baseline"/>
                      <w:lang w:val="en-US" w:eastAsia="zh-CN"/>
                    </w:rPr>
                    <w:t>本次技改工程</w:t>
                  </w:r>
                </w:p>
              </w:tc>
              <w:tc>
                <w:tcPr>
                  <w:tcW w:w="943" w:type="dxa"/>
                  <w:vAlign w:val="center"/>
                </w:tcPr>
                <w:p w14:paraId="504489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kern w:val="2"/>
                      <w:sz w:val="21"/>
                      <w:szCs w:val="21"/>
                      <w:highlight w:val="none"/>
                      <w:vertAlign w:val="baseline"/>
                      <w:lang w:val="en-US" w:eastAsia="zh-CN"/>
                    </w:rPr>
                  </w:pPr>
                  <w:r>
                    <w:rPr>
                      <w:rFonts w:hint="eastAsia"/>
                      <w:b/>
                      <w:bCs/>
                      <w:color w:val="auto"/>
                      <w:kern w:val="2"/>
                      <w:sz w:val="21"/>
                      <w:szCs w:val="21"/>
                      <w:highlight w:val="none"/>
                      <w:vertAlign w:val="baseline"/>
                      <w:lang w:val="en-US" w:eastAsia="zh-CN"/>
                    </w:rPr>
                    <w:t>变化情况</w:t>
                  </w:r>
                </w:p>
              </w:tc>
              <w:tc>
                <w:tcPr>
                  <w:tcW w:w="835" w:type="dxa"/>
                  <w:vAlign w:val="center"/>
                </w:tcPr>
                <w:p w14:paraId="42CBA1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kern w:val="2"/>
                      <w:sz w:val="21"/>
                      <w:szCs w:val="21"/>
                      <w:highlight w:val="none"/>
                      <w:vertAlign w:val="baseline"/>
                      <w:lang w:val="en-US" w:eastAsia="zh-CN"/>
                    </w:rPr>
                  </w:pPr>
                  <w:r>
                    <w:rPr>
                      <w:rFonts w:hint="eastAsia"/>
                      <w:b/>
                      <w:bCs/>
                      <w:color w:val="auto"/>
                      <w:kern w:val="2"/>
                      <w:sz w:val="21"/>
                      <w:szCs w:val="21"/>
                      <w:highlight w:val="none"/>
                      <w:vertAlign w:val="baseline"/>
                      <w:lang w:val="en-US" w:eastAsia="zh-CN"/>
                    </w:rPr>
                    <w:t>现有工程</w:t>
                  </w:r>
                </w:p>
              </w:tc>
              <w:tc>
                <w:tcPr>
                  <w:tcW w:w="937" w:type="dxa"/>
                  <w:vAlign w:val="center"/>
                </w:tcPr>
                <w:p w14:paraId="1D194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kern w:val="2"/>
                      <w:sz w:val="21"/>
                      <w:szCs w:val="21"/>
                      <w:highlight w:val="none"/>
                      <w:vertAlign w:val="baseline"/>
                      <w:lang w:val="en-US" w:eastAsia="zh-CN"/>
                    </w:rPr>
                  </w:pPr>
                  <w:r>
                    <w:rPr>
                      <w:rFonts w:hint="eastAsia"/>
                      <w:b/>
                      <w:bCs/>
                      <w:color w:val="auto"/>
                      <w:kern w:val="2"/>
                      <w:sz w:val="21"/>
                      <w:szCs w:val="21"/>
                      <w:highlight w:val="none"/>
                      <w:vertAlign w:val="baseline"/>
                      <w:lang w:val="en-US" w:eastAsia="zh-CN"/>
                    </w:rPr>
                    <w:t>本次技改工程</w:t>
                  </w:r>
                </w:p>
              </w:tc>
              <w:tc>
                <w:tcPr>
                  <w:tcW w:w="909" w:type="dxa"/>
                  <w:vAlign w:val="center"/>
                </w:tcPr>
                <w:p w14:paraId="50D39B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kern w:val="2"/>
                      <w:sz w:val="21"/>
                      <w:szCs w:val="21"/>
                      <w:highlight w:val="none"/>
                      <w:vertAlign w:val="baseline"/>
                      <w:lang w:val="en-US" w:eastAsia="zh-CN"/>
                    </w:rPr>
                  </w:pPr>
                  <w:r>
                    <w:rPr>
                      <w:rFonts w:hint="eastAsia"/>
                      <w:b/>
                      <w:bCs/>
                      <w:color w:val="auto"/>
                      <w:kern w:val="2"/>
                      <w:sz w:val="21"/>
                      <w:szCs w:val="21"/>
                      <w:highlight w:val="none"/>
                      <w:vertAlign w:val="baseline"/>
                      <w:lang w:val="en-US" w:eastAsia="zh-CN"/>
                    </w:rPr>
                    <w:t>变化情况</w:t>
                  </w:r>
                </w:p>
              </w:tc>
            </w:tr>
            <w:tr w14:paraId="17F3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8" w:type="dxa"/>
                  <w:vAlign w:val="center"/>
                </w:tcPr>
                <w:p w14:paraId="588828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vertAlign w:val="baseline"/>
                      <w:lang w:val="en-US" w:eastAsia="zh-CN"/>
                    </w:rPr>
                  </w:pPr>
                  <w:r>
                    <w:rPr>
                      <w:rFonts w:hint="default" w:ascii="Times New Roman" w:hAnsi="Times New Roman" w:cs="Times New Roman"/>
                      <w:color w:val="auto"/>
                      <w:kern w:val="2"/>
                      <w:sz w:val="21"/>
                      <w:szCs w:val="21"/>
                      <w:vertAlign w:val="baseline"/>
                      <w:lang w:val="en-US" w:eastAsia="zh-CN"/>
                    </w:rPr>
                    <w:t>1</w:t>
                  </w:r>
                </w:p>
              </w:tc>
              <w:tc>
                <w:tcPr>
                  <w:tcW w:w="2121" w:type="dxa"/>
                  <w:vAlign w:val="center"/>
                </w:tcPr>
                <w:p w14:paraId="7B9132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vertAlign w:val="baseline"/>
                      <w:lang w:val="en-US" w:eastAsia="zh-CN"/>
                    </w:rPr>
                  </w:pPr>
                  <w:r>
                    <w:rPr>
                      <w:rFonts w:hint="default" w:ascii="Times New Roman" w:hAnsi="Times New Roman" w:cs="Times New Roman"/>
                      <w:b w:val="0"/>
                      <w:bCs/>
                      <w:color w:val="auto"/>
                      <w:sz w:val="21"/>
                      <w:szCs w:val="21"/>
                      <w:highlight w:val="none"/>
                    </w:rPr>
                    <w:t>纯水</w:t>
                  </w:r>
                  <w:r>
                    <w:rPr>
                      <w:rFonts w:hint="default" w:ascii="Times New Roman" w:hAnsi="Times New Roman" w:cs="Times New Roman"/>
                      <w:b w:val="0"/>
                      <w:bCs/>
                      <w:color w:val="auto"/>
                      <w:sz w:val="21"/>
                      <w:szCs w:val="21"/>
                      <w:highlight w:val="none"/>
                      <w:lang w:val="en-US" w:eastAsia="zh-CN"/>
                    </w:rPr>
                    <w:t>制备</w:t>
                  </w:r>
                  <w:r>
                    <w:rPr>
                      <w:rFonts w:hint="default" w:ascii="Times New Roman" w:hAnsi="Times New Roman" w:cs="Times New Roman"/>
                      <w:b w:val="0"/>
                      <w:bCs/>
                      <w:color w:val="auto"/>
                      <w:sz w:val="21"/>
                      <w:szCs w:val="21"/>
                      <w:highlight w:val="none"/>
                    </w:rPr>
                    <w:t>系统</w:t>
                  </w:r>
                  <w:r>
                    <w:rPr>
                      <w:rFonts w:hint="default" w:ascii="Times New Roman" w:hAnsi="Times New Roman" w:cs="Times New Roman"/>
                      <w:b w:val="0"/>
                      <w:bCs/>
                      <w:color w:val="auto"/>
                      <w:sz w:val="21"/>
                      <w:szCs w:val="21"/>
                      <w:highlight w:val="none"/>
                      <w:lang w:val="en-US" w:eastAsia="zh-CN"/>
                    </w:rPr>
                    <w:t>废水</w:t>
                  </w:r>
                </w:p>
              </w:tc>
              <w:tc>
                <w:tcPr>
                  <w:tcW w:w="735" w:type="dxa"/>
                  <w:vAlign w:val="center"/>
                </w:tcPr>
                <w:p w14:paraId="257E97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vertAlign w:val="baseline"/>
                      <w:lang w:val="en-US" w:eastAsia="zh-CN"/>
                    </w:rPr>
                  </w:pPr>
                  <w:r>
                    <w:rPr>
                      <w:rFonts w:hint="default" w:ascii="Times New Roman" w:hAnsi="Times New Roman" w:cs="Times New Roman"/>
                      <w:color w:val="auto"/>
                      <w:kern w:val="2"/>
                      <w:sz w:val="21"/>
                      <w:szCs w:val="21"/>
                      <w:vertAlign w:val="baseline"/>
                      <w:lang w:val="en-US" w:eastAsia="zh-CN"/>
                    </w:rPr>
                    <w:t>3.97</w:t>
                  </w:r>
                </w:p>
              </w:tc>
              <w:tc>
                <w:tcPr>
                  <w:tcW w:w="1050" w:type="dxa"/>
                  <w:vAlign w:val="center"/>
                </w:tcPr>
                <w:p w14:paraId="75D300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vertAlign w:val="baseline"/>
                      <w:lang w:val="en-US" w:eastAsia="zh-CN"/>
                    </w:rPr>
                  </w:pPr>
                  <w:r>
                    <w:rPr>
                      <w:rFonts w:hint="default" w:ascii="Times New Roman" w:hAnsi="Times New Roman" w:cs="Times New Roman"/>
                      <w:color w:val="auto"/>
                      <w:kern w:val="2"/>
                      <w:sz w:val="21"/>
                      <w:szCs w:val="21"/>
                      <w:vertAlign w:val="baseline"/>
                      <w:lang w:val="en-US" w:eastAsia="zh-CN"/>
                    </w:rPr>
                    <w:t>7.51</w:t>
                  </w:r>
                </w:p>
              </w:tc>
              <w:tc>
                <w:tcPr>
                  <w:tcW w:w="943" w:type="dxa"/>
                  <w:vAlign w:val="center"/>
                </w:tcPr>
                <w:p w14:paraId="6F43FF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vertAlign w:val="baseline"/>
                      <w:lang w:val="en-US" w:eastAsia="zh-CN"/>
                    </w:rPr>
                  </w:pPr>
                  <w:r>
                    <w:rPr>
                      <w:rFonts w:hint="default" w:ascii="Times New Roman" w:hAnsi="Times New Roman" w:cs="Times New Roman"/>
                      <w:color w:val="auto"/>
                      <w:kern w:val="2"/>
                      <w:sz w:val="21"/>
                      <w:szCs w:val="21"/>
                      <w:vertAlign w:val="baseline"/>
                      <w:lang w:val="en-US" w:eastAsia="zh-CN"/>
                    </w:rPr>
                    <w:t>+3.54</w:t>
                  </w:r>
                </w:p>
              </w:tc>
              <w:tc>
                <w:tcPr>
                  <w:tcW w:w="835" w:type="dxa"/>
                  <w:vAlign w:val="center"/>
                </w:tcPr>
                <w:p w14:paraId="10D69C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vertAlign w:val="baseline"/>
                      <w:lang w:val="en-US" w:eastAsia="zh-CN"/>
                    </w:rPr>
                  </w:pPr>
                  <w:r>
                    <w:rPr>
                      <w:rFonts w:hint="default" w:ascii="Times New Roman" w:hAnsi="Times New Roman" w:cs="Times New Roman"/>
                      <w:color w:val="auto"/>
                      <w:kern w:val="2"/>
                      <w:sz w:val="21"/>
                      <w:szCs w:val="21"/>
                      <w:vertAlign w:val="baseline"/>
                      <w:lang w:val="en-US" w:eastAsia="zh-CN"/>
                    </w:rPr>
                    <w:t>794</w:t>
                  </w:r>
                </w:p>
              </w:tc>
              <w:tc>
                <w:tcPr>
                  <w:tcW w:w="937" w:type="dxa"/>
                  <w:vAlign w:val="center"/>
                </w:tcPr>
                <w:p w14:paraId="4AA276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vertAlign w:val="baseline"/>
                      <w:lang w:val="en-US" w:eastAsia="zh-CN"/>
                    </w:rPr>
                  </w:pPr>
                  <w:r>
                    <w:rPr>
                      <w:rFonts w:hint="default" w:ascii="Times New Roman" w:hAnsi="Times New Roman" w:cs="Times New Roman"/>
                      <w:color w:val="auto"/>
                      <w:kern w:val="2"/>
                      <w:sz w:val="21"/>
                      <w:szCs w:val="21"/>
                      <w:vertAlign w:val="baseline"/>
                      <w:lang w:val="en-US" w:eastAsia="zh-CN"/>
                    </w:rPr>
                    <w:t>1052</w:t>
                  </w:r>
                </w:p>
              </w:tc>
              <w:tc>
                <w:tcPr>
                  <w:tcW w:w="909" w:type="dxa"/>
                  <w:vAlign w:val="center"/>
                </w:tcPr>
                <w:p w14:paraId="14BADD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vertAlign w:val="baseline"/>
                      <w:lang w:val="en-US" w:eastAsia="zh-CN"/>
                    </w:rPr>
                  </w:pPr>
                  <w:r>
                    <w:rPr>
                      <w:rFonts w:hint="default" w:ascii="Times New Roman" w:hAnsi="Times New Roman" w:cs="Times New Roman"/>
                      <w:color w:val="auto"/>
                      <w:kern w:val="2"/>
                      <w:sz w:val="21"/>
                      <w:szCs w:val="21"/>
                      <w:vertAlign w:val="baseline"/>
                      <w:lang w:val="en-US" w:eastAsia="zh-CN"/>
                    </w:rPr>
                    <w:t>+708</w:t>
                  </w:r>
                </w:p>
              </w:tc>
            </w:tr>
            <w:tr w14:paraId="7A2E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8" w:type="dxa"/>
                  <w:vAlign w:val="center"/>
                </w:tcPr>
                <w:p w14:paraId="4D7895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vertAlign w:val="baseline"/>
                      <w:lang w:val="en-US" w:eastAsia="zh-CN"/>
                    </w:rPr>
                  </w:pPr>
                  <w:r>
                    <w:rPr>
                      <w:rFonts w:hint="default" w:ascii="Times New Roman" w:hAnsi="Times New Roman" w:cs="Times New Roman"/>
                      <w:color w:val="auto"/>
                      <w:kern w:val="2"/>
                      <w:sz w:val="21"/>
                      <w:szCs w:val="21"/>
                      <w:vertAlign w:val="baseline"/>
                      <w:lang w:val="en-US" w:eastAsia="zh-CN"/>
                    </w:rPr>
                    <w:t>2</w:t>
                  </w:r>
                </w:p>
              </w:tc>
              <w:tc>
                <w:tcPr>
                  <w:tcW w:w="2121" w:type="dxa"/>
                  <w:vAlign w:val="center"/>
                </w:tcPr>
                <w:p w14:paraId="022859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default" w:ascii="Times New Roman" w:hAnsi="Times New Roman" w:cs="Times New Roman"/>
                      <w:b w:val="0"/>
                      <w:bCs/>
                      <w:color w:val="auto"/>
                      <w:sz w:val="21"/>
                      <w:szCs w:val="21"/>
                      <w:highlight w:val="none"/>
                      <w:lang w:val="en-US" w:eastAsia="zh-CN"/>
                    </w:rPr>
                    <w:t>锅炉排水</w:t>
                  </w:r>
                </w:p>
              </w:tc>
              <w:tc>
                <w:tcPr>
                  <w:tcW w:w="735" w:type="dxa"/>
                  <w:vAlign w:val="center"/>
                </w:tcPr>
                <w:p w14:paraId="5BC443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0.78</w:t>
                  </w:r>
                </w:p>
              </w:tc>
              <w:tc>
                <w:tcPr>
                  <w:tcW w:w="1050" w:type="dxa"/>
                  <w:vAlign w:val="center"/>
                </w:tcPr>
                <w:p w14:paraId="4614E1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1</w:t>
                  </w:r>
                </w:p>
              </w:tc>
              <w:tc>
                <w:tcPr>
                  <w:tcW w:w="943" w:type="dxa"/>
                  <w:vAlign w:val="center"/>
                </w:tcPr>
                <w:p w14:paraId="3B9EBF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+0.22</w:t>
                  </w:r>
                </w:p>
              </w:tc>
              <w:tc>
                <w:tcPr>
                  <w:tcW w:w="835" w:type="dxa"/>
                  <w:vAlign w:val="center"/>
                </w:tcPr>
                <w:p w14:paraId="09B8E6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31</w:t>
                  </w:r>
                </w:p>
              </w:tc>
              <w:tc>
                <w:tcPr>
                  <w:tcW w:w="937" w:type="dxa"/>
                  <w:vAlign w:val="center"/>
                </w:tcPr>
                <w:p w14:paraId="69D8AC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200</w:t>
                  </w:r>
                </w:p>
              </w:tc>
              <w:tc>
                <w:tcPr>
                  <w:tcW w:w="909" w:type="dxa"/>
                  <w:vAlign w:val="center"/>
                </w:tcPr>
                <w:p w14:paraId="24FFE2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+16</w:t>
                  </w:r>
                  <w:r>
                    <w:rPr>
                      <w:rFonts w:hint="eastAsia" w:ascii="Times New Roman" w:hAnsi="Times New Roman" w:cs="Times New Roman"/>
                      <w:color w:val="auto"/>
                      <w:kern w:val="2"/>
                      <w:sz w:val="21"/>
                      <w:szCs w:val="21"/>
                      <w:highlight w:val="none"/>
                      <w:vertAlign w:val="baseline"/>
                      <w:lang w:val="en-US" w:eastAsia="zh-CN"/>
                    </w:rPr>
                    <w:t>9</w:t>
                  </w:r>
                </w:p>
              </w:tc>
            </w:tr>
            <w:tr w14:paraId="60BD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8" w:type="dxa"/>
                  <w:vAlign w:val="center"/>
                </w:tcPr>
                <w:p w14:paraId="682A92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vertAlign w:val="baseline"/>
                      <w:lang w:val="en-US" w:eastAsia="zh-CN"/>
                    </w:rPr>
                  </w:pPr>
                  <w:r>
                    <w:rPr>
                      <w:rFonts w:hint="eastAsia" w:cs="Times New Roman"/>
                      <w:color w:val="auto"/>
                      <w:kern w:val="2"/>
                      <w:sz w:val="21"/>
                      <w:szCs w:val="21"/>
                      <w:vertAlign w:val="baseline"/>
                      <w:lang w:val="en-US" w:eastAsia="zh-CN"/>
                    </w:rPr>
                    <w:t>3</w:t>
                  </w:r>
                </w:p>
              </w:tc>
              <w:tc>
                <w:tcPr>
                  <w:tcW w:w="2121" w:type="dxa"/>
                  <w:vAlign w:val="center"/>
                </w:tcPr>
                <w:p w14:paraId="014F23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CIP清洗系统</w:t>
                  </w:r>
                  <w:r>
                    <w:rPr>
                      <w:rFonts w:hint="eastAsia" w:cs="Times New Roman"/>
                      <w:b w:val="0"/>
                      <w:bCs/>
                      <w:color w:val="auto"/>
                      <w:sz w:val="21"/>
                      <w:szCs w:val="21"/>
                      <w:highlight w:val="none"/>
                      <w:lang w:val="en-US" w:eastAsia="zh-CN"/>
                    </w:rPr>
                    <w:t>设备清洗废水</w:t>
                  </w:r>
                </w:p>
              </w:tc>
              <w:tc>
                <w:tcPr>
                  <w:tcW w:w="735" w:type="dxa"/>
                  <w:vAlign w:val="center"/>
                </w:tcPr>
                <w:p w14:paraId="425C69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rPr>
                    <w:t>3</w:t>
                  </w:r>
                </w:p>
              </w:tc>
              <w:tc>
                <w:tcPr>
                  <w:tcW w:w="1050" w:type="dxa"/>
                  <w:vAlign w:val="center"/>
                </w:tcPr>
                <w:p w14:paraId="4ADE58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
                      <w:sz w:val="21"/>
                      <w:szCs w:val="21"/>
                      <w:highlight w:val="none"/>
                      <w:vertAlign w:val="baseline"/>
                      <w:lang w:val="en-US" w:eastAsia="zh-CN"/>
                    </w:rPr>
                  </w:pPr>
                  <w:r>
                    <w:rPr>
                      <w:rFonts w:hint="eastAsia" w:cs="Times New Roman"/>
                      <w:b w:val="0"/>
                      <w:bCs w:val="0"/>
                      <w:color w:val="auto"/>
                      <w:kern w:val="2"/>
                      <w:sz w:val="21"/>
                      <w:szCs w:val="21"/>
                      <w:highlight w:val="none"/>
                      <w:vertAlign w:val="baseline"/>
                      <w:lang w:val="en-US" w:eastAsia="zh-CN"/>
                    </w:rPr>
                    <w:t>3</w:t>
                  </w:r>
                </w:p>
              </w:tc>
              <w:tc>
                <w:tcPr>
                  <w:tcW w:w="943" w:type="dxa"/>
                  <w:vAlign w:val="center"/>
                </w:tcPr>
                <w:p w14:paraId="29306A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rPr>
                    <w:t>0</w:t>
                  </w:r>
                </w:p>
              </w:tc>
              <w:tc>
                <w:tcPr>
                  <w:tcW w:w="835" w:type="dxa"/>
                  <w:vAlign w:val="center"/>
                </w:tcPr>
                <w:p w14:paraId="725172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rPr>
                    <w:t>108</w:t>
                  </w:r>
                </w:p>
              </w:tc>
              <w:tc>
                <w:tcPr>
                  <w:tcW w:w="937" w:type="dxa"/>
                  <w:vAlign w:val="center"/>
                </w:tcPr>
                <w:p w14:paraId="6D2F3C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rPr>
                    <w:t>540</w:t>
                  </w:r>
                </w:p>
              </w:tc>
              <w:tc>
                <w:tcPr>
                  <w:tcW w:w="909" w:type="dxa"/>
                  <w:vAlign w:val="center"/>
                </w:tcPr>
                <w:p w14:paraId="460C6B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rPr>
                    <w:t>+432</w:t>
                  </w:r>
                </w:p>
              </w:tc>
            </w:tr>
            <w:tr w14:paraId="3272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689" w:type="dxa"/>
                  <w:gridSpan w:val="2"/>
                  <w:vAlign w:val="center"/>
                </w:tcPr>
                <w:p w14:paraId="18341F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合计</w:t>
                  </w:r>
                </w:p>
              </w:tc>
              <w:tc>
                <w:tcPr>
                  <w:tcW w:w="735" w:type="dxa"/>
                  <w:vAlign w:val="center"/>
                </w:tcPr>
                <w:p w14:paraId="575A32A7">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7.75</w:t>
                  </w:r>
                </w:p>
              </w:tc>
              <w:tc>
                <w:tcPr>
                  <w:tcW w:w="1050" w:type="dxa"/>
                  <w:vAlign w:val="center"/>
                </w:tcPr>
                <w:p w14:paraId="354613E8">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11.51</w:t>
                  </w:r>
                </w:p>
              </w:tc>
              <w:tc>
                <w:tcPr>
                  <w:tcW w:w="943" w:type="dxa"/>
                  <w:vAlign w:val="center"/>
                </w:tcPr>
                <w:p w14:paraId="6C03FD72">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3.76</w:t>
                  </w:r>
                </w:p>
              </w:tc>
              <w:tc>
                <w:tcPr>
                  <w:tcW w:w="835" w:type="dxa"/>
                  <w:vAlign w:val="center"/>
                </w:tcPr>
                <w:p w14:paraId="099604BC">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933</w:t>
                  </w:r>
                </w:p>
              </w:tc>
              <w:tc>
                <w:tcPr>
                  <w:tcW w:w="937" w:type="dxa"/>
                  <w:vAlign w:val="center"/>
                </w:tcPr>
                <w:p w14:paraId="3A37CA65">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1792</w:t>
                  </w:r>
                </w:p>
              </w:tc>
              <w:tc>
                <w:tcPr>
                  <w:tcW w:w="909" w:type="dxa"/>
                  <w:vAlign w:val="center"/>
                </w:tcPr>
                <w:p w14:paraId="6A649DAB">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1309</w:t>
                  </w:r>
                </w:p>
              </w:tc>
            </w:tr>
            <w:tr w14:paraId="4D92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098" w:type="dxa"/>
                  <w:gridSpan w:val="8"/>
                  <w:vAlign w:val="center"/>
                </w:tcPr>
                <w:p w14:paraId="67E6818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color w:val="auto"/>
                      <w:kern w:val="2"/>
                      <w:sz w:val="21"/>
                      <w:szCs w:val="21"/>
                      <w:highlight w:val="none"/>
                      <w:vertAlign w:val="baseline"/>
                      <w:lang w:val="en-US" w:eastAsia="zh-CN"/>
                    </w:rPr>
                  </w:pPr>
                  <w:r>
                    <w:rPr>
                      <w:rFonts w:hint="eastAsia"/>
                      <w:color w:val="auto"/>
                      <w:kern w:val="2"/>
                      <w:sz w:val="21"/>
                      <w:szCs w:val="21"/>
                      <w:highlight w:val="none"/>
                      <w:vertAlign w:val="baseline"/>
                      <w:lang w:val="en-US" w:eastAsia="zh-CN"/>
                    </w:rPr>
                    <w:t>注：锅炉、杀菌机技改前年运行时间为40d，技改后为200d。</w:t>
                  </w:r>
                </w:p>
              </w:tc>
            </w:tr>
          </w:tbl>
          <w:p w14:paraId="2CE550C9">
            <w:pPr>
              <w:pStyle w:val="17"/>
              <w:rPr>
                <w:rFonts w:hint="eastAsia"/>
                <w:color w:val="auto"/>
                <w:lang w:val="en-US" w:eastAsia="zh-CN"/>
              </w:rPr>
            </w:pPr>
          </w:p>
          <w:p w14:paraId="37F7F52E">
            <w:pPr>
              <w:ind w:firstLine="480" w:firstLineChars="200"/>
              <w:rPr>
                <w:rFonts w:hint="default"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本次技改前后生产废水进入各污染治理设施水量对比情况详见下表。</w:t>
            </w:r>
          </w:p>
          <w:p w14:paraId="3F0433A8">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2" w:firstLineChars="200"/>
              <w:jc w:val="center"/>
              <w:textAlignment w:val="auto"/>
              <w:rPr>
                <w:rFonts w:hint="eastAsia"/>
                <w:color w:val="auto"/>
                <w:kern w:val="2"/>
                <w:sz w:val="24"/>
                <w:szCs w:val="24"/>
                <w:lang w:val="en-US" w:eastAsia="zh-CN"/>
              </w:rPr>
            </w:pPr>
            <w:r>
              <w:rPr>
                <w:b/>
                <w:bCs/>
                <w:color w:val="auto"/>
                <w:szCs w:val="21"/>
                <w:highlight w:val="none"/>
              </w:rPr>
              <w:t>表2-</w:t>
            </w:r>
            <w:r>
              <w:rPr>
                <w:rFonts w:hint="eastAsia"/>
                <w:b/>
                <w:bCs/>
                <w:color w:val="auto"/>
                <w:szCs w:val="21"/>
                <w:highlight w:val="none"/>
                <w:lang w:val="en-US" w:eastAsia="zh-CN"/>
              </w:rPr>
              <w:t xml:space="preserve">12  </w:t>
            </w:r>
            <w:r>
              <w:rPr>
                <w:rFonts w:hint="eastAsia"/>
                <w:b/>
                <w:bCs/>
                <w:color w:val="auto"/>
                <w:szCs w:val="21"/>
                <w:lang w:val="en-US" w:eastAsia="zh-CN"/>
              </w:rPr>
              <w:t>技改前后生产废水进入各污染治理设施水量对比情况</w:t>
            </w:r>
            <w:r>
              <w:rPr>
                <w:rFonts w:hint="eastAsia"/>
                <w:b/>
                <w:bCs/>
                <w:color w:val="auto"/>
                <w:szCs w:val="21"/>
              </w:rPr>
              <w:t>一览表</w:t>
            </w:r>
          </w:p>
          <w:tbl>
            <w:tblPr>
              <w:tblStyle w:val="23"/>
              <w:tblW w:w="8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2514"/>
              <w:gridCol w:w="1623"/>
              <w:gridCol w:w="1895"/>
              <w:gridCol w:w="1215"/>
            </w:tblGrid>
            <w:tr w14:paraId="7D63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823" w:type="dxa"/>
                  <w:vMerge w:val="restart"/>
                  <w:vAlign w:val="center"/>
                </w:tcPr>
                <w:p w14:paraId="0F46A2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kern w:val="2"/>
                      <w:sz w:val="21"/>
                      <w:szCs w:val="21"/>
                      <w:vertAlign w:val="baseline"/>
                      <w:lang w:val="en-US" w:eastAsia="zh-CN"/>
                    </w:rPr>
                  </w:pPr>
                  <w:r>
                    <w:rPr>
                      <w:rFonts w:hint="eastAsia"/>
                      <w:b/>
                      <w:bCs/>
                      <w:color w:val="auto"/>
                      <w:kern w:val="2"/>
                      <w:sz w:val="21"/>
                      <w:szCs w:val="21"/>
                      <w:vertAlign w:val="baseline"/>
                      <w:lang w:val="en-US" w:eastAsia="zh-CN"/>
                    </w:rPr>
                    <w:t>序号</w:t>
                  </w:r>
                </w:p>
              </w:tc>
              <w:tc>
                <w:tcPr>
                  <w:tcW w:w="2514" w:type="dxa"/>
                  <w:vMerge w:val="restart"/>
                  <w:vAlign w:val="center"/>
                </w:tcPr>
                <w:p w14:paraId="460649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kern w:val="2"/>
                      <w:sz w:val="21"/>
                      <w:szCs w:val="21"/>
                      <w:highlight w:val="none"/>
                      <w:vertAlign w:val="baseline"/>
                      <w:lang w:val="en-US" w:eastAsia="zh-CN"/>
                    </w:rPr>
                  </w:pPr>
                  <w:r>
                    <w:rPr>
                      <w:rFonts w:hint="eastAsia"/>
                      <w:b/>
                      <w:bCs/>
                      <w:color w:val="auto"/>
                      <w:kern w:val="2"/>
                      <w:sz w:val="21"/>
                      <w:szCs w:val="21"/>
                      <w:highlight w:val="none"/>
                      <w:vertAlign w:val="baseline"/>
                      <w:lang w:val="en-US" w:eastAsia="zh-CN"/>
                    </w:rPr>
                    <w:t>污染治理设施名称</w:t>
                  </w:r>
                </w:p>
              </w:tc>
              <w:tc>
                <w:tcPr>
                  <w:tcW w:w="4733" w:type="dxa"/>
                  <w:gridSpan w:val="3"/>
                  <w:vAlign w:val="center"/>
                </w:tcPr>
                <w:p w14:paraId="5DAD9D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kern w:val="2"/>
                      <w:sz w:val="21"/>
                      <w:szCs w:val="21"/>
                      <w:highlight w:val="none"/>
                      <w:vertAlign w:val="baseline"/>
                      <w:lang w:val="en-US" w:eastAsia="zh-CN"/>
                    </w:rPr>
                  </w:pPr>
                  <w:r>
                    <w:rPr>
                      <w:rFonts w:hint="eastAsia"/>
                      <w:b/>
                      <w:bCs/>
                      <w:color w:val="auto"/>
                      <w:kern w:val="2"/>
                      <w:sz w:val="21"/>
                      <w:szCs w:val="21"/>
                      <w:highlight w:val="none"/>
                      <w:vertAlign w:val="baseline"/>
                      <w:lang w:val="en-US" w:eastAsia="zh-CN"/>
                    </w:rPr>
                    <w:t>废水量（m</w:t>
                  </w:r>
                  <w:r>
                    <w:rPr>
                      <w:rFonts w:hint="eastAsia"/>
                      <w:b/>
                      <w:bCs/>
                      <w:color w:val="auto"/>
                      <w:kern w:val="2"/>
                      <w:sz w:val="21"/>
                      <w:szCs w:val="21"/>
                      <w:highlight w:val="none"/>
                      <w:vertAlign w:val="superscript"/>
                      <w:lang w:val="en-US" w:eastAsia="zh-CN"/>
                    </w:rPr>
                    <w:t>3</w:t>
                  </w:r>
                  <w:r>
                    <w:rPr>
                      <w:rFonts w:hint="eastAsia"/>
                      <w:b/>
                      <w:bCs/>
                      <w:color w:val="auto"/>
                      <w:kern w:val="2"/>
                      <w:sz w:val="21"/>
                      <w:szCs w:val="21"/>
                      <w:highlight w:val="none"/>
                      <w:vertAlign w:val="baseline"/>
                      <w:lang w:val="en-US" w:eastAsia="zh-CN"/>
                    </w:rPr>
                    <w:t>/d）</w:t>
                  </w:r>
                </w:p>
              </w:tc>
            </w:tr>
            <w:tr w14:paraId="7758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823" w:type="dxa"/>
                  <w:vMerge w:val="continue"/>
                  <w:vAlign w:val="center"/>
                </w:tcPr>
                <w:p w14:paraId="30EB20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kern w:val="2"/>
                      <w:sz w:val="21"/>
                      <w:szCs w:val="21"/>
                      <w:vertAlign w:val="baseline"/>
                      <w:lang w:val="en-US" w:eastAsia="zh-CN"/>
                    </w:rPr>
                  </w:pPr>
                </w:p>
              </w:tc>
              <w:tc>
                <w:tcPr>
                  <w:tcW w:w="2514" w:type="dxa"/>
                  <w:vMerge w:val="continue"/>
                  <w:vAlign w:val="center"/>
                </w:tcPr>
                <w:p w14:paraId="6EDFCD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kern w:val="2"/>
                      <w:sz w:val="21"/>
                      <w:szCs w:val="21"/>
                      <w:highlight w:val="none"/>
                      <w:vertAlign w:val="baseline"/>
                      <w:lang w:val="en-US" w:eastAsia="zh-CN"/>
                    </w:rPr>
                  </w:pPr>
                </w:p>
              </w:tc>
              <w:tc>
                <w:tcPr>
                  <w:tcW w:w="1623" w:type="dxa"/>
                  <w:vAlign w:val="center"/>
                </w:tcPr>
                <w:p w14:paraId="6FEB33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kern w:val="2"/>
                      <w:sz w:val="21"/>
                      <w:szCs w:val="21"/>
                      <w:highlight w:val="none"/>
                      <w:vertAlign w:val="baseline"/>
                      <w:lang w:val="en-US" w:eastAsia="zh-CN"/>
                    </w:rPr>
                  </w:pPr>
                  <w:r>
                    <w:rPr>
                      <w:rFonts w:hint="eastAsia"/>
                      <w:b/>
                      <w:bCs/>
                      <w:color w:val="auto"/>
                      <w:kern w:val="2"/>
                      <w:sz w:val="21"/>
                      <w:szCs w:val="21"/>
                      <w:highlight w:val="none"/>
                      <w:vertAlign w:val="baseline"/>
                      <w:lang w:val="en-US" w:eastAsia="zh-CN"/>
                    </w:rPr>
                    <w:t>现有工程</w:t>
                  </w:r>
                </w:p>
              </w:tc>
              <w:tc>
                <w:tcPr>
                  <w:tcW w:w="1895" w:type="dxa"/>
                  <w:vAlign w:val="center"/>
                </w:tcPr>
                <w:p w14:paraId="0EDF9B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kern w:val="2"/>
                      <w:sz w:val="21"/>
                      <w:szCs w:val="21"/>
                      <w:highlight w:val="none"/>
                      <w:vertAlign w:val="baseline"/>
                      <w:lang w:val="en-US" w:eastAsia="zh-CN"/>
                    </w:rPr>
                  </w:pPr>
                  <w:r>
                    <w:rPr>
                      <w:rFonts w:hint="eastAsia"/>
                      <w:b/>
                      <w:bCs/>
                      <w:color w:val="auto"/>
                      <w:kern w:val="2"/>
                      <w:sz w:val="21"/>
                      <w:szCs w:val="21"/>
                      <w:highlight w:val="none"/>
                      <w:vertAlign w:val="baseline"/>
                      <w:lang w:val="en-US" w:eastAsia="zh-CN"/>
                    </w:rPr>
                    <w:t>本次技改工程</w:t>
                  </w:r>
                </w:p>
              </w:tc>
              <w:tc>
                <w:tcPr>
                  <w:tcW w:w="1215" w:type="dxa"/>
                  <w:vAlign w:val="center"/>
                </w:tcPr>
                <w:p w14:paraId="4BAAF3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kern w:val="2"/>
                      <w:sz w:val="21"/>
                      <w:szCs w:val="21"/>
                      <w:highlight w:val="none"/>
                      <w:vertAlign w:val="baseline"/>
                      <w:lang w:val="en-US" w:eastAsia="zh-CN"/>
                    </w:rPr>
                  </w:pPr>
                  <w:r>
                    <w:rPr>
                      <w:rFonts w:hint="eastAsia"/>
                      <w:b/>
                      <w:bCs/>
                      <w:color w:val="auto"/>
                      <w:kern w:val="2"/>
                      <w:sz w:val="21"/>
                      <w:szCs w:val="21"/>
                      <w:highlight w:val="none"/>
                      <w:vertAlign w:val="baseline"/>
                      <w:lang w:val="en-US" w:eastAsia="zh-CN"/>
                    </w:rPr>
                    <w:t>变化情况</w:t>
                  </w:r>
                </w:p>
              </w:tc>
            </w:tr>
            <w:tr w14:paraId="4B46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3" w:type="dxa"/>
                  <w:vAlign w:val="center"/>
                </w:tcPr>
                <w:p w14:paraId="703AE2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1</w:t>
                  </w:r>
                </w:p>
              </w:tc>
              <w:tc>
                <w:tcPr>
                  <w:tcW w:w="2514" w:type="dxa"/>
                  <w:vAlign w:val="center"/>
                </w:tcPr>
                <w:p w14:paraId="1232D2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沉淀池（调节+气浮沉淀）</w:t>
                  </w:r>
                </w:p>
              </w:tc>
              <w:tc>
                <w:tcPr>
                  <w:tcW w:w="1623" w:type="dxa"/>
                  <w:vAlign w:val="center"/>
                </w:tcPr>
                <w:p w14:paraId="0DE067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34.14</w:t>
                  </w:r>
                </w:p>
              </w:tc>
              <w:tc>
                <w:tcPr>
                  <w:tcW w:w="1895" w:type="dxa"/>
                  <w:vAlign w:val="center"/>
                </w:tcPr>
                <w:p w14:paraId="1ECF81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37.9</w:t>
                  </w:r>
                </w:p>
              </w:tc>
              <w:tc>
                <w:tcPr>
                  <w:tcW w:w="1215" w:type="dxa"/>
                  <w:vAlign w:val="center"/>
                </w:tcPr>
                <w:p w14:paraId="1E645E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3.76</w:t>
                  </w:r>
                </w:p>
              </w:tc>
            </w:tr>
            <w:tr w14:paraId="465D0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194C0F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vertAlign w:val="baseline"/>
                      <w:lang w:val="en-US" w:eastAsia="zh-CN"/>
                    </w:rPr>
                  </w:pPr>
                  <w:r>
                    <w:rPr>
                      <w:rFonts w:hint="eastAsia"/>
                      <w:color w:val="auto"/>
                      <w:kern w:val="2"/>
                      <w:sz w:val="21"/>
                      <w:szCs w:val="21"/>
                      <w:vertAlign w:val="baseline"/>
                      <w:lang w:val="en-US" w:eastAsia="zh-CN"/>
                    </w:rPr>
                    <w:t>2</w:t>
                  </w:r>
                </w:p>
              </w:tc>
              <w:tc>
                <w:tcPr>
                  <w:tcW w:w="2514" w:type="dxa"/>
                  <w:vAlign w:val="center"/>
                </w:tcPr>
                <w:p w14:paraId="06DF26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highlight w:val="none"/>
                      <w:vertAlign w:val="baseline"/>
                      <w:lang w:val="en-US" w:eastAsia="zh-CN"/>
                    </w:rPr>
                  </w:pPr>
                  <w:r>
                    <w:rPr>
                      <w:rFonts w:hint="eastAsia"/>
                      <w:color w:val="auto"/>
                      <w:kern w:val="2"/>
                      <w:sz w:val="21"/>
                      <w:szCs w:val="21"/>
                      <w:highlight w:val="none"/>
                      <w:vertAlign w:val="baseline"/>
                      <w:lang w:val="en-US" w:eastAsia="zh-CN"/>
                    </w:rPr>
                    <w:t>自建一体化污水处理站</w:t>
                  </w:r>
                </w:p>
              </w:tc>
              <w:tc>
                <w:tcPr>
                  <w:tcW w:w="1623" w:type="dxa"/>
                  <w:vAlign w:val="center"/>
                </w:tcPr>
                <w:p w14:paraId="154078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highlight w:val="none"/>
                      <w:vertAlign w:val="baseline"/>
                      <w:lang w:val="en-US" w:eastAsia="zh-CN"/>
                    </w:rPr>
                  </w:pPr>
                  <w:r>
                    <w:rPr>
                      <w:rFonts w:hint="eastAsia"/>
                      <w:color w:val="auto"/>
                      <w:kern w:val="2"/>
                      <w:sz w:val="21"/>
                      <w:szCs w:val="21"/>
                      <w:highlight w:val="none"/>
                      <w:vertAlign w:val="baseline"/>
                      <w:lang w:val="en-US" w:eastAsia="zh-CN"/>
                    </w:rPr>
                    <w:t>12.01</w:t>
                  </w:r>
                </w:p>
              </w:tc>
              <w:tc>
                <w:tcPr>
                  <w:tcW w:w="1895" w:type="dxa"/>
                  <w:vAlign w:val="center"/>
                </w:tcPr>
                <w:p w14:paraId="23023E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rPr>
                    <w:t>12.01</w:t>
                  </w:r>
                </w:p>
              </w:tc>
              <w:tc>
                <w:tcPr>
                  <w:tcW w:w="1215" w:type="dxa"/>
                  <w:vAlign w:val="center"/>
                </w:tcPr>
                <w:p w14:paraId="48B03C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highlight w:val="none"/>
                      <w:vertAlign w:val="baseline"/>
                      <w:lang w:val="en-US" w:eastAsia="zh-CN"/>
                    </w:rPr>
                  </w:pPr>
                  <w:r>
                    <w:rPr>
                      <w:rFonts w:hint="eastAsia"/>
                      <w:color w:val="auto"/>
                      <w:kern w:val="2"/>
                      <w:sz w:val="21"/>
                      <w:szCs w:val="21"/>
                      <w:highlight w:val="none"/>
                      <w:vertAlign w:val="baseline"/>
                      <w:lang w:val="en-US" w:eastAsia="zh-CN"/>
                    </w:rPr>
                    <w:t>0</w:t>
                  </w:r>
                </w:p>
              </w:tc>
            </w:tr>
          </w:tbl>
          <w:p w14:paraId="07CB575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b/>
                <w:bCs/>
                <w:color w:val="auto"/>
                <w:sz w:val="24"/>
                <w:lang w:val="en-US" w:eastAsia="zh-CN"/>
              </w:rPr>
            </w:pPr>
            <w:r>
              <w:rPr>
                <w:rFonts w:hint="eastAsia"/>
                <w:b/>
                <w:bCs/>
                <w:color w:val="auto"/>
                <w:sz w:val="24"/>
                <w:lang w:val="en-US" w:eastAsia="zh-CN"/>
              </w:rPr>
              <w:t>9、蒸汽平衡</w:t>
            </w:r>
          </w:p>
          <w:p w14:paraId="309A6ABC">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left"/>
              <w:textAlignment w:val="auto"/>
              <w:rPr>
                <w:rFonts w:hint="default"/>
                <w:color w:val="auto"/>
                <w:highlight w:val="yellow"/>
                <w:lang w:val="en-US"/>
              </w:rPr>
            </w:pPr>
            <w:r>
              <w:rPr>
                <w:rFonts w:hint="eastAsia" w:cs="Times New Roman"/>
                <w:bCs/>
                <w:i w:val="0"/>
                <w:iCs/>
                <w:color w:val="auto"/>
                <w:sz w:val="24"/>
                <w:szCs w:val="24"/>
                <w:lang w:val="en-US" w:eastAsia="zh-CN"/>
              </w:rPr>
              <w:t>本次技改拟将现有2t/h生物质锅炉拆除，更换为1台2.2t/h的生物质锅炉，为高温灭菌工序提供蒸汽</w:t>
            </w:r>
            <w:r>
              <w:rPr>
                <w:rFonts w:hint="eastAsia" w:cs="Times New Roman"/>
                <w:b w:val="0"/>
                <w:bCs w:val="0"/>
                <w:color w:val="auto"/>
                <w:sz w:val="24"/>
                <w:szCs w:val="24"/>
                <w:highlight w:val="none"/>
                <w:lang w:val="en-US" w:eastAsia="zh-CN"/>
              </w:rPr>
              <w:t>。本次技改前后</w:t>
            </w:r>
            <w:r>
              <w:rPr>
                <w:rFonts w:ascii="Times New Roman" w:hAnsi="Times New Roman"/>
                <w:bCs/>
                <w:color w:val="auto"/>
                <w:sz w:val="24"/>
                <w:szCs w:val="24"/>
              </w:rPr>
              <w:t>生产期间</w:t>
            </w:r>
            <w:r>
              <w:rPr>
                <w:rFonts w:hint="eastAsia" w:ascii="Times New Roman" w:hAnsi="Times New Roman"/>
                <w:bCs/>
                <w:color w:val="auto"/>
                <w:sz w:val="24"/>
                <w:szCs w:val="24"/>
                <w:lang w:val="en-US" w:eastAsia="zh-CN"/>
              </w:rPr>
              <w:t>蒸汽使用</w:t>
            </w:r>
            <w:r>
              <w:rPr>
                <w:rFonts w:ascii="Times New Roman" w:hAnsi="Times New Roman"/>
                <w:bCs/>
                <w:color w:val="auto"/>
                <w:sz w:val="24"/>
                <w:szCs w:val="24"/>
              </w:rPr>
              <w:t>情况见下</w:t>
            </w:r>
            <w:r>
              <w:rPr>
                <w:rFonts w:ascii="Times New Roman" w:hAnsi="Times New Roman"/>
                <w:bCs/>
                <w:color w:val="auto"/>
                <w:sz w:val="24"/>
                <w:szCs w:val="24"/>
                <w:highlight w:val="none"/>
              </w:rPr>
              <w:t>表</w:t>
            </w:r>
            <w:r>
              <w:rPr>
                <w:rFonts w:hint="eastAsia" w:ascii="Times New Roman" w:hAnsi="Times New Roman"/>
                <w:bCs/>
                <w:color w:val="auto"/>
                <w:sz w:val="24"/>
                <w:szCs w:val="24"/>
                <w:highlight w:val="none"/>
                <w:lang w:val="en-US" w:eastAsia="zh-CN"/>
              </w:rPr>
              <w:t>2-</w:t>
            </w:r>
            <w:r>
              <w:rPr>
                <w:rFonts w:hint="eastAsia"/>
                <w:bCs/>
                <w:color w:val="auto"/>
                <w:sz w:val="24"/>
                <w:szCs w:val="24"/>
                <w:highlight w:val="none"/>
                <w:lang w:val="en-US" w:eastAsia="zh-CN"/>
              </w:rPr>
              <w:t>13</w:t>
            </w:r>
            <w:r>
              <w:rPr>
                <w:rFonts w:ascii="Times New Roman" w:hAnsi="Times New Roman"/>
                <w:bCs/>
                <w:color w:val="auto"/>
                <w:sz w:val="24"/>
                <w:szCs w:val="24"/>
                <w:highlight w:val="none"/>
              </w:rPr>
              <w:t>，</w:t>
            </w:r>
            <w:r>
              <w:rPr>
                <w:rFonts w:hint="eastAsia"/>
                <w:bCs/>
                <w:color w:val="auto"/>
                <w:sz w:val="24"/>
                <w:szCs w:val="24"/>
                <w:highlight w:val="none"/>
                <w:lang w:val="en-US" w:eastAsia="zh-CN"/>
              </w:rPr>
              <w:t>技改后</w:t>
            </w:r>
            <w:r>
              <w:rPr>
                <w:rFonts w:ascii="Times New Roman" w:hAnsi="Times New Roman"/>
                <w:bCs/>
                <w:color w:val="auto"/>
                <w:sz w:val="24"/>
                <w:szCs w:val="24"/>
                <w:highlight w:val="none"/>
              </w:rPr>
              <w:t>蒸汽平衡见图</w:t>
            </w:r>
            <w:r>
              <w:rPr>
                <w:rFonts w:hint="eastAsia" w:ascii="Times New Roman" w:hAnsi="Times New Roman"/>
                <w:bCs/>
                <w:color w:val="auto"/>
                <w:sz w:val="24"/>
                <w:szCs w:val="24"/>
                <w:highlight w:val="none"/>
                <w:lang w:val="en-US" w:eastAsia="zh-CN"/>
              </w:rPr>
              <w:t>2-</w:t>
            </w:r>
            <w:r>
              <w:rPr>
                <w:rFonts w:hint="eastAsia"/>
                <w:bCs/>
                <w:color w:val="auto"/>
                <w:sz w:val="24"/>
                <w:szCs w:val="24"/>
                <w:highlight w:val="none"/>
                <w:lang w:val="en-US" w:eastAsia="zh-CN"/>
              </w:rPr>
              <w:t>2。</w:t>
            </w:r>
          </w:p>
          <w:p w14:paraId="7AA8C591">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eastAsia="宋体"/>
                <w:b/>
                <w:bCs/>
                <w:color w:val="auto"/>
                <w:sz w:val="21"/>
                <w:szCs w:val="21"/>
                <w:lang w:val="en-US" w:eastAsia="zh-CN"/>
              </w:rPr>
            </w:pPr>
            <w:r>
              <w:rPr>
                <w:rFonts w:hint="eastAsia"/>
                <w:b/>
                <w:bCs/>
                <w:color w:val="auto"/>
                <w:sz w:val="21"/>
                <w:szCs w:val="21"/>
                <w:highlight w:val="none"/>
                <w:lang w:val="en-US" w:eastAsia="zh-CN"/>
              </w:rPr>
              <w:t>表2-13 技改前后蒸</w:t>
            </w:r>
            <w:r>
              <w:rPr>
                <w:rFonts w:hint="eastAsia"/>
                <w:b/>
                <w:bCs/>
                <w:color w:val="auto"/>
                <w:sz w:val="21"/>
                <w:szCs w:val="21"/>
                <w:lang w:val="en-US" w:eastAsia="zh-CN"/>
              </w:rPr>
              <w:t>汽使用情况一览表</w:t>
            </w:r>
          </w:p>
          <w:tbl>
            <w:tblPr>
              <w:tblStyle w:val="23"/>
              <w:tblW w:w="8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
              <w:gridCol w:w="1350"/>
              <w:gridCol w:w="1025"/>
              <w:gridCol w:w="1225"/>
              <w:gridCol w:w="863"/>
              <w:gridCol w:w="1172"/>
              <w:gridCol w:w="1090"/>
              <w:gridCol w:w="915"/>
            </w:tblGrid>
            <w:tr w14:paraId="0E71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79" w:type="dxa"/>
                  <w:vMerge w:val="restart"/>
                  <w:vAlign w:val="center"/>
                </w:tcPr>
                <w:p w14:paraId="237AD3A0">
                  <w:pPr>
                    <w:jc w:val="center"/>
                    <w:rPr>
                      <w:rFonts w:hint="eastAsia" w:eastAsia="宋体"/>
                      <w:b/>
                      <w:bCs/>
                      <w:color w:val="auto"/>
                      <w:vertAlign w:val="baseline"/>
                      <w:lang w:val="en-US" w:eastAsia="zh-CN"/>
                    </w:rPr>
                  </w:pPr>
                  <w:r>
                    <w:rPr>
                      <w:rFonts w:hint="eastAsia"/>
                      <w:b/>
                      <w:bCs/>
                      <w:color w:val="auto"/>
                      <w:vertAlign w:val="baseline"/>
                      <w:lang w:val="en-US" w:eastAsia="zh-CN"/>
                    </w:rPr>
                    <w:t>序号</w:t>
                  </w:r>
                </w:p>
              </w:tc>
              <w:tc>
                <w:tcPr>
                  <w:tcW w:w="1350" w:type="dxa"/>
                  <w:vMerge w:val="restart"/>
                  <w:vAlign w:val="center"/>
                </w:tcPr>
                <w:p w14:paraId="256A8D23">
                  <w:pPr>
                    <w:jc w:val="center"/>
                    <w:rPr>
                      <w:rFonts w:hint="default" w:eastAsia="宋体"/>
                      <w:b/>
                      <w:bCs/>
                      <w:color w:val="auto"/>
                      <w:vertAlign w:val="baseline"/>
                      <w:lang w:val="en-US" w:eastAsia="zh-CN"/>
                    </w:rPr>
                  </w:pPr>
                  <w:r>
                    <w:rPr>
                      <w:rFonts w:hint="eastAsia"/>
                      <w:b/>
                      <w:bCs/>
                      <w:color w:val="auto"/>
                      <w:vertAlign w:val="baseline"/>
                      <w:lang w:val="en-US" w:eastAsia="zh-CN"/>
                    </w:rPr>
                    <w:t>用气环节</w:t>
                  </w:r>
                </w:p>
              </w:tc>
              <w:tc>
                <w:tcPr>
                  <w:tcW w:w="3113" w:type="dxa"/>
                  <w:gridSpan w:val="3"/>
                  <w:vAlign w:val="center"/>
                </w:tcPr>
                <w:p w14:paraId="6C01DB51">
                  <w:pPr>
                    <w:jc w:val="center"/>
                    <w:rPr>
                      <w:rFonts w:hint="eastAsia"/>
                      <w:b/>
                      <w:bCs/>
                      <w:color w:val="auto"/>
                      <w:vertAlign w:val="baseline"/>
                      <w:lang w:val="en-US" w:eastAsia="zh-CN"/>
                    </w:rPr>
                  </w:pPr>
                  <w:r>
                    <w:rPr>
                      <w:rFonts w:hint="eastAsia"/>
                      <w:b/>
                      <w:bCs/>
                      <w:color w:val="auto"/>
                      <w:vertAlign w:val="baseline"/>
                      <w:lang w:val="en-US" w:eastAsia="zh-CN"/>
                    </w:rPr>
                    <w:t>小时蒸汽用量（</w:t>
                  </w:r>
                  <w:r>
                    <w:rPr>
                      <w:rFonts w:ascii="Times New Roman" w:hAnsi="Times New Roman"/>
                      <w:b/>
                      <w:bCs/>
                      <w:color w:val="auto"/>
                      <w:sz w:val="21"/>
                      <w:szCs w:val="21"/>
                    </w:rPr>
                    <w:t>t/h</w:t>
                  </w:r>
                  <w:r>
                    <w:rPr>
                      <w:rFonts w:hint="eastAsia"/>
                      <w:b/>
                      <w:bCs/>
                      <w:color w:val="auto"/>
                      <w:vertAlign w:val="baseline"/>
                      <w:lang w:val="en-US" w:eastAsia="zh-CN"/>
                    </w:rPr>
                    <w:t>）</w:t>
                  </w:r>
                </w:p>
              </w:tc>
              <w:tc>
                <w:tcPr>
                  <w:tcW w:w="3177" w:type="dxa"/>
                  <w:gridSpan w:val="3"/>
                  <w:vAlign w:val="center"/>
                </w:tcPr>
                <w:p w14:paraId="7555DC71">
                  <w:pPr>
                    <w:jc w:val="center"/>
                    <w:rPr>
                      <w:rFonts w:hint="default" w:eastAsia="宋体"/>
                      <w:b/>
                      <w:bCs/>
                      <w:color w:val="auto"/>
                      <w:vertAlign w:val="baseline"/>
                      <w:lang w:val="en-US" w:eastAsia="zh-CN"/>
                    </w:rPr>
                  </w:pPr>
                  <w:r>
                    <w:rPr>
                      <w:rFonts w:hint="eastAsia"/>
                      <w:b/>
                      <w:bCs/>
                      <w:color w:val="auto"/>
                      <w:vertAlign w:val="baseline"/>
                      <w:lang w:val="en-US" w:eastAsia="zh-CN"/>
                    </w:rPr>
                    <w:t>日蒸汽用量</w:t>
                  </w:r>
                  <w:r>
                    <w:rPr>
                      <w:rFonts w:ascii="Times New Roman" w:hAnsi="Times New Roman"/>
                      <w:b/>
                      <w:bCs/>
                      <w:color w:val="auto"/>
                      <w:sz w:val="21"/>
                      <w:szCs w:val="21"/>
                    </w:rPr>
                    <w:t>t/d</w:t>
                  </w:r>
                </w:p>
              </w:tc>
            </w:tr>
            <w:tr w14:paraId="29B1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379" w:type="dxa"/>
                  <w:vMerge w:val="continue"/>
                  <w:vAlign w:val="center"/>
                </w:tcPr>
                <w:p w14:paraId="10862AA9">
                  <w:pPr>
                    <w:jc w:val="center"/>
                    <w:rPr>
                      <w:b/>
                      <w:bCs/>
                      <w:color w:val="auto"/>
                      <w:vertAlign w:val="baseline"/>
                    </w:rPr>
                  </w:pPr>
                </w:p>
              </w:tc>
              <w:tc>
                <w:tcPr>
                  <w:tcW w:w="1350" w:type="dxa"/>
                  <w:vMerge w:val="continue"/>
                  <w:vAlign w:val="center"/>
                </w:tcPr>
                <w:p w14:paraId="784FE90E">
                  <w:pPr>
                    <w:jc w:val="center"/>
                    <w:rPr>
                      <w:b/>
                      <w:bCs/>
                      <w:color w:val="auto"/>
                      <w:vertAlign w:val="baseline"/>
                    </w:rPr>
                  </w:pPr>
                </w:p>
              </w:tc>
              <w:tc>
                <w:tcPr>
                  <w:tcW w:w="1025" w:type="dxa"/>
                  <w:vAlign w:val="center"/>
                </w:tcPr>
                <w:p w14:paraId="22EB46F8">
                  <w:pPr>
                    <w:jc w:val="center"/>
                    <w:rPr>
                      <w:rFonts w:hint="default" w:ascii="Times New Roman" w:hAnsi="Times New Roman" w:eastAsia="宋体"/>
                      <w:b/>
                      <w:bCs/>
                      <w:color w:val="auto"/>
                      <w:sz w:val="21"/>
                      <w:szCs w:val="21"/>
                      <w:lang w:val="en-US" w:eastAsia="zh-CN"/>
                    </w:rPr>
                  </w:pPr>
                  <w:r>
                    <w:rPr>
                      <w:rFonts w:hint="eastAsia"/>
                      <w:b/>
                      <w:bCs/>
                      <w:color w:val="auto"/>
                      <w:sz w:val="21"/>
                      <w:szCs w:val="21"/>
                      <w:lang w:val="en-US" w:eastAsia="zh-CN"/>
                    </w:rPr>
                    <w:t>现有工程</w:t>
                  </w:r>
                </w:p>
              </w:tc>
              <w:tc>
                <w:tcPr>
                  <w:tcW w:w="1225" w:type="dxa"/>
                  <w:vAlign w:val="center"/>
                </w:tcPr>
                <w:p w14:paraId="5268C1D5">
                  <w:pPr>
                    <w:jc w:val="center"/>
                    <w:rPr>
                      <w:rFonts w:hint="default" w:eastAsia="宋体"/>
                      <w:b/>
                      <w:bCs/>
                      <w:color w:val="auto"/>
                      <w:vertAlign w:val="baseline"/>
                      <w:lang w:val="en-US" w:eastAsia="zh-CN"/>
                    </w:rPr>
                  </w:pPr>
                  <w:r>
                    <w:rPr>
                      <w:rFonts w:hint="eastAsia"/>
                      <w:b/>
                      <w:bCs/>
                      <w:color w:val="auto"/>
                      <w:vertAlign w:val="baseline"/>
                      <w:lang w:val="en-US" w:eastAsia="zh-CN"/>
                    </w:rPr>
                    <w:t>本次技工程</w:t>
                  </w:r>
                </w:p>
              </w:tc>
              <w:tc>
                <w:tcPr>
                  <w:tcW w:w="863" w:type="dxa"/>
                  <w:vAlign w:val="center"/>
                </w:tcPr>
                <w:p w14:paraId="35EBCE51">
                  <w:pPr>
                    <w:jc w:val="center"/>
                    <w:rPr>
                      <w:rFonts w:hint="default" w:ascii="Times New Roman" w:hAnsi="Times New Roman" w:eastAsia="宋体"/>
                      <w:b/>
                      <w:bCs/>
                      <w:color w:val="auto"/>
                      <w:sz w:val="21"/>
                      <w:szCs w:val="21"/>
                      <w:lang w:val="en-US" w:eastAsia="zh-CN"/>
                    </w:rPr>
                  </w:pPr>
                  <w:r>
                    <w:rPr>
                      <w:rFonts w:hint="eastAsia"/>
                      <w:b/>
                      <w:bCs/>
                      <w:color w:val="auto"/>
                      <w:sz w:val="21"/>
                      <w:szCs w:val="21"/>
                      <w:lang w:val="en-US" w:eastAsia="zh-CN"/>
                    </w:rPr>
                    <w:t>增减量</w:t>
                  </w:r>
                </w:p>
              </w:tc>
              <w:tc>
                <w:tcPr>
                  <w:tcW w:w="1172" w:type="dxa"/>
                  <w:vAlign w:val="center"/>
                </w:tcPr>
                <w:p w14:paraId="54A8C6A0">
                  <w:pPr>
                    <w:jc w:val="center"/>
                    <w:rPr>
                      <w:rFonts w:ascii="Times New Roman" w:hAnsi="Times New Roman"/>
                      <w:b/>
                      <w:bCs/>
                      <w:color w:val="auto"/>
                      <w:sz w:val="21"/>
                      <w:szCs w:val="21"/>
                    </w:rPr>
                  </w:pPr>
                  <w:r>
                    <w:rPr>
                      <w:rFonts w:hint="eastAsia"/>
                      <w:b/>
                      <w:bCs/>
                      <w:color w:val="auto"/>
                      <w:sz w:val="21"/>
                      <w:szCs w:val="21"/>
                      <w:lang w:val="en-US" w:eastAsia="zh-CN"/>
                    </w:rPr>
                    <w:t>现有工程</w:t>
                  </w:r>
                </w:p>
              </w:tc>
              <w:tc>
                <w:tcPr>
                  <w:tcW w:w="1090" w:type="dxa"/>
                  <w:vAlign w:val="center"/>
                </w:tcPr>
                <w:p w14:paraId="48E086A0">
                  <w:pPr>
                    <w:jc w:val="center"/>
                    <w:rPr>
                      <w:rFonts w:ascii="Times New Roman" w:hAnsi="Times New Roman"/>
                      <w:b/>
                      <w:bCs/>
                      <w:color w:val="auto"/>
                      <w:sz w:val="21"/>
                      <w:szCs w:val="21"/>
                    </w:rPr>
                  </w:pPr>
                  <w:r>
                    <w:rPr>
                      <w:rFonts w:hint="eastAsia"/>
                      <w:b/>
                      <w:bCs/>
                      <w:color w:val="auto"/>
                      <w:vertAlign w:val="baseline"/>
                      <w:lang w:val="en-US" w:eastAsia="zh-CN"/>
                    </w:rPr>
                    <w:t>本次技工程</w:t>
                  </w:r>
                </w:p>
              </w:tc>
              <w:tc>
                <w:tcPr>
                  <w:tcW w:w="915" w:type="dxa"/>
                  <w:vAlign w:val="center"/>
                </w:tcPr>
                <w:p w14:paraId="7C050B5A">
                  <w:pPr>
                    <w:jc w:val="center"/>
                    <w:rPr>
                      <w:b/>
                      <w:bCs/>
                      <w:color w:val="auto"/>
                      <w:vertAlign w:val="baseline"/>
                    </w:rPr>
                  </w:pPr>
                  <w:r>
                    <w:rPr>
                      <w:rFonts w:hint="eastAsia"/>
                      <w:b/>
                      <w:bCs/>
                      <w:color w:val="auto"/>
                      <w:sz w:val="21"/>
                      <w:szCs w:val="21"/>
                      <w:lang w:val="en-US" w:eastAsia="zh-CN"/>
                    </w:rPr>
                    <w:t>增减量</w:t>
                  </w:r>
                </w:p>
              </w:tc>
            </w:tr>
            <w:tr w14:paraId="44B5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79" w:type="dxa"/>
                  <w:vAlign w:val="center"/>
                </w:tcPr>
                <w:p w14:paraId="6E9DDD67">
                  <w:pPr>
                    <w:jc w:val="center"/>
                    <w:rPr>
                      <w:rFonts w:hint="eastAsia" w:eastAsia="宋体"/>
                      <w:color w:val="auto"/>
                      <w:vertAlign w:val="baseline"/>
                      <w:lang w:val="en-US" w:eastAsia="zh-CN"/>
                    </w:rPr>
                  </w:pPr>
                  <w:r>
                    <w:rPr>
                      <w:rFonts w:hint="eastAsia"/>
                      <w:color w:val="auto"/>
                      <w:vertAlign w:val="baseline"/>
                      <w:lang w:val="en-US" w:eastAsia="zh-CN"/>
                    </w:rPr>
                    <w:t>1</w:t>
                  </w:r>
                </w:p>
              </w:tc>
              <w:tc>
                <w:tcPr>
                  <w:tcW w:w="1350" w:type="dxa"/>
                  <w:vAlign w:val="center"/>
                </w:tcPr>
                <w:p w14:paraId="1FD29CE8">
                  <w:pPr>
                    <w:jc w:val="center"/>
                    <w:rPr>
                      <w:color w:val="auto"/>
                      <w:sz w:val="21"/>
                      <w:szCs w:val="21"/>
                      <w:vertAlign w:val="baseline"/>
                    </w:rPr>
                  </w:pPr>
                  <w:r>
                    <w:rPr>
                      <w:rFonts w:hint="eastAsia" w:cs="Times New Roman"/>
                      <w:bCs/>
                      <w:i w:val="0"/>
                      <w:iCs/>
                      <w:color w:val="auto"/>
                      <w:sz w:val="21"/>
                      <w:szCs w:val="21"/>
                      <w:lang w:val="en-US" w:eastAsia="zh-CN"/>
                    </w:rPr>
                    <w:t>灭菌工序</w:t>
                  </w:r>
                </w:p>
              </w:tc>
              <w:tc>
                <w:tcPr>
                  <w:tcW w:w="1025" w:type="dxa"/>
                  <w:vAlign w:val="center"/>
                </w:tcPr>
                <w:p w14:paraId="55FCE990">
                  <w:pPr>
                    <w:jc w:val="center"/>
                    <w:rPr>
                      <w:rFonts w:hint="default"/>
                      <w:color w:val="auto"/>
                      <w:vertAlign w:val="baseline"/>
                      <w:lang w:val="en-US" w:eastAsia="zh-CN"/>
                    </w:rPr>
                  </w:pPr>
                  <w:r>
                    <w:rPr>
                      <w:rFonts w:hint="eastAsia"/>
                      <w:color w:val="auto"/>
                      <w:vertAlign w:val="baseline"/>
                      <w:lang w:val="en-US" w:eastAsia="zh-CN"/>
                    </w:rPr>
                    <w:t>1.99</w:t>
                  </w:r>
                </w:p>
              </w:tc>
              <w:tc>
                <w:tcPr>
                  <w:tcW w:w="1225" w:type="dxa"/>
                  <w:vAlign w:val="center"/>
                </w:tcPr>
                <w:p w14:paraId="00C6BE8B">
                  <w:pPr>
                    <w:jc w:val="center"/>
                    <w:rPr>
                      <w:rFonts w:hint="default" w:eastAsia="宋体"/>
                      <w:color w:val="auto"/>
                      <w:vertAlign w:val="baseline"/>
                      <w:lang w:val="en-US" w:eastAsia="zh-CN"/>
                    </w:rPr>
                  </w:pPr>
                  <w:r>
                    <w:rPr>
                      <w:rFonts w:hint="eastAsia"/>
                      <w:color w:val="auto"/>
                      <w:vertAlign w:val="baseline"/>
                      <w:lang w:val="en-US" w:eastAsia="zh-CN"/>
                    </w:rPr>
                    <w:t>2.189</w:t>
                  </w:r>
                </w:p>
              </w:tc>
              <w:tc>
                <w:tcPr>
                  <w:tcW w:w="863" w:type="dxa"/>
                  <w:vAlign w:val="center"/>
                </w:tcPr>
                <w:p w14:paraId="4A7EAE18">
                  <w:pPr>
                    <w:jc w:val="center"/>
                    <w:rPr>
                      <w:rFonts w:hint="default"/>
                      <w:color w:val="auto"/>
                      <w:vertAlign w:val="baseline"/>
                      <w:lang w:val="en-US" w:eastAsia="zh-CN"/>
                    </w:rPr>
                  </w:pPr>
                  <w:r>
                    <w:rPr>
                      <w:rFonts w:hint="eastAsia"/>
                      <w:color w:val="auto"/>
                      <w:vertAlign w:val="baseline"/>
                      <w:lang w:val="en-US" w:eastAsia="zh-CN"/>
                    </w:rPr>
                    <w:t>+0.199</w:t>
                  </w:r>
                </w:p>
              </w:tc>
              <w:tc>
                <w:tcPr>
                  <w:tcW w:w="1172" w:type="dxa"/>
                  <w:vAlign w:val="center"/>
                </w:tcPr>
                <w:p w14:paraId="2B1D01E9">
                  <w:pPr>
                    <w:jc w:val="center"/>
                    <w:rPr>
                      <w:rFonts w:hint="default"/>
                      <w:color w:val="auto"/>
                      <w:vertAlign w:val="baseline"/>
                      <w:lang w:val="en-US" w:eastAsia="zh-CN"/>
                    </w:rPr>
                  </w:pPr>
                  <w:r>
                    <w:rPr>
                      <w:rFonts w:hint="eastAsia"/>
                      <w:color w:val="auto"/>
                      <w:vertAlign w:val="baseline"/>
                      <w:lang w:val="en-US" w:eastAsia="zh-CN"/>
                    </w:rPr>
                    <w:t>15.92</w:t>
                  </w:r>
                </w:p>
              </w:tc>
              <w:tc>
                <w:tcPr>
                  <w:tcW w:w="1090" w:type="dxa"/>
                  <w:shd w:val="clear" w:color="auto" w:fill="auto"/>
                  <w:vAlign w:val="center"/>
                </w:tcPr>
                <w:p w14:paraId="63AD245F">
                  <w:pPr>
                    <w:jc w:val="center"/>
                    <w:rPr>
                      <w:rFonts w:hint="default" w:ascii="Times New Roman" w:hAnsi="Times New Roman" w:eastAsia="宋体" w:cs="Times New Roman"/>
                      <w:color w:val="auto"/>
                      <w:kern w:val="2"/>
                      <w:sz w:val="21"/>
                      <w:szCs w:val="24"/>
                      <w:vertAlign w:val="baseline"/>
                      <w:lang w:val="en-US" w:eastAsia="zh-CN" w:bidi="ar-SA"/>
                    </w:rPr>
                  </w:pPr>
                  <w:r>
                    <w:rPr>
                      <w:rFonts w:hint="eastAsia" w:eastAsia="宋体" w:cs="Times New Roman"/>
                      <w:color w:val="auto"/>
                      <w:kern w:val="2"/>
                      <w:sz w:val="21"/>
                      <w:szCs w:val="24"/>
                      <w:vertAlign w:val="baseline"/>
                      <w:lang w:val="en-US" w:eastAsia="zh-CN" w:bidi="ar-SA"/>
                    </w:rPr>
                    <w:t>26.268</w:t>
                  </w:r>
                </w:p>
              </w:tc>
              <w:tc>
                <w:tcPr>
                  <w:tcW w:w="915" w:type="dxa"/>
                  <w:vAlign w:val="center"/>
                </w:tcPr>
                <w:p w14:paraId="793DCA01">
                  <w:pPr>
                    <w:jc w:val="center"/>
                    <w:rPr>
                      <w:rFonts w:hint="default" w:eastAsia="宋体"/>
                      <w:color w:val="auto"/>
                      <w:vertAlign w:val="baseline"/>
                      <w:lang w:val="en-US" w:eastAsia="zh-CN"/>
                    </w:rPr>
                  </w:pPr>
                  <w:r>
                    <w:rPr>
                      <w:rFonts w:hint="eastAsia"/>
                      <w:color w:val="auto"/>
                      <w:vertAlign w:val="baseline"/>
                      <w:lang w:val="en-US" w:eastAsia="zh-CN"/>
                    </w:rPr>
                    <w:t>10.328</w:t>
                  </w:r>
                </w:p>
              </w:tc>
            </w:tr>
            <w:tr w14:paraId="03000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79" w:type="dxa"/>
                  <w:vAlign w:val="center"/>
                </w:tcPr>
                <w:p w14:paraId="2AD41879">
                  <w:pPr>
                    <w:jc w:val="center"/>
                    <w:rPr>
                      <w:rFonts w:hint="eastAsia" w:eastAsia="宋体"/>
                      <w:color w:val="auto"/>
                      <w:vertAlign w:val="baseline"/>
                      <w:lang w:val="en-US" w:eastAsia="zh-CN"/>
                    </w:rPr>
                  </w:pPr>
                  <w:r>
                    <w:rPr>
                      <w:rFonts w:hint="eastAsia"/>
                      <w:color w:val="auto"/>
                      <w:vertAlign w:val="baseline"/>
                      <w:lang w:val="en-US" w:eastAsia="zh-CN"/>
                    </w:rPr>
                    <w:t>2</w:t>
                  </w:r>
                </w:p>
              </w:tc>
              <w:tc>
                <w:tcPr>
                  <w:tcW w:w="1350" w:type="dxa"/>
                  <w:vAlign w:val="center"/>
                </w:tcPr>
                <w:p w14:paraId="5C9DF22C">
                  <w:pPr>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损耗</w:t>
                  </w:r>
                </w:p>
              </w:tc>
              <w:tc>
                <w:tcPr>
                  <w:tcW w:w="1025" w:type="dxa"/>
                  <w:vAlign w:val="center"/>
                </w:tcPr>
                <w:p w14:paraId="24C26D22">
                  <w:pPr>
                    <w:jc w:val="center"/>
                    <w:rPr>
                      <w:rFonts w:hint="default"/>
                      <w:color w:val="auto"/>
                      <w:vertAlign w:val="baseline"/>
                      <w:lang w:val="en-US" w:eastAsia="zh-CN"/>
                    </w:rPr>
                  </w:pPr>
                  <w:r>
                    <w:rPr>
                      <w:rFonts w:hint="eastAsia"/>
                      <w:color w:val="auto"/>
                      <w:vertAlign w:val="baseline"/>
                      <w:lang w:val="en-US" w:eastAsia="zh-CN"/>
                    </w:rPr>
                    <w:t>0.01</w:t>
                  </w:r>
                </w:p>
              </w:tc>
              <w:tc>
                <w:tcPr>
                  <w:tcW w:w="1225" w:type="dxa"/>
                  <w:vAlign w:val="center"/>
                </w:tcPr>
                <w:p w14:paraId="7A397960">
                  <w:pPr>
                    <w:jc w:val="center"/>
                    <w:rPr>
                      <w:rFonts w:hint="default" w:eastAsia="宋体"/>
                      <w:color w:val="auto"/>
                      <w:vertAlign w:val="baseline"/>
                      <w:lang w:val="en-US" w:eastAsia="zh-CN"/>
                    </w:rPr>
                  </w:pPr>
                  <w:r>
                    <w:rPr>
                      <w:rFonts w:hint="eastAsia"/>
                      <w:color w:val="auto"/>
                      <w:vertAlign w:val="baseline"/>
                      <w:lang w:val="en-US" w:eastAsia="zh-CN"/>
                    </w:rPr>
                    <w:t>0.011</w:t>
                  </w:r>
                </w:p>
              </w:tc>
              <w:tc>
                <w:tcPr>
                  <w:tcW w:w="863" w:type="dxa"/>
                  <w:vAlign w:val="center"/>
                </w:tcPr>
                <w:p w14:paraId="28EFCBC6">
                  <w:pPr>
                    <w:jc w:val="center"/>
                    <w:rPr>
                      <w:rFonts w:hint="default"/>
                      <w:color w:val="auto"/>
                      <w:vertAlign w:val="baseline"/>
                      <w:lang w:val="en-US" w:eastAsia="zh-CN"/>
                    </w:rPr>
                  </w:pPr>
                  <w:r>
                    <w:rPr>
                      <w:rFonts w:hint="eastAsia"/>
                      <w:color w:val="auto"/>
                      <w:vertAlign w:val="baseline"/>
                      <w:lang w:val="en-US" w:eastAsia="zh-CN"/>
                    </w:rPr>
                    <w:t>+0.001</w:t>
                  </w:r>
                </w:p>
              </w:tc>
              <w:tc>
                <w:tcPr>
                  <w:tcW w:w="1172" w:type="dxa"/>
                  <w:vAlign w:val="center"/>
                </w:tcPr>
                <w:p w14:paraId="52ECC639">
                  <w:pPr>
                    <w:jc w:val="center"/>
                    <w:rPr>
                      <w:rFonts w:hint="default"/>
                      <w:color w:val="auto"/>
                      <w:vertAlign w:val="baseline"/>
                      <w:lang w:val="en-US" w:eastAsia="zh-CN"/>
                    </w:rPr>
                  </w:pPr>
                  <w:r>
                    <w:rPr>
                      <w:rFonts w:hint="eastAsia"/>
                      <w:color w:val="auto"/>
                      <w:vertAlign w:val="baseline"/>
                      <w:lang w:val="en-US" w:eastAsia="zh-CN"/>
                    </w:rPr>
                    <w:t>0.08</w:t>
                  </w:r>
                </w:p>
              </w:tc>
              <w:tc>
                <w:tcPr>
                  <w:tcW w:w="1090" w:type="dxa"/>
                  <w:shd w:val="clear" w:color="auto" w:fill="auto"/>
                  <w:vAlign w:val="center"/>
                </w:tcPr>
                <w:p w14:paraId="21BEBF89">
                  <w:pPr>
                    <w:jc w:val="center"/>
                    <w:rPr>
                      <w:rFonts w:hint="default" w:ascii="Times New Roman" w:hAnsi="Times New Roman" w:eastAsia="宋体" w:cs="Times New Roman"/>
                      <w:color w:val="auto"/>
                      <w:kern w:val="2"/>
                      <w:sz w:val="21"/>
                      <w:szCs w:val="24"/>
                      <w:vertAlign w:val="baseline"/>
                      <w:lang w:val="en-US" w:eastAsia="zh-CN" w:bidi="ar-SA"/>
                    </w:rPr>
                  </w:pPr>
                  <w:r>
                    <w:rPr>
                      <w:rFonts w:hint="eastAsia" w:cs="Times New Roman"/>
                      <w:color w:val="auto"/>
                      <w:kern w:val="2"/>
                      <w:sz w:val="21"/>
                      <w:szCs w:val="24"/>
                      <w:vertAlign w:val="baseline"/>
                      <w:lang w:val="en-US" w:eastAsia="zh-CN" w:bidi="ar-SA"/>
                    </w:rPr>
                    <w:t>0.132</w:t>
                  </w:r>
                </w:p>
              </w:tc>
              <w:tc>
                <w:tcPr>
                  <w:tcW w:w="915" w:type="dxa"/>
                  <w:vAlign w:val="center"/>
                </w:tcPr>
                <w:p w14:paraId="32574B0F">
                  <w:pPr>
                    <w:jc w:val="center"/>
                    <w:rPr>
                      <w:rFonts w:hint="default" w:eastAsia="宋体"/>
                      <w:color w:val="auto"/>
                      <w:vertAlign w:val="baseline"/>
                      <w:lang w:val="en-US" w:eastAsia="zh-CN"/>
                    </w:rPr>
                  </w:pPr>
                  <w:r>
                    <w:rPr>
                      <w:rFonts w:hint="eastAsia"/>
                      <w:color w:val="auto"/>
                      <w:vertAlign w:val="baseline"/>
                      <w:lang w:val="en-US" w:eastAsia="zh-CN"/>
                    </w:rPr>
                    <w:t>0.052</w:t>
                  </w:r>
                </w:p>
              </w:tc>
            </w:tr>
            <w:tr w14:paraId="790EE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729" w:type="dxa"/>
                  <w:gridSpan w:val="2"/>
                  <w:vAlign w:val="center"/>
                </w:tcPr>
                <w:p w14:paraId="5B885AA6">
                  <w:pPr>
                    <w:jc w:val="center"/>
                    <w:rPr>
                      <w:color w:val="auto"/>
                      <w:vertAlign w:val="baseline"/>
                    </w:rPr>
                  </w:pPr>
                  <w:r>
                    <w:rPr>
                      <w:rFonts w:hint="eastAsia"/>
                      <w:color w:val="auto"/>
                      <w:vertAlign w:val="baseline"/>
                      <w:lang w:val="en-US" w:eastAsia="zh-CN"/>
                    </w:rPr>
                    <w:t>合计</w:t>
                  </w:r>
                </w:p>
              </w:tc>
              <w:tc>
                <w:tcPr>
                  <w:tcW w:w="1025" w:type="dxa"/>
                  <w:shd w:val="clear" w:color="auto" w:fill="auto"/>
                  <w:vAlign w:val="center"/>
                </w:tcPr>
                <w:p w14:paraId="4DC08D37">
                  <w:pPr>
                    <w:jc w:val="center"/>
                    <w:rPr>
                      <w:rFonts w:hint="default"/>
                      <w:color w:val="auto"/>
                      <w:vertAlign w:val="baseline"/>
                      <w:lang w:val="en-US" w:eastAsia="zh-CN"/>
                    </w:rPr>
                  </w:pPr>
                  <w:r>
                    <w:rPr>
                      <w:rFonts w:hint="eastAsia"/>
                      <w:color w:val="auto"/>
                      <w:vertAlign w:val="baseline"/>
                      <w:lang w:val="en-US" w:eastAsia="zh-CN"/>
                    </w:rPr>
                    <w:t>2</w:t>
                  </w:r>
                </w:p>
              </w:tc>
              <w:tc>
                <w:tcPr>
                  <w:tcW w:w="1225" w:type="dxa"/>
                  <w:shd w:val="clear" w:color="auto" w:fill="auto"/>
                  <w:vAlign w:val="center"/>
                </w:tcPr>
                <w:p w14:paraId="349E718C">
                  <w:pPr>
                    <w:jc w:val="center"/>
                    <w:rPr>
                      <w:rFonts w:hint="default"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val="en-US" w:eastAsia="zh-CN"/>
                    </w:rPr>
                    <w:t>2.2</w:t>
                  </w:r>
                </w:p>
              </w:tc>
              <w:tc>
                <w:tcPr>
                  <w:tcW w:w="863" w:type="dxa"/>
                  <w:shd w:val="clear" w:color="auto" w:fill="auto"/>
                  <w:vAlign w:val="center"/>
                </w:tcPr>
                <w:p w14:paraId="1C1883CB">
                  <w:pPr>
                    <w:jc w:val="center"/>
                    <w:rPr>
                      <w:rFonts w:hint="default"/>
                      <w:color w:val="auto"/>
                      <w:vertAlign w:val="baseline"/>
                      <w:lang w:val="en-US" w:eastAsia="zh-CN"/>
                    </w:rPr>
                  </w:pPr>
                  <w:r>
                    <w:rPr>
                      <w:rFonts w:hint="eastAsia"/>
                      <w:color w:val="auto"/>
                      <w:vertAlign w:val="baseline"/>
                      <w:lang w:val="en-US" w:eastAsia="zh-CN"/>
                    </w:rPr>
                    <w:t>+0.2</w:t>
                  </w:r>
                </w:p>
              </w:tc>
              <w:tc>
                <w:tcPr>
                  <w:tcW w:w="1172" w:type="dxa"/>
                  <w:shd w:val="clear" w:color="auto" w:fill="auto"/>
                  <w:vAlign w:val="center"/>
                </w:tcPr>
                <w:p w14:paraId="03992CE7">
                  <w:pPr>
                    <w:jc w:val="center"/>
                    <w:rPr>
                      <w:rFonts w:hint="default"/>
                      <w:color w:val="auto"/>
                      <w:vertAlign w:val="baseline"/>
                      <w:lang w:val="en-US" w:eastAsia="zh-CN"/>
                    </w:rPr>
                  </w:pPr>
                  <w:r>
                    <w:rPr>
                      <w:rFonts w:hint="eastAsia"/>
                      <w:color w:val="auto"/>
                      <w:vertAlign w:val="baseline"/>
                      <w:lang w:val="en-US" w:eastAsia="zh-CN"/>
                    </w:rPr>
                    <w:t>16</w:t>
                  </w:r>
                </w:p>
              </w:tc>
              <w:tc>
                <w:tcPr>
                  <w:tcW w:w="1090" w:type="dxa"/>
                  <w:shd w:val="clear" w:color="auto" w:fill="auto"/>
                  <w:vAlign w:val="center"/>
                </w:tcPr>
                <w:p w14:paraId="4F03AC30">
                  <w:pPr>
                    <w:jc w:val="center"/>
                    <w:rPr>
                      <w:rFonts w:hint="default"/>
                      <w:color w:val="auto"/>
                      <w:vertAlign w:val="baseline"/>
                      <w:lang w:val="en-US" w:eastAsia="zh-CN"/>
                    </w:rPr>
                  </w:pPr>
                  <w:r>
                    <w:rPr>
                      <w:rFonts w:hint="eastAsia"/>
                      <w:color w:val="auto"/>
                      <w:vertAlign w:val="baseline"/>
                      <w:lang w:val="en-US" w:eastAsia="zh-CN"/>
                    </w:rPr>
                    <w:t>26.4</w:t>
                  </w:r>
                </w:p>
              </w:tc>
              <w:tc>
                <w:tcPr>
                  <w:tcW w:w="915" w:type="dxa"/>
                  <w:shd w:val="clear" w:color="auto" w:fill="auto"/>
                  <w:vAlign w:val="center"/>
                </w:tcPr>
                <w:p w14:paraId="0BB5239A">
                  <w:pPr>
                    <w:jc w:val="center"/>
                    <w:rPr>
                      <w:rFonts w:hint="default" w:ascii="Times New Roman" w:hAnsi="Times New Roman" w:eastAsia="宋体" w:cs="Times New Roman"/>
                      <w:color w:val="auto"/>
                      <w:kern w:val="2"/>
                      <w:sz w:val="21"/>
                      <w:szCs w:val="24"/>
                      <w:vertAlign w:val="baseline"/>
                      <w:lang w:val="en-US" w:eastAsia="zh-CN" w:bidi="ar-SA"/>
                    </w:rPr>
                  </w:pPr>
                  <w:r>
                    <w:rPr>
                      <w:rFonts w:hint="eastAsia" w:eastAsia="宋体" w:cs="Times New Roman"/>
                      <w:color w:val="auto"/>
                      <w:kern w:val="2"/>
                      <w:sz w:val="21"/>
                      <w:szCs w:val="24"/>
                      <w:vertAlign w:val="baseline"/>
                      <w:lang w:val="en-US" w:eastAsia="zh-CN" w:bidi="ar-SA"/>
                    </w:rPr>
                    <w:t>10.4</w:t>
                  </w:r>
                </w:p>
              </w:tc>
            </w:tr>
          </w:tbl>
          <w:p w14:paraId="27FD551D">
            <w:pPr>
              <w:pStyle w:val="10"/>
              <w:jc w:val="center"/>
              <w:rPr>
                <w:color w:val="auto"/>
              </w:rPr>
            </w:pPr>
            <w:r>
              <w:rPr>
                <w:color w:val="auto"/>
              </w:rPr>
              <w:object>
                <v:shape id="_x0000_i1026" o:spt="75" type="#_x0000_t75" style="height:73pt;width:284.55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14:paraId="282F16EC">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图2-2  技改后锅炉蒸汽平衡（t/h）</w:t>
            </w:r>
          </w:p>
          <w:p w14:paraId="200C9893">
            <w:pPr>
              <w:spacing w:line="360" w:lineRule="auto"/>
              <w:rPr>
                <w:b/>
                <w:bCs/>
                <w:color w:val="auto"/>
                <w:sz w:val="24"/>
              </w:rPr>
            </w:pPr>
            <w:r>
              <w:rPr>
                <w:rFonts w:hint="eastAsia"/>
                <w:b/>
                <w:bCs/>
                <w:color w:val="auto"/>
                <w:sz w:val="24"/>
                <w:lang w:val="en-US" w:eastAsia="zh-CN"/>
              </w:rPr>
              <w:t>10、</w:t>
            </w:r>
            <w:r>
              <w:rPr>
                <w:b/>
                <w:bCs/>
                <w:color w:val="auto"/>
                <w:sz w:val="24"/>
              </w:rPr>
              <w:t>劳动定员及工作制度</w:t>
            </w:r>
          </w:p>
          <w:p w14:paraId="75B66584">
            <w:pPr>
              <w:spacing w:line="360" w:lineRule="auto"/>
              <w:ind w:firstLine="480" w:firstLineChars="200"/>
              <w:rPr>
                <w:rFonts w:hint="eastAsia"/>
                <w:b w:val="0"/>
                <w:bCs w:val="0"/>
                <w:color w:val="auto"/>
                <w:sz w:val="24"/>
                <w:szCs w:val="20"/>
                <w:lang w:val="en-US" w:eastAsia="zh-CN"/>
              </w:rPr>
            </w:pPr>
            <w:r>
              <w:rPr>
                <w:rFonts w:hint="eastAsia"/>
                <w:b w:val="0"/>
                <w:bCs w:val="0"/>
                <w:color w:val="auto"/>
                <w:sz w:val="24"/>
                <w:szCs w:val="20"/>
                <w:lang w:val="en-US" w:eastAsia="zh-CN"/>
              </w:rPr>
              <w:t>本次技改前后劳动定员及工作制度变化情况详见下表。</w:t>
            </w:r>
          </w:p>
          <w:p w14:paraId="488C6C35">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eastAsia="宋体"/>
                <w:b/>
                <w:bCs/>
                <w:color w:val="auto"/>
                <w:sz w:val="21"/>
                <w:szCs w:val="21"/>
                <w:lang w:val="en-US" w:eastAsia="zh-CN"/>
              </w:rPr>
            </w:pPr>
            <w:r>
              <w:rPr>
                <w:rFonts w:hint="eastAsia"/>
                <w:b/>
                <w:bCs/>
                <w:color w:val="auto"/>
                <w:sz w:val="21"/>
                <w:szCs w:val="21"/>
                <w:highlight w:val="none"/>
                <w:lang w:val="en-US" w:eastAsia="zh-CN"/>
              </w:rPr>
              <w:t>表2-14 本次技改前后劳动定员及工作制度变化</w:t>
            </w:r>
            <w:r>
              <w:rPr>
                <w:rFonts w:hint="eastAsia"/>
                <w:b/>
                <w:bCs/>
                <w:color w:val="auto"/>
                <w:sz w:val="21"/>
                <w:szCs w:val="21"/>
                <w:lang w:val="en-US" w:eastAsia="zh-CN"/>
              </w:rPr>
              <w:t>情况一览表</w:t>
            </w:r>
          </w:p>
          <w:tbl>
            <w:tblPr>
              <w:tblStyle w:val="23"/>
              <w:tblW w:w="8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2246"/>
              <w:gridCol w:w="1612"/>
              <w:gridCol w:w="1612"/>
              <w:gridCol w:w="1612"/>
            </w:tblGrid>
            <w:tr w14:paraId="09B4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24" w:type="dxa"/>
                  <w:gridSpan w:val="2"/>
                  <w:vAlign w:val="center"/>
                </w:tcPr>
                <w:p w14:paraId="382008D2">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项目</w:t>
                  </w:r>
                </w:p>
              </w:tc>
              <w:tc>
                <w:tcPr>
                  <w:tcW w:w="1612" w:type="dxa"/>
                  <w:vAlign w:val="center"/>
                </w:tcPr>
                <w:p w14:paraId="765A9508">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现有工程</w:t>
                  </w:r>
                </w:p>
              </w:tc>
              <w:tc>
                <w:tcPr>
                  <w:tcW w:w="1612" w:type="dxa"/>
                  <w:vAlign w:val="center"/>
                </w:tcPr>
                <w:p w14:paraId="6166E93C">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本次技改工程</w:t>
                  </w:r>
                </w:p>
              </w:tc>
              <w:tc>
                <w:tcPr>
                  <w:tcW w:w="1612" w:type="dxa"/>
                  <w:vAlign w:val="center"/>
                </w:tcPr>
                <w:p w14:paraId="7EEE9FBE">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变化情况</w:t>
                  </w:r>
                </w:p>
              </w:tc>
            </w:tr>
            <w:tr w14:paraId="7CFD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24" w:type="dxa"/>
                  <w:gridSpan w:val="2"/>
                  <w:vAlign w:val="center"/>
                </w:tcPr>
                <w:p w14:paraId="41DE5D78">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劳动定员</w:t>
                  </w:r>
                </w:p>
              </w:tc>
              <w:tc>
                <w:tcPr>
                  <w:tcW w:w="1612" w:type="dxa"/>
                  <w:vAlign w:val="center"/>
                </w:tcPr>
                <w:p w14:paraId="0563B648">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30人</w:t>
                  </w:r>
                </w:p>
              </w:tc>
              <w:tc>
                <w:tcPr>
                  <w:tcW w:w="1612" w:type="dxa"/>
                  <w:vAlign w:val="center"/>
                </w:tcPr>
                <w:p w14:paraId="780BEB77">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30人</w:t>
                  </w:r>
                </w:p>
              </w:tc>
              <w:tc>
                <w:tcPr>
                  <w:tcW w:w="1612" w:type="dxa"/>
                  <w:vAlign w:val="center"/>
                </w:tcPr>
                <w:p w14:paraId="71921147">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不变</w:t>
                  </w:r>
                </w:p>
              </w:tc>
            </w:tr>
            <w:tr w14:paraId="0F9F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8" w:type="dxa"/>
                  <w:vMerge w:val="restart"/>
                  <w:vAlign w:val="center"/>
                </w:tcPr>
                <w:p w14:paraId="667B51F5">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工作制度</w:t>
                  </w:r>
                </w:p>
              </w:tc>
              <w:tc>
                <w:tcPr>
                  <w:tcW w:w="2246" w:type="dxa"/>
                  <w:vAlign w:val="center"/>
                </w:tcPr>
                <w:p w14:paraId="348A85E6">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年工作时间</w:t>
                  </w:r>
                </w:p>
              </w:tc>
              <w:tc>
                <w:tcPr>
                  <w:tcW w:w="1612" w:type="dxa"/>
                  <w:vAlign w:val="center"/>
                </w:tcPr>
                <w:p w14:paraId="4BB0E03B">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200d</w:t>
                  </w:r>
                </w:p>
              </w:tc>
              <w:tc>
                <w:tcPr>
                  <w:tcW w:w="1612" w:type="dxa"/>
                  <w:vAlign w:val="center"/>
                </w:tcPr>
                <w:p w14:paraId="6CD512E8">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200d</w:t>
                  </w:r>
                </w:p>
              </w:tc>
              <w:tc>
                <w:tcPr>
                  <w:tcW w:w="1612" w:type="dxa"/>
                  <w:vAlign w:val="center"/>
                </w:tcPr>
                <w:p w14:paraId="71DE6870">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不变</w:t>
                  </w:r>
                </w:p>
              </w:tc>
            </w:tr>
            <w:tr w14:paraId="1172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8" w:type="dxa"/>
                  <w:vMerge w:val="continue"/>
                  <w:vAlign w:val="center"/>
                </w:tcPr>
                <w:p w14:paraId="1D482DA1">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p>
              </w:tc>
              <w:tc>
                <w:tcPr>
                  <w:tcW w:w="2246" w:type="dxa"/>
                  <w:vAlign w:val="center"/>
                </w:tcPr>
                <w:p w14:paraId="2C6CEE1E">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锅炉运行时间</w:t>
                  </w:r>
                </w:p>
              </w:tc>
              <w:tc>
                <w:tcPr>
                  <w:tcW w:w="1612" w:type="dxa"/>
                  <w:vAlign w:val="center"/>
                </w:tcPr>
                <w:p w14:paraId="29076DF6">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40d</w:t>
                  </w:r>
                </w:p>
              </w:tc>
              <w:tc>
                <w:tcPr>
                  <w:tcW w:w="1612" w:type="dxa"/>
                  <w:vAlign w:val="center"/>
                </w:tcPr>
                <w:p w14:paraId="28A45E28">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200d</w:t>
                  </w:r>
                </w:p>
              </w:tc>
              <w:tc>
                <w:tcPr>
                  <w:tcW w:w="1612" w:type="dxa"/>
                  <w:vAlign w:val="center"/>
                </w:tcPr>
                <w:p w14:paraId="55E8DA1D">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增加</w:t>
                  </w:r>
                </w:p>
              </w:tc>
            </w:tr>
            <w:tr w14:paraId="3C0C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8" w:type="dxa"/>
                  <w:vMerge w:val="continue"/>
                  <w:vAlign w:val="center"/>
                </w:tcPr>
                <w:p w14:paraId="28ADAA10">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p>
              </w:tc>
              <w:tc>
                <w:tcPr>
                  <w:tcW w:w="2246" w:type="dxa"/>
                  <w:vAlign w:val="center"/>
                </w:tcPr>
                <w:p w14:paraId="3D0FD95A">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杀菌机运行时间</w:t>
                  </w:r>
                </w:p>
              </w:tc>
              <w:tc>
                <w:tcPr>
                  <w:tcW w:w="1612" w:type="dxa"/>
                  <w:vAlign w:val="center"/>
                </w:tcPr>
                <w:p w14:paraId="0F92C4FD">
                  <w:pPr>
                    <w:pStyle w:val="21"/>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40d</w:t>
                  </w:r>
                </w:p>
              </w:tc>
              <w:tc>
                <w:tcPr>
                  <w:tcW w:w="1612" w:type="dxa"/>
                  <w:vAlign w:val="center"/>
                </w:tcPr>
                <w:p w14:paraId="32218024">
                  <w:pPr>
                    <w:pStyle w:val="21"/>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200d</w:t>
                  </w:r>
                </w:p>
              </w:tc>
              <w:tc>
                <w:tcPr>
                  <w:tcW w:w="1612" w:type="dxa"/>
                  <w:vAlign w:val="center"/>
                </w:tcPr>
                <w:p w14:paraId="03BE41E4">
                  <w:pPr>
                    <w:pStyle w:val="21"/>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增加</w:t>
                  </w:r>
                </w:p>
              </w:tc>
            </w:tr>
            <w:tr w14:paraId="5BCD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8" w:type="dxa"/>
                  <w:vMerge w:val="continue"/>
                  <w:vAlign w:val="center"/>
                </w:tcPr>
                <w:p w14:paraId="59A1ABB6">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p>
              </w:tc>
              <w:tc>
                <w:tcPr>
                  <w:tcW w:w="2246" w:type="dxa"/>
                  <w:vAlign w:val="center"/>
                </w:tcPr>
                <w:p w14:paraId="50EAF291">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日生产时间</w:t>
                  </w:r>
                </w:p>
              </w:tc>
              <w:tc>
                <w:tcPr>
                  <w:tcW w:w="1612" w:type="dxa"/>
                  <w:vAlign w:val="center"/>
                </w:tcPr>
                <w:p w14:paraId="7F3FFCD6">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8小时</w:t>
                  </w:r>
                </w:p>
              </w:tc>
              <w:tc>
                <w:tcPr>
                  <w:tcW w:w="1612" w:type="dxa"/>
                  <w:vAlign w:val="center"/>
                </w:tcPr>
                <w:p w14:paraId="629D976E">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锅炉</w:t>
                  </w:r>
                  <w:r>
                    <w:rPr>
                      <w:rFonts w:hint="eastAsia" w:ascii="Times New Roman" w:hAnsi="Times New Roman" w:cs="Times New Roman"/>
                      <w:b w:val="0"/>
                      <w:bCs w:val="0"/>
                      <w:color w:val="auto"/>
                      <w:sz w:val="21"/>
                      <w:szCs w:val="21"/>
                      <w:vertAlign w:val="baseline"/>
                      <w:lang w:val="en-US" w:eastAsia="zh-CN"/>
                    </w:rPr>
                    <w:t>、杀菌机</w:t>
                  </w:r>
                  <w:r>
                    <w:rPr>
                      <w:rFonts w:hint="default" w:ascii="Times New Roman" w:hAnsi="Times New Roman" w:cs="Times New Roman"/>
                      <w:b w:val="0"/>
                      <w:bCs w:val="0"/>
                      <w:color w:val="auto"/>
                      <w:sz w:val="21"/>
                      <w:szCs w:val="21"/>
                      <w:vertAlign w:val="baseline"/>
                      <w:lang w:val="en-US" w:eastAsia="zh-CN"/>
                    </w:rPr>
                    <w:t>每天运行12h，其他工序每天运行8h</w:t>
                  </w:r>
                </w:p>
              </w:tc>
              <w:tc>
                <w:tcPr>
                  <w:tcW w:w="1612" w:type="dxa"/>
                  <w:vAlign w:val="center"/>
                </w:tcPr>
                <w:p w14:paraId="31F5BF56">
                  <w:pPr>
                    <w:pStyle w:val="21"/>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锅炉、杀菌机运行小时数增加</w:t>
                  </w:r>
                </w:p>
              </w:tc>
            </w:tr>
          </w:tbl>
          <w:p w14:paraId="152365A3">
            <w:pPr>
              <w:spacing w:line="360" w:lineRule="auto"/>
              <w:rPr>
                <w:rFonts w:hint="default" w:eastAsia="宋体"/>
                <w:b/>
                <w:bCs/>
                <w:color w:val="auto"/>
                <w:kern w:val="0"/>
                <w:sz w:val="24"/>
                <w:highlight w:val="none"/>
                <w:lang w:val="en-US" w:eastAsia="zh-CN"/>
              </w:rPr>
            </w:pPr>
            <w:r>
              <w:rPr>
                <w:rFonts w:hint="eastAsia"/>
                <w:b/>
                <w:bCs/>
                <w:color w:val="auto"/>
                <w:kern w:val="0"/>
                <w:sz w:val="24"/>
                <w:highlight w:val="none"/>
                <w:lang w:val="en-US" w:eastAsia="zh-CN"/>
              </w:rPr>
              <w:t>11</w:t>
            </w:r>
            <w:r>
              <w:rPr>
                <w:b/>
                <w:bCs/>
                <w:color w:val="auto"/>
                <w:kern w:val="0"/>
                <w:sz w:val="24"/>
                <w:highlight w:val="none"/>
              </w:rPr>
              <w:t>、</w:t>
            </w:r>
            <w:r>
              <w:rPr>
                <w:rFonts w:hint="eastAsia"/>
                <w:b/>
                <w:bCs/>
                <w:color w:val="auto"/>
                <w:kern w:val="0"/>
                <w:sz w:val="24"/>
                <w:highlight w:val="none"/>
                <w:lang w:val="en-US" w:eastAsia="zh-CN"/>
              </w:rPr>
              <w:t>施工进度</w:t>
            </w:r>
          </w:p>
          <w:p w14:paraId="401DEF7B">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本项目预计于</w:t>
            </w:r>
            <w:r>
              <w:rPr>
                <w:rFonts w:hint="default" w:ascii="Times New Roman" w:hAnsi="Times New Roman" w:cs="Times New Roman"/>
                <w:color w:val="auto"/>
                <w:sz w:val="24"/>
                <w:szCs w:val="24"/>
                <w:lang w:val="en-US" w:eastAsia="zh-CN"/>
              </w:rPr>
              <w:t>202</w:t>
            </w:r>
            <w:r>
              <w:rPr>
                <w:rFonts w:hint="eastAsia" w:cs="Times New Roman"/>
                <w:color w:val="auto"/>
                <w:sz w:val="24"/>
                <w:szCs w:val="24"/>
                <w:lang w:val="en-US" w:eastAsia="zh-CN"/>
              </w:rPr>
              <w:t>6</w:t>
            </w:r>
            <w:r>
              <w:rPr>
                <w:rFonts w:hint="default"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月开工，于202</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年</w:t>
            </w:r>
            <w:r>
              <w:rPr>
                <w:rFonts w:hint="eastAsia" w:cs="Times New Roman"/>
                <w:color w:val="auto"/>
                <w:sz w:val="24"/>
                <w:szCs w:val="24"/>
                <w:lang w:val="en-US" w:eastAsia="zh-CN"/>
              </w:rPr>
              <w:t>2</w:t>
            </w:r>
            <w:r>
              <w:rPr>
                <w:rFonts w:hint="default" w:ascii="Times New Roman" w:hAnsi="Times New Roman" w:cs="Times New Roman"/>
                <w:color w:val="auto"/>
                <w:sz w:val="24"/>
                <w:szCs w:val="24"/>
              </w:rPr>
              <w:t>月完工，总工期为</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个月。目前项目尚未动工建设。</w:t>
            </w:r>
          </w:p>
          <w:p w14:paraId="40BA0BEA">
            <w:pPr>
              <w:pStyle w:val="21"/>
              <w:keepNext w:val="0"/>
              <w:keepLines w:val="0"/>
              <w:pageBreakBefore w:val="0"/>
              <w:widowControl w:val="0"/>
              <w:kinsoku/>
              <w:wordWrap/>
              <w:overflowPunct/>
              <w:topLinePunct w:val="0"/>
              <w:autoSpaceDE/>
              <w:autoSpaceDN/>
              <w:bidi w:val="0"/>
              <w:adjustRightInd/>
              <w:snapToGrid/>
              <w:spacing w:before="0" w:after="0" w:line="360" w:lineRule="auto"/>
              <w:ind w:right="0" w:firstLine="0" w:firstLineChars="0"/>
              <w:textAlignment w:val="auto"/>
              <w:rPr>
                <w:rFonts w:ascii="Times New Roman" w:hAnsi="Times New Roman"/>
                <w:color w:val="auto"/>
              </w:rPr>
            </w:pPr>
            <w:r>
              <w:rPr>
                <w:rFonts w:hint="eastAsia" w:ascii="Times New Roman" w:hAnsi="Times New Roman"/>
                <w:b/>
                <w:bCs/>
                <w:color w:val="auto"/>
                <w:szCs w:val="24"/>
                <w:lang w:val="en-US" w:eastAsia="zh-CN"/>
              </w:rPr>
              <w:t>12、</w:t>
            </w:r>
            <w:r>
              <w:rPr>
                <w:rFonts w:ascii="Times New Roman" w:hAnsi="Times New Roman"/>
                <w:b/>
                <w:bCs/>
                <w:color w:val="auto"/>
                <w:szCs w:val="24"/>
              </w:rPr>
              <w:t>平面布置图</w:t>
            </w:r>
          </w:p>
          <w:p w14:paraId="5772DC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highlight w:val="none"/>
                <w:lang w:val="en-US" w:eastAsia="zh-CN"/>
              </w:rPr>
            </w:pPr>
            <w:r>
              <w:rPr>
                <w:rFonts w:hint="eastAsia"/>
                <w:color w:val="auto"/>
                <w:sz w:val="24"/>
                <w:lang w:val="en-US" w:eastAsia="zh-CN"/>
              </w:rPr>
              <w:t>根据平面布置图</w:t>
            </w:r>
            <w:r>
              <w:rPr>
                <w:color w:val="auto"/>
                <w:sz w:val="24"/>
              </w:rPr>
              <w:t>，</w:t>
            </w:r>
            <w:r>
              <w:rPr>
                <w:rFonts w:ascii="Times New Roman" w:hAnsi="Times New Roman"/>
                <w:color w:val="auto"/>
                <w:sz w:val="24"/>
                <w:highlight w:val="none"/>
              </w:rPr>
              <w:t>车间布置有明显的功能分区，生产线在车间的东边有多个出入口连接园区道路，且园区内部道路在厂房四周呈环状分布</w:t>
            </w:r>
            <w:r>
              <w:rPr>
                <w:rFonts w:hint="eastAsia" w:ascii="Times New Roman" w:hAnsi="Times New Roman"/>
                <w:color w:val="auto"/>
                <w:sz w:val="24"/>
                <w:highlight w:val="none"/>
                <w:lang w:eastAsia="zh-CN"/>
              </w:rPr>
              <w:t>，</w:t>
            </w:r>
            <w:r>
              <w:rPr>
                <w:rFonts w:ascii="Times New Roman" w:hAnsi="Times New Roman"/>
                <w:color w:val="auto"/>
                <w:sz w:val="24"/>
                <w:highlight w:val="none"/>
              </w:rPr>
              <w:t>便于物料及产品的运输；根据功能划分，项目从西至东分别布置有缓冲车间、速冻车间、备品备件间、</w:t>
            </w:r>
            <w:r>
              <w:rPr>
                <w:rFonts w:hint="eastAsia" w:ascii="Times New Roman" w:hAnsi="Times New Roman"/>
                <w:color w:val="auto"/>
                <w:sz w:val="24"/>
                <w:highlight w:val="none"/>
                <w:lang w:val="en-US" w:eastAsia="zh-CN"/>
              </w:rPr>
              <w:t>酸碱液间</w:t>
            </w:r>
            <w:r>
              <w:rPr>
                <w:rFonts w:ascii="Times New Roman" w:hAnsi="Times New Roman"/>
                <w:color w:val="auto"/>
                <w:sz w:val="24"/>
                <w:highlight w:val="none"/>
              </w:rPr>
              <w:t>、水处理车间、灌装间、</w:t>
            </w:r>
            <w:r>
              <w:rPr>
                <w:rFonts w:ascii="Times New Roman" w:hAnsi="Times New Roman"/>
                <w:color w:val="auto"/>
                <w:sz w:val="24"/>
                <w:szCs w:val="24"/>
                <w:highlight w:val="none"/>
              </w:rPr>
              <w:t>车间化验室、CIP间、办公室、更衣室、换鞋间、管理间、调配间、速冻果蔬汁（浆）生产线车间</w:t>
            </w:r>
            <w:r>
              <w:rPr>
                <w:rFonts w:hint="eastAsia" w:ascii="Times New Roman" w:hAnsi="Times New Roman"/>
                <w:color w:val="auto"/>
                <w:sz w:val="24"/>
                <w:szCs w:val="24"/>
                <w:highlight w:val="none"/>
                <w:lang w:eastAsia="zh-CN"/>
              </w:rPr>
              <w:t>、</w:t>
            </w:r>
            <w:r>
              <w:rPr>
                <w:rFonts w:ascii="Times New Roman" w:hAnsi="Times New Roman"/>
                <w:color w:val="auto"/>
                <w:sz w:val="24"/>
                <w:szCs w:val="24"/>
                <w:highlight w:val="none"/>
              </w:rPr>
              <w:t>车</w:t>
            </w:r>
            <w:r>
              <w:rPr>
                <w:rFonts w:ascii="Times New Roman" w:hAnsi="Times New Roman"/>
                <w:color w:val="auto"/>
                <w:sz w:val="24"/>
                <w:highlight w:val="none"/>
              </w:rPr>
              <w:t>间化学品间、操作室、培养室、接种室、主管办公室、参观通道等</w:t>
            </w:r>
            <w:r>
              <w:rPr>
                <w:rFonts w:hint="eastAsia"/>
                <w:color w:val="auto"/>
                <w:sz w:val="24"/>
                <w:highlight w:val="none"/>
                <w:lang w:eastAsia="zh-CN"/>
              </w:rPr>
              <w:t>。</w:t>
            </w:r>
            <w:r>
              <w:rPr>
                <w:rFonts w:hint="eastAsia" w:ascii="Times New Roman" w:hAnsi="Times New Roman"/>
                <w:color w:val="auto"/>
                <w:sz w:val="24"/>
                <w:highlight w:val="none"/>
                <w:lang w:val="en-US" w:eastAsia="zh-CN"/>
              </w:rPr>
              <w:t>锅炉房位于厂房外西侧，设置1根30m高的排气筒</w:t>
            </w:r>
            <w:r>
              <w:rPr>
                <w:rFonts w:hint="eastAsia"/>
                <w:color w:val="auto"/>
                <w:sz w:val="24"/>
                <w:szCs w:val="24"/>
                <w:highlight w:val="none"/>
                <w:lang w:eastAsia="zh-CN"/>
              </w:rPr>
              <w:t>；</w:t>
            </w:r>
            <w:r>
              <w:rPr>
                <w:rFonts w:hint="eastAsia" w:ascii="Times New Roman" w:hAnsi="Times New Roman"/>
                <w:color w:val="auto"/>
                <w:sz w:val="24"/>
                <w:szCs w:val="24"/>
                <w:highlight w:val="none"/>
                <w:lang w:val="en-US" w:eastAsia="zh-CN"/>
              </w:rPr>
              <w:t>生产废水</w:t>
            </w:r>
            <w:r>
              <w:rPr>
                <w:rFonts w:hint="eastAsia" w:ascii="Times New Roman" w:hAnsi="Times New Roman"/>
                <w:color w:val="auto"/>
                <w:sz w:val="24"/>
                <w:highlight w:val="none"/>
                <w:lang w:val="en-US" w:eastAsia="zh-CN"/>
              </w:rPr>
              <w:t>沉淀池及</w:t>
            </w:r>
            <w:r>
              <w:rPr>
                <w:rFonts w:hint="eastAsia" w:ascii="Times New Roman" w:hAnsi="Times New Roman"/>
                <w:color w:val="auto"/>
                <w:sz w:val="24"/>
                <w:highlight w:val="none"/>
              </w:rPr>
              <w:t>一体化污水处理站在</w:t>
            </w:r>
            <w:r>
              <w:rPr>
                <w:rFonts w:hint="eastAsia" w:ascii="Times New Roman" w:hAnsi="Times New Roman"/>
                <w:color w:val="auto"/>
                <w:sz w:val="24"/>
                <w:highlight w:val="none"/>
                <w:lang w:val="en-US" w:eastAsia="zh-CN"/>
              </w:rPr>
              <w:t>厂房外北侧</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有利于污水收集</w:t>
            </w:r>
            <w:r>
              <w:rPr>
                <w:rFonts w:hint="eastAsia"/>
                <w:color w:val="auto"/>
                <w:sz w:val="24"/>
                <w:highlight w:val="none"/>
                <w:lang w:eastAsia="zh-CN"/>
              </w:rPr>
              <w:t>；</w:t>
            </w:r>
            <w:r>
              <w:rPr>
                <w:rFonts w:hint="eastAsia"/>
                <w:color w:val="auto"/>
                <w:sz w:val="24"/>
                <w:highlight w:val="none"/>
                <w:lang w:val="en-US" w:eastAsia="zh-CN"/>
              </w:rPr>
              <w:t>危废贮存间位于厂房外西北侧，便于运输。</w:t>
            </w:r>
          </w:p>
          <w:p w14:paraId="1721CF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color w:val="auto"/>
                <w:szCs w:val="21"/>
              </w:rPr>
            </w:pPr>
            <w:r>
              <w:rPr>
                <w:color w:val="auto"/>
                <w:sz w:val="24"/>
              </w:rPr>
              <w:t>综上，项目布局简单，平面布局合理。</w:t>
            </w:r>
          </w:p>
        </w:tc>
      </w:tr>
      <w:tr w14:paraId="0853D8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28" w:type="pct"/>
            <w:vAlign w:val="center"/>
          </w:tcPr>
          <w:p w14:paraId="749C76F3">
            <w:pPr>
              <w:pStyle w:val="19"/>
              <w:adjustRightInd w:val="0"/>
              <w:snapToGrid w:val="0"/>
              <w:spacing w:before="0" w:beforeAutospacing="0" w:after="0" w:afterAutospacing="0"/>
              <w:jc w:val="center"/>
              <w:rPr>
                <w:rFonts w:ascii="Times New Roman" w:hAnsi="Times New Roman" w:cs="Times New Roman"/>
                <w:color w:val="auto"/>
                <w:sz w:val="21"/>
                <w:szCs w:val="21"/>
              </w:rPr>
            </w:pPr>
            <w:r>
              <w:rPr>
                <w:rFonts w:ascii="Times New Roman" w:hAnsi="Times New Roman" w:cs="Times New Roman"/>
                <w:color w:val="auto"/>
                <w:sz w:val="24"/>
                <w:szCs w:val="24"/>
              </w:rPr>
              <w:t>工艺流程和产排污环节</w:t>
            </w:r>
          </w:p>
        </w:tc>
        <w:tc>
          <w:tcPr>
            <w:tcW w:w="4571" w:type="pct"/>
          </w:tcPr>
          <w:p w14:paraId="3FBADB97">
            <w:pPr>
              <w:spacing w:line="360" w:lineRule="auto"/>
              <w:rPr>
                <w:rFonts w:hint="default" w:eastAsia="宋体"/>
                <w:b/>
                <w:bCs/>
                <w:color w:val="auto"/>
                <w:sz w:val="24"/>
                <w:lang w:val="en-US" w:eastAsia="zh-CN"/>
              </w:rPr>
            </w:pPr>
            <w:r>
              <w:rPr>
                <w:rFonts w:hint="eastAsia"/>
                <w:b/>
                <w:bCs/>
                <w:color w:val="auto"/>
                <w:sz w:val="24"/>
                <w:lang w:val="en-US" w:eastAsia="zh-CN"/>
              </w:rPr>
              <w:t>一、施工期工艺流程及产污节点分析</w:t>
            </w:r>
          </w:p>
          <w:p w14:paraId="383358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本次技改主要</w:t>
            </w:r>
            <w:r>
              <w:rPr>
                <w:rFonts w:hint="eastAsia" w:cs="Times New Roman"/>
                <w:color w:val="auto"/>
                <w:sz w:val="24"/>
                <w:highlight w:val="none"/>
                <w:lang w:val="en-US" w:eastAsia="zh-CN"/>
              </w:rPr>
              <w:t>将现有2t/h燃生物质锅炉拆除，安装1台2.2t/h燃生物质锅炉及配套除尘设施。</w:t>
            </w:r>
            <w:r>
              <w:rPr>
                <w:rFonts w:hint="eastAsia" w:cs="Times New Roman"/>
                <w:color w:val="auto"/>
                <w:sz w:val="24"/>
                <w:szCs w:val="24"/>
                <w:lang w:val="en-US" w:eastAsia="zh-CN"/>
              </w:rPr>
              <w:t>项目施工工程量小，施工期短，施工期仅产生少量的施工废气、施工人员生活污水、施工噪声、施工人员生活垃圾、固体废物等。施工期工艺流程及产污环节如下图所示。</w:t>
            </w:r>
          </w:p>
          <w:p w14:paraId="1CB3C045">
            <w:pPr>
              <w:pStyle w:val="10"/>
              <w:jc w:val="center"/>
              <w:rPr>
                <w:rFonts w:hint="eastAsia" w:cs="Times New Roman"/>
                <w:color w:val="auto"/>
                <w:sz w:val="24"/>
                <w:szCs w:val="24"/>
                <w:lang w:val="en-US" w:eastAsia="zh-CN"/>
              </w:rPr>
            </w:pPr>
            <w:r>
              <w:rPr>
                <w:rFonts w:hint="default" w:ascii="Times New Roman" w:hAnsi="Times New Roman" w:cs="Times New Roman"/>
                <w:color w:val="auto"/>
              </w:rPr>
              <w:object>
                <v:shape id="_x0000_i1027" o:spt="75" type="#_x0000_t75" style="height:73.4pt;width:234.7pt;" o:ole="t" filled="f" o:preferrelative="t" stroked="f" coordsize="21600,21600">
                  <v:path/>
                  <v:fill on="f" focussize="0,0"/>
                  <v:stroke on="f"/>
                  <v:imagedata r:id="rId16" o:title=""/>
                  <o:lock v:ext="edit" aspectratio="t"/>
                  <w10:wrap type="none"/>
                  <w10:anchorlock/>
                </v:shape>
                <o:OLEObject Type="Embed" ProgID="Visio.Drawing.11" ShapeID="_x0000_i1027" DrawAspect="Content" ObjectID="_1468075727" r:id="rId15">
                  <o:LockedField>false</o:LockedField>
                </o:OLEObject>
              </w:object>
            </w:r>
          </w:p>
          <w:p w14:paraId="66C3416C">
            <w:pPr>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图</w:t>
            </w:r>
            <w:r>
              <w:rPr>
                <w:rFonts w:hint="eastAsia"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rPr>
              <w:t>-</w:t>
            </w:r>
            <w:r>
              <w:rPr>
                <w:rFonts w:hint="eastAsia" w:ascii="Times New Roman" w:hAnsi="Times New Roman" w:cs="Times New Roman"/>
                <w:b/>
                <w:color w:val="auto"/>
                <w:sz w:val="21"/>
                <w:szCs w:val="21"/>
                <w:lang w:val="en-US" w:eastAsia="zh-CN"/>
              </w:rPr>
              <w:t>3</w:t>
            </w:r>
            <w:r>
              <w:rPr>
                <w:rFonts w:hint="default" w:ascii="Times New Roman" w:hAnsi="Times New Roman" w:cs="Times New Roman"/>
                <w:b/>
                <w:color w:val="auto"/>
                <w:sz w:val="21"/>
                <w:szCs w:val="21"/>
              </w:rPr>
              <w:t xml:space="preserve">   项目施工期产污环节示意图</w:t>
            </w:r>
          </w:p>
          <w:p w14:paraId="2207C190">
            <w:pPr>
              <w:rPr>
                <w:rFonts w:hint="default"/>
                <w:color w:val="auto"/>
                <w:lang w:val="en-US" w:eastAsia="zh-CN"/>
              </w:rPr>
            </w:pPr>
          </w:p>
          <w:p w14:paraId="30DF79B4">
            <w:pPr>
              <w:spacing w:line="360" w:lineRule="auto"/>
              <w:rPr>
                <w:rFonts w:hint="default" w:eastAsia="宋体"/>
                <w:b/>
                <w:bCs/>
                <w:color w:val="auto"/>
                <w:sz w:val="24"/>
                <w:lang w:val="en-US" w:eastAsia="zh-CN"/>
              </w:rPr>
            </w:pPr>
            <w:r>
              <w:rPr>
                <w:rFonts w:hint="eastAsia"/>
                <w:b/>
                <w:bCs/>
                <w:color w:val="auto"/>
                <w:sz w:val="24"/>
                <w:lang w:val="en-US" w:eastAsia="zh-CN"/>
              </w:rPr>
              <w:t>二、运营期工艺流程及产污节点分析</w:t>
            </w:r>
          </w:p>
          <w:p w14:paraId="15CA89B2">
            <w:pPr>
              <w:adjustRightInd w:val="0"/>
              <w:snapToGrid w:val="0"/>
              <w:spacing w:line="360" w:lineRule="auto"/>
              <w:jc w:val="center"/>
              <w:rPr>
                <w:color w:val="auto"/>
              </w:rPr>
            </w:pPr>
            <w:r>
              <w:rPr>
                <w:color w:val="auto"/>
              </w:rPr>
              <w:object>
                <v:shape id="_x0000_i1028" o:spt="75" type="#_x0000_t75" style="height:576.6pt;width:317.95pt;" o:ole="t" filled="f" o:preferrelative="t" stroked="f" coordsize="21600,21600">
                  <v:path/>
                  <v:fill on="f" focussize="0,0"/>
                  <v:stroke on="f"/>
                  <v:imagedata r:id="rId18" o:title=""/>
                  <o:lock v:ext="edit" aspectratio="f"/>
                  <w10:wrap type="none"/>
                  <w10:anchorlock/>
                </v:shape>
                <o:OLEObject Type="Embed" ProgID="Visio.Drawing.15" ShapeID="_x0000_i1028" DrawAspect="Content" ObjectID="_1468075728" r:id="rId17">
                  <o:LockedField>false</o:LockedField>
                </o:OLEObject>
              </w:object>
            </w:r>
          </w:p>
          <w:p w14:paraId="270DB53A">
            <w:pPr>
              <w:adjustRightInd w:val="0"/>
              <w:snapToGrid w:val="0"/>
              <w:spacing w:line="360" w:lineRule="auto"/>
              <w:jc w:val="center"/>
              <w:rPr>
                <w:rFonts w:hint="default" w:eastAsia="宋体"/>
                <w:color w:val="auto"/>
                <w:sz w:val="21"/>
                <w:szCs w:val="21"/>
                <w:highlight w:val="none"/>
                <w:lang w:val="en-US" w:eastAsia="zh-CN"/>
              </w:rPr>
            </w:pPr>
            <w:r>
              <w:rPr>
                <w:b/>
                <w:bCs/>
                <w:color w:val="auto"/>
                <w:sz w:val="21"/>
                <w:szCs w:val="21"/>
                <w:highlight w:val="none"/>
              </w:rPr>
              <w:t>图2-</w:t>
            </w:r>
            <w:r>
              <w:rPr>
                <w:rFonts w:hint="eastAsia"/>
                <w:b/>
                <w:bCs/>
                <w:color w:val="auto"/>
                <w:sz w:val="21"/>
                <w:szCs w:val="21"/>
                <w:highlight w:val="none"/>
                <w:lang w:val="en-US" w:eastAsia="zh-CN"/>
              </w:rPr>
              <w:t>3</w:t>
            </w:r>
            <w:r>
              <w:rPr>
                <w:b/>
                <w:bCs/>
                <w:color w:val="auto"/>
                <w:sz w:val="21"/>
                <w:szCs w:val="21"/>
                <w:highlight w:val="none"/>
              </w:rPr>
              <w:t xml:space="preserve">  生产工艺流程</w:t>
            </w:r>
            <w:r>
              <w:rPr>
                <w:rFonts w:hint="eastAsia"/>
                <w:b/>
                <w:bCs/>
                <w:color w:val="auto"/>
                <w:sz w:val="21"/>
                <w:szCs w:val="21"/>
                <w:highlight w:val="none"/>
                <w:lang w:val="en-US" w:eastAsia="zh-CN"/>
              </w:rPr>
              <w:t>及产污节点图</w:t>
            </w:r>
          </w:p>
          <w:p w14:paraId="02280410">
            <w:pPr>
              <w:adjustRightInd w:val="0"/>
              <w:snapToGrid w:val="0"/>
              <w:spacing w:line="360" w:lineRule="auto"/>
              <w:ind w:firstLine="480" w:firstLineChars="200"/>
              <w:textAlignment w:val="baseline"/>
              <w:rPr>
                <w:rFonts w:hint="default" w:eastAsia="宋体"/>
                <w:color w:val="auto"/>
                <w:sz w:val="24"/>
                <w:szCs w:val="24"/>
                <w:lang w:val="en-US" w:eastAsia="zh-CN"/>
              </w:rPr>
            </w:pPr>
            <w:r>
              <w:rPr>
                <w:color w:val="auto"/>
                <w:sz w:val="24"/>
                <w:szCs w:val="24"/>
              </w:rPr>
              <w:t>工艺流程简述：</w:t>
            </w:r>
          </w:p>
          <w:p w14:paraId="44B22E31">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color w:val="auto"/>
                <w:sz w:val="24"/>
                <w:szCs w:val="24"/>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w:t>
            </w:r>
            <w:r>
              <w:rPr>
                <w:color w:val="auto"/>
                <w:sz w:val="24"/>
                <w:szCs w:val="24"/>
              </w:rPr>
              <w:t>鲜果入厂检验：果子运到厂区进行简单检验，是否可用；</w:t>
            </w:r>
          </w:p>
          <w:p w14:paraId="2242B4C3">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cs="Times New Roman"/>
                <w:color w:val="auto"/>
                <w:sz w:val="24"/>
                <w:szCs w:val="24"/>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color w:val="auto"/>
                <w:sz w:val="24"/>
                <w:szCs w:val="24"/>
              </w:rPr>
              <w:t>卸果、提升输送：经过检验把可用的果子卸下</w:t>
            </w:r>
            <w:r>
              <w:rPr>
                <w:rFonts w:hint="eastAsia"/>
                <w:color w:val="auto"/>
                <w:sz w:val="24"/>
                <w:szCs w:val="24"/>
                <w:lang w:eastAsia="zh-CN"/>
              </w:rPr>
              <w:t>，</w:t>
            </w:r>
            <w:r>
              <w:rPr>
                <w:rFonts w:hint="eastAsia"/>
                <w:color w:val="auto"/>
                <w:sz w:val="24"/>
                <w:szCs w:val="24"/>
                <w:lang w:val="en-US" w:eastAsia="zh-CN"/>
              </w:rPr>
              <w:t>通过</w:t>
            </w:r>
            <w:r>
              <w:rPr>
                <w:color w:val="auto"/>
                <w:sz w:val="24"/>
                <w:szCs w:val="24"/>
              </w:rPr>
              <w:t>提升输送进入生产线</w:t>
            </w:r>
            <w:r>
              <w:rPr>
                <w:rFonts w:ascii="Times New Roman" w:hAnsi="Times New Roman" w:cs="Times New Roman"/>
                <w:color w:val="auto"/>
                <w:sz w:val="24"/>
                <w:szCs w:val="24"/>
              </w:rPr>
              <w:t>开始运行</w:t>
            </w:r>
            <w:r>
              <w:rPr>
                <w:rFonts w:hint="eastAsia" w:cs="Times New Roman"/>
                <w:color w:val="auto"/>
                <w:sz w:val="24"/>
                <w:szCs w:val="24"/>
                <w:lang w:eastAsia="zh-CN"/>
              </w:rPr>
              <w:t>，</w:t>
            </w:r>
            <w:r>
              <w:rPr>
                <w:rFonts w:hint="eastAsia" w:cs="Times New Roman"/>
                <w:color w:val="auto"/>
                <w:sz w:val="24"/>
                <w:szCs w:val="24"/>
                <w:lang w:val="en-US" w:eastAsia="zh-CN"/>
              </w:rPr>
              <w:t>此过程产生的污染物主要为噪声（N）</w:t>
            </w:r>
            <w:r>
              <w:rPr>
                <w:rFonts w:ascii="Times New Roman" w:hAnsi="Times New Roman" w:cs="Times New Roman"/>
                <w:color w:val="auto"/>
                <w:sz w:val="24"/>
                <w:szCs w:val="24"/>
              </w:rPr>
              <w:t>；</w:t>
            </w:r>
          </w:p>
          <w:p w14:paraId="11FF2151">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3</w:t>
            </w:r>
            <w:r>
              <w:rPr>
                <w:rFonts w:hint="eastAsia" w:cs="Times New Roman"/>
                <w:color w:val="auto"/>
                <w:sz w:val="24"/>
                <w:szCs w:val="24"/>
                <w:lang w:eastAsia="zh-CN"/>
              </w:rPr>
              <w:t>）</w:t>
            </w:r>
            <w:r>
              <w:rPr>
                <w:rFonts w:ascii="Times New Roman" w:hAnsi="Times New Roman" w:cs="Times New Roman"/>
                <w:color w:val="auto"/>
                <w:sz w:val="24"/>
                <w:szCs w:val="24"/>
              </w:rPr>
              <w:t>人工挑选</w:t>
            </w:r>
            <w:r>
              <w:rPr>
                <w:rFonts w:hint="eastAsia" w:cs="Times New Roman"/>
                <w:color w:val="auto"/>
                <w:sz w:val="24"/>
                <w:szCs w:val="24"/>
                <w:lang w:eastAsia="zh-CN"/>
              </w:rPr>
              <w:t>：</w:t>
            </w:r>
            <w:r>
              <w:rPr>
                <w:rFonts w:hint="eastAsia" w:cs="Times New Roman"/>
                <w:color w:val="auto"/>
                <w:sz w:val="24"/>
                <w:szCs w:val="24"/>
                <w:lang w:val="en-US" w:eastAsia="zh-CN"/>
              </w:rPr>
              <w:t>水果</w:t>
            </w:r>
            <w:r>
              <w:rPr>
                <w:rFonts w:ascii="Times New Roman" w:hAnsi="Times New Roman" w:cs="Times New Roman"/>
                <w:color w:val="auto"/>
                <w:sz w:val="24"/>
                <w:szCs w:val="24"/>
              </w:rPr>
              <w:t>经</w:t>
            </w:r>
            <w:r>
              <w:rPr>
                <w:rFonts w:hint="eastAsia" w:cs="Times New Roman"/>
                <w:color w:val="auto"/>
                <w:sz w:val="24"/>
                <w:szCs w:val="24"/>
                <w:lang w:val="en-US" w:eastAsia="zh-CN"/>
              </w:rPr>
              <w:t>提升输送机</w:t>
            </w:r>
            <w:r>
              <w:rPr>
                <w:rFonts w:ascii="Times New Roman" w:hAnsi="Times New Roman" w:cs="Times New Roman"/>
                <w:color w:val="auto"/>
                <w:sz w:val="24"/>
                <w:szCs w:val="24"/>
              </w:rPr>
              <w:t>输送到生产线</w:t>
            </w:r>
            <w:r>
              <w:rPr>
                <w:rFonts w:hint="eastAsia" w:cs="Times New Roman"/>
                <w:color w:val="auto"/>
                <w:sz w:val="24"/>
                <w:szCs w:val="24"/>
                <w:lang w:val="en-US" w:eastAsia="zh-CN"/>
              </w:rPr>
              <w:t>进行人工</w:t>
            </w:r>
            <w:r>
              <w:rPr>
                <w:rFonts w:ascii="Times New Roman" w:hAnsi="Times New Roman" w:cs="Times New Roman"/>
                <w:color w:val="auto"/>
                <w:sz w:val="24"/>
                <w:szCs w:val="24"/>
              </w:rPr>
              <w:t>挑选</w:t>
            </w:r>
            <w:r>
              <w:rPr>
                <w:rFonts w:hint="eastAsia" w:cs="Times New Roman"/>
                <w:color w:val="auto"/>
                <w:sz w:val="24"/>
                <w:szCs w:val="24"/>
                <w:lang w:eastAsia="zh-CN"/>
              </w:rPr>
              <w:t>，</w:t>
            </w:r>
            <w:r>
              <w:rPr>
                <w:rFonts w:ascii="Times New Roman" w:hAnsi="Times New Roman" w:cs="Times New Roman"/>
                <w:color w:val="auto"/>
                <w:sz w:val="24"/>
                <w:szCs w:val="24"/>
              </w:rPr>
              <w:t>把烂果、霉斑果和一些不</w:t>
            </w:r>
            <w:r>
              <w:rPr>
                <w:rFonts w:hint="eastAsia" w:cs="Times New Roman"/>
                <w:color w:val="auto"/>
                <w:sz w:val="24"/>
                <w:szCs w:val="24"/>
                <w:lang w:val="en-US" w:eastAsia="zh-CN"/>
              </w:rPr>
              <w:t>合格</w:t>
            </w:r>
            <w:r>
              <w:rPr>
                <w:rFonts w:ascii="Times New Roman" w:hAnsi="Times New Roman" w:cs="Times New Roman"/>
                <w:color w:val="auto"/>
                <w:sz w:val="24"/>
                <w:szCs w:val="24"/>
              </w:rPr>
              <w:t>果子</w:t>
            </w:r>
            <w:r>
              <w:rPr>
                <w:rFonts w:hint="eastAsia" w:cs="Times New Roman"/>
                <w:color w:val="auto"/>
                <w:sz w:val="24"/>
                <w:szCs w:val="24"/>
                <w:lang w:val="en-US" w:eastAsia="zh-CN"/>
              </w:rPr>
              <w:t>挑选出来</w:t>
            </w:r>
            <w:r>
              <w:rPr>
                <w:rFonts w:hint="eastAsia" w:cs="Times New Roman"/>
                <w:color w:val="auto"/>
                <w:sz w:val="24"/>
                <w:szCs w:val="24"/>
                <w:lang w:eastAsia="zh-CN"/>
              </w:rPr>
              <w:t>，</w:t>
            </w:r>
            <w:r>
              <w:rPr>
                <w:rFonts w:ascii="Times New Roman" w:hAnsi="Times New Roman" w:cs="Times New Roman"/>
                <w:color w:val="auto"/>
                <w:sz w:val="24"/>
                <w:szCs w:val="24"/>
              </w:rPr>
              <w:t>防止</w:t>
            </w:r>
            <w:r>
              <w:rPr>
                <w:rFonts w:hint="eastAsia" w:cs="Times New Roman"/>
                <w:color w:val="auto"/>
                <w:sz w:val="24"/>
                <w:szCs w:val="24"/>
                <w:lang w:val="en-US" w:eastAsia="zh-CN"/>
              </w:rPr>
              <w:t>项目出现</w:t>
            </w:r>
            <w:r>
              <w:rPr>
                <w:rFonts w:ascii="Times New Roman" w:hAnsi="Times New Roman" w:cs="Times New Roman"/>
                <w:color w:val="auto"/>
                <w:sz w:val="24"/>
                <w:szCs w:val="24"/>
              </w:rPr>
              <w:t>食品</w:t>
            </w:r>
            <w:r>
              <w:rPr>
                <w:rFonts w:hint="eastAsia" w:ascii="Times New Roman" w:hAnsi="Times New Roman" w:cs="Times New Roman"/>
                <w:color w:val="auto"/>
                <w:sz w:val="24"/>
                <w:szCs w:val="24"/>
              </w:rPr>
              <w:t>的</w:t>
            </w:r>
            <w:r>
              <w:rPr>
                <w:rFonts w:ascii="Times New Roman" w:hAnsi="Times New Roman" w:cs="Times New Roman"/>
                <w:color w:val="auto"/>
                <w:sz w:val="24"/>
                <w:szCs w:val="24"/>
              </w:rPr>
              <w:t>安全及品质</w:t>
            </w:r>
            <w:r>
              <w:rPr>
                <w:rFonts w:hint="eastAsia" w:cs="Times New Roman"/>
                <w:color w:val="auto"/>
                <w:sz w:val="24"/>
                <w:szCs w:val="24"/>
                <w:lang w:val="en-US" w:eastAsia="zh-CN"/>
              </w:rPr>
              <w:t>问题</w:t>
            </w:r>
            <w:r>
              <w:rPr>
                <w:rFonts w:ascii="Times New Roman" w:hAnsi="Times New Roman" w:cs="Times New Roman"/>
                <w:color w:val="auto"/>
                <w:sz w:val="24"/>
                <w:szCs w:val="24"/>
              </w:rPr>
              <w:t>。此过程</w:t>
            </w:r>
            <w:r>
              <w:rPr>
                <w:rFonts w:hint="eastAsia" w:cs="Times New Roman"/>
                <w:color w:val="auto"/>
                <w:sz w:val="24"/>
                <w:szCs w:val="24"/>
                <w:lang w:val="en-US" w:eastAsia="zh-CN"/>
              </w:rPr>
              <w:t>产生的污染物主要为废果（S1）、异味（G3）</w:t>
            </w:r>
            <w:r>
              <w:rPr>
                <w:rFonts w:ascii="Times New Roman" w:hAnsi="Times New Roman" w:cs="Times New Roman"/>
                <w:color w:val="auto"/>
                <w:sz w:val="24"/>
                <w:szCs w:val="24"/>
              </w:rPr>
              <w:t>；</w:t>
            </w:r>
          </w:p>
          <w:p w14:paraId="306DA8E1">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color w:val="auto"/>
                <w:sz w:val="24"/>
                <w:szCs w:val="24"/>
              </w:rPr>
            </w:pPr>
            <w:r>
              <w:rPr>
                <w:rFonts w:hint="eastAsia"/>
                <w:color w:val="auto"/>
                <w:sz w:val="24"/>
                <w:szCs w:val="24"/>
                <w:lang w:eastAsia="zh-CN"/>
              </w:rPr>
              <w:t>（</w:t>
            </w:r>
            <w:r>
              <w:rPr>
                <w:rFonts w:hint="eastAsia"/>
                <w:color w:val="auto"/>
                <w:sz w:val="24"/>
                <w:szCs w:val="24"/>
                <w:lang w:val="en-US" w:eastAsia="zh-CN"/>
              </w:rPr>
              <w:t>4</w:t>
            </w:r>
            <w:r>
              <w:rPr>
                <w:rFonts w:hint="eastAsia"/>
                <w:color w:val="auto"/>
                <w:sz w:val="24"/>
                <w:szCs w:val="24"/>
                <w:lang w:eastAsia="zh-CN"/>
              </w:rPr>
              <w:t>）</w:t>
            </w:r>
            <w:r>
              <w:rPr>
                <w:rFonts w:hint="eastAsia"/>
                <w:color w:val="auto"/>
                <w:sz w:val="24"/>
                <w:szCs w:val="24"/>
                <w:lang w:val="en-US" w:eastAsia="zh-CN"/>
              </w:rPr>
              <w:t>第一道鼓泡清洗：挑选完的果子</w:t>
            </w:r>
            <w:r>
              <w:rPr>
                <w:color w:val="auto"/>
                <w:sz w:val="24"/>
                <w:szCs w:val="24"/>
              </w:rPr>
              <w:t>通过</w:t>
            </w:r>
            <w:r>
              <w:rPr>
                <w:rFonts w:hint="eastAsia"/>
                <w:color w:val="auto"/>
                <w:sz w:val="24"/>
                <w:szCs w:val="24"/>
                <w:lang w:val="en-US" w:eastAsia="zh-CN"/>
              </w:rPr>
              <w:t>皮带输送机输送到第一道鼓泡清洗机进行鼓泡清洗，清洗过程中仅采用浓水进行鼓泡清洗，不添加其他清洗剂，</w:t>
            </w:r>
            <w:r>
              <w:rPr>
                <w:color w:val="auto"/>
                <w:sz w:val="24"/>
                <w:szCs w:val="24"/>
              </w:rPr>
              <w:t>清洗</w:t>
            </w:r>
            <w:r>
              <w:rPr>
                <w:rFonts w:hint="eastAsia"/>
                <w:color w:val="auto"/>
                <w:sz w:val="24"/>
                <w:szCs w:val="24"/>
                <w:lang w:val="en-US" w:eastAsia="zh-CN"/>
              </w:rPr>
              <w:t>2</w:t>
            </w:r>
            <w:r>
              <w:rPr>
                <w:color w:val="auto"/>
                <w:sz w:val="24"/>
                <w:szCs w:val="24"/>
              </w:rPr>
              <w:t>分钟后准备</w:t>
            </w:r>
            <w:r>
              <w:rPr>
                <w:rFonts w:hint="eastAsia"/>
                <w:color w:val="auto"/>
                <w:sz w:val="24"/>
                <w:szCs w:val="24"/>
                <w:lang w:eastAsia="zh-CN"/>
              </w:rPr>
              <w:t>进行</w:t>
            </w:r>
            <w:r>
              <w:rPr>
                <w:color w:val="auto"/>
                <w:sz w:val="24"/>
                <w:szCs w:val="24"/>
              </w:rPr>
              <w:t>下一步清洗。此过程中</w:t>
            </w:r>
            <w:r>
              <w:rPr>
                <w:rFonts w:hint="eastAsia"/>
                <w:color w:val="auto"/>
                <w:sz w:val="24"/>
                <w:szCs w:val="24"/>
                <w:lang w:val="en-US" w:eastAsia="zh-CN"/>
              </w:rPr>
              <w:t>产生清洗废水（W4）及噪声（N）；</w:t>
            </w:r>
          </w:p>
          <w:p w14:paraId="728E0E72">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color w:val="auto"/>
                <w:sz w:val="24"/>
                <w:szCs w:val="24"/>
                <w:lang w:val="en-US" w:eastAsia="zh-CN"/>
              </w:rPr>
            </w:pPr>
            <w:r>
              <w:rPr>
                <w:rFonts w:hint="eastAsia"/>
                <w:color w:val="auto"/>
                <w:sz w:val="24"/>
                <w:szCs w:val="24"/>
                <w:lang w:val="en-US" w:eastAsia="zh-CN"/>
              </w:rPr>
              <w:t>（5）第二道毛刷清洗：经第一道水果清洗完成的水果通过皮带输送机输送到第二道毛刷清洗剂进行毛刷清洗水果，</w:t>
            </w:r>
            <w:r>
              <w:rPr>
                <w:color w:val="auto"/>
                <w:sz w:val="24"/>
                <w:szCs w:val="24"/>
              </w:rPr>
              <w:t>清洗</w:t>
            </w:r>
            <w:r>
              <w:rPr>
                <w:rFonts w:hint="eastAsia"/>
                <w:color w:val="auto"/>
                <w:sz w:val="24"/>
                <w:szCs w:val="24"/>
                <w:lang w:val="en-US" w:eastAsia="zh-CN"/>
              </w:rPr>
              <w:t>2</w:t>
            </w:r>
            <w:r>
              <w:rPr>
                <w:color w:val="auto"/>
                <w:sz w:val="24"/>
                <w:szCs w:val="24"/>
              </w:rPr>
              <w:t>分钟</w:t>
            </w:r>
            <w:r>
              <w:rPr>
                <w:rFonts w:hint="eastAsia"/>
                <w:color w:val="auto"/>
                <w:sz w:val="24"/>
                <w:szCs w:val="24"/>
                <w:lang w:eastAsia="zh-CN"/>
              </w:rPr>
              <w:t>，</w:t>
            </w:r>
            <w:r>
              <w:rPr>
                <w:rFonts w:hint="eastAsia"/>
                <w:color w:val="auto"/>
                <w:sz w:val="24"/>
                <w:szCs w:val="24"/>
                <w:lang w:val="en-US" w:eastAsia="zh-CN"/>
              </w:rPr>
              <w:t>采用毛刷刷干净水果表面的污渍，此过程产生的污染物主要为清洗废水（W5）及噪声（N）；</w:t>
            </w:r>
          </w:p>
          <w:p w14:paraId="1CBD66BB">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eastAsia="宋体"/>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6</w:t>
            </w:r>
            <w:r>
              <w:rPr>
                <w:rFonts w:hint="eastAsia"/>
                <w:color w:val="auto"/>
                <w:sz w:val="24"/>
                <w:szCs w:val="24"/>
                <w:lang w:eastAsia="zh-CN"/>
              </w:rPr>
              <w:t>）</w:t>
            </w:r>
            <w:r>
              <w:rPr>
                <w:rFonts w:hint="eastAsia"/>
                <w:color w:val="auto"/>
                <w:sz w:val="24"/>
                <w:szCs w:val="24"/>
                <w:lang w:val="en-US" w:eastAsia="zh-CN"/>
              </w:rPr>
              <w:t>第三道鼓泡消毒：此工序需采用</w:t>
            </w:r>
            <w:r>
              <w:rPr>
                <w:color w:val="auto"/>
                <w:sz w:val="24"/>
                <w:szCs w:val="24"/>
              </w:rPr>
              <w:t>苏纳米100</w:t>
            </w:r>
            <w:r>
              <w:rPr>
                <w:rFonts w:hint="eastAsia"/>
                <w:color w:val="auto"/>
                <w:sz w:val="24"/>
                <w:szCs w:val="24"/>
                <w:lang w:val="en-US" w:eastAsia="zh-CN"/>
              </w:rPr>
              <w:t>及纯水对水果进行消毒处理，</w:t>
            </w:r>
            <w:r>
              <w:rPr>
                <w:color w:val="auto"/>
                <w:sz w:val="24"/>
                <w:szCs w:val="24"/>
              </w:rPr>
              <w:t>苏纳米100主要成分为过氧乙酸、过氧化氢、有效氧，能有效的去除农残物但符合安全食品的规范。</w:t>
            </w:r>
            <w:r>
              <w:rPr>
                <w:rFonts w:hint="eastAsia"/>
                <w:color w:val="auto"/>
                <w:sz w:val="24"/>
                <w:szCs w:val="24"/>
                <w:lang w:val="en-US" w:eastAsia="zh-CN"/>
              </w:rPr>
              <w:t>此过程产生的污染物主要为清洗废水（W6）及噪声（N）；</w:t>
            </w:r>
          </w:p>
          <w:p w14:paraId="2B60E51D">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7</w:t>
            </w:r>
            <w:r>
              <w:rPr>
                <w:rFonts w:hint="eastAsia"/>
                <w:color w:val="auto"/>
                <w:sz w:val="24"/>
                <w:szCs w:val="24"/>
                <w:lang w:eastAsia="zh-CN"/>
              </w:rPr>
              <w:t>）</w:t>
            </w:r>
            <w:r>
              <w:rPr>
                <w:rFonts w:hint="eastAsia"/>
                <w:color w:val="auto"/>
                <w:sz w:val="24"/>
                <w:szCs w:val="24"/>
                <w:lang w:val="en-US" w:eastAsia="zh-CN"/>
              </w:rPr>
              <w:t>第四道鼓泡清洗：</w:t>
            </w:r>
            <w:r>
              <w:rPr>
                <w:color w:val="auto"/>
                <w:sz w:val="24"/>
                <w:szCs w:val="24"/>
              </w:rPr>
              <w:t>进行最后一</w:t>
            </w:r>
            <w:r>
              <w:rPr>
                <w:rFonts w:hint="eastAsia"/>
                <w:color w:val="auto"/>
                <w:sz w:val="24"/>
                <w:szCs w:val="24"/>
                <w:lang w:val="en-US" w:eastAsia="zh-CN"/>
              </w:rPr>
              <w:t>次</w:t>
            </w:r>
            <w:r>
              <w:rPr>
                <w:color w:val="auto"/>
                <w:sz w:val="24"/>
                <w:szCs w:val="24"/>
              </w:rPr>
              <w:t>清洗</w:t>
            </w:r>
            <w:r>
              <w:rPr>
                <w:rFonts w:hint="eastAsia"/>
                <w:color w:val="auto"/>
                <w:sz w:val="24"/>
                <w:szCs w:val="24"/>
                <w:lang w:val="en-US" w:eastAsia="zh-CN"/>
              </w:rPr>
              <w:t>采用</w:t>
            </w:r>
            <w:r>
              <w:rPr>
                <w:rFonts w:hint="eastAsia"/>
                <w:color w:val="auto"/>
                <w:sz w:val="24"/>
                <w:szCs w:val="24"/>
              </w:rPr>
              <w:t>纯水进行清洗</w:t>
            </w:r>
            <w:r>
              <w:rPr>
                <w:color w:val="auto"/>
                <w:sz w:val="24"/>
                <w:szCs w:val="24"/>
              </w:rPr>
              <w:t>，此过程</w:t>
            </w:r>
            <w:r>
              <w:rPr>
                <w:rFonts w:hint="eastAsia"/>
                <w:color w:val="auto"/>
                <w:sz w:val="24"/>
                <w:szCs w:val="24"/>
                <w:lang w:val="en-US" w:eastAsia="zh-CN"/>
              </w:rPr>
              <w:t>产生的污染物主要为清洗废水（W7）及噪声（N）</w:t>
            </w:r>
            <w:r>
              <w:rPr>
                <w:rFonts w:hint="eastAsia"/>
                <w:color w:val="auto"/>
                <w:sz w:val="24"/>
                <w:szCs w:val="24"/>
              </w:rPr>
              <w:t>；</w:t>
            </w:r>
          </w:p>
          <w:p w14:paraId="73A658B3">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color w:val="auto"/>
                <w:sz w:val="24"/>
                <w:szCs w:val="24"/>
              </w:rPr>
            </w:pPr>
            <w:r>
              <w:rPr>
                <w:rFonts w:hint="eastAsia"/>
                <w:color w:val="auto"/>
                <w:sz w:val="24"/>
                <w:szCs w:val="24"/>
                <w:lang w:eastAsia="zh-CN"/>
              </w:rPr>
              <w:t>（</w:t>
            </w:r>
            <w:r>
              <w:rPr>
                <w:rFonts w:hint="eastAsia"/>
                <w:color w:val="auto"/>
                <w:sz w:val="24"/>
                <w:szCs w:val="24"/>
                <w:lang w:val="en-US" w:eastAsia="zh-CN"/>
              </w:rPr>
              <w:t>8</w:t>
            </w:r>
            <w:r>
              <w:rPr>
                <w:rFonts w:hint="eastAsia"/>
                <w:color w:val="auto"/>
                <w:sz w:val="24"/>
                <w:szCs w:val="24"/>
                <w:lang w:eastAsia="zh-CN"/>
              </w:rPr>
              <w:t>）</w:t>
            </w:r>
            <w:r>
              <w:rPr>
                <w:color w:val="auto"/>
                <w:sz w:val="24"/>
                <w:szCs w:val="24"/>
              </w:rPr>
              <w:t>去梗、挑选、去核、去皮：</w:t>
            </w:r>
            <w:r>
              <w:rPr>
                <w:rFonts w:hint="eastAsia"/>
                <w:color w:val="auto"/>
                <w:sz w:val="24"/>
                <w:szCs w:val="24"/>
                <w:lang w:val="en-US" w:eastAsia="zh-CN"/>
              </w:rPr>
              <w:t>水果</w:t>
            </w:r>
            <w:r>
              <w:rPr>
                <w:color w:val="auto"/>
                <w:sz w:val="24"/>
                <w:szCs w:val="24"/>
              </w:rPr>
              <w:t>经清洗完成后</w:t>
            </w:r>
            <w:r>
              <w:rPr>
                <w:rFonts w:hint="eastAsia"/>
                <w:color w:val="auto"/>
                <w:sz w:val="24"/>
                <w:szCs w:val="24"/>
              </w:rPr>
              <w:t>进行</w:t>
            </w:r>
            <w:r>
              <w:rPr>
                <w:color w:val="auto"/>
                <w:sz w:val="24"/>
                <w:szCs w:val="24"/>
              </w:rPr>
              <w:t>去梗、挑选、去核、去皮，果蔬丁块为了提高口感需人工进行去皮。此过程</w:t>
            </w:r>
            <w:r>
              <w:rPr>
                <w:rFonts w:hint="eastAsia"/>
                <w:color w:val="auto"/>
                <w:sz w:val="24"/>
                <w:szCs w:val="24"/>
                <w:lang w:val="en-US" w:eastAsia="zh-CN"/>
              </w:rPr>
              <w:t>产生的污染物主要为</w:t>
            </w:r>
            <w:r>
              <w:rPr>
                <w:color w:val="auto"/>
                <w:sz w:val="24"/>
                <w:szCs w:val="24"/>
              </w:rPr>
              <w:t>废</w:t>
            </w:r>
            <w:r>
              <w:rPr>
                <w:rFonts w:hint="eastAsia"/>
                <w:color w:val="auto"/>
                <w:sz w:val="24"/>
                <w:szCs w:val="24"/>
                <w:lang w:val="en-US" w:eastAsia="zh-CN"/>
              </w:rPr>
              <w:t>水果</w:t>
            </w:r>
            <w:r>
              <w:rPr>
                <w:color w:val="auto"/>
                <w:sz w:val="24"/>
                <w:szCs w:val="24"/>
              </w:rPr>
              <w:t>、果皮</w:t>
            </w:r>
            <w:r>
              <w:rPr>
                <w:rFonts w:hint="eastAsia"/>
                <w:color w:val="auto"/>
                <w:sz w:val="24"/>
                <w:szCs w:val="24"/>
                <w:lang w:eastAsia="zh-CN"/>
              </w:rPr>
              <w:t>（</w:t>
            </w:r>
            <w:r>
              <w:rPr>
                <w:rFonts w:hint="eastAsia"/>
                <w:color w:val="auto"/>
                <w:sz w:val="24"/>
                <w:szCs w:val="24"/>
                <w:lang w:val="en-US" w:eastAsia="zh-CN"/>
              </w:rPr>
              <w:t>S1</w:t>
            </w:r>
            <w:r>
              <w:rPr>
                <w:rFonts w:hint="eastAsia"/>
                <w:color w:val="auto"/>
                <w:sz w:val="24"/>
                <w:szCs w:val="24"/>
                <w:lang w:eastAsia="zh-CN"/>
              </w:rPr>
              <w:t>）、</w:t>
            </w:r>
            <w:r>
              <w:rPr>
                <w:rFonts w:hint="eastAsia"/>
                <w:color w:val="auto"/>
                <w:sz w:val="24"/>
                <w:szCs w:val="24"/>
                <w:lang w:val="en-US" w:eastAsia="zh-CN"/>
              </w:rPr>
              <w:t>异味（G3）</w:t>
            </w:r>
            <w:r>
              <w:rPr>
                <w:rFonts w:hint="eastAsia"/>
                <w:color w:val="auto"/>
                <w:sz w:val="24"/>
                <w:szCs w:val="24"/>
              </w:rPr>
              <w:t>；</w:t>
            </w:r>
          </w:p>
          <w:p w14:paraId="4553D3BD">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color w:val="auto"/>
                <w:sz w:val="24"/>
                <w:szCs w:val="24"/>
              </w:rPr>
            </w:pPr>
            <w:r>
              <w:rPr>
                <w:rFonts w:hint="eastAsia"/>
                <w:color w:val="auto"/>
                <w:sz w:val="24"/>
                <w:szCs w:val="24"/>
                <w:lang w:eastAsia="zh-CN"/>
              </w:rPr>
              <w:t>（</w:t>
            </w:r>
            <w:r>
              <w:rPr>
                <w:rFonts w:hint="eastAsia"/>
                <w:color w:val="auto"/>
                <w:sz w:val="24"/>
                <w:szCs w:val="24"/>
                <w:lang w:val="en-US" w:eastAsia="zh-CN"/>
              </w:rPr>
              <w:t>9</w:t>
            </w:r>
            <w:r>
              <w:rPr>
                <w:rFonts w:hint="eastAsia"/>
                <w:color w:val="auto"/>
                <w:sz w:val="24"/>
                <w:szCs w:val="24"/>
                <w:lang w:eastAsia="zh-CN"/>
              </w:rPr>
              <w:t>）</w:t>
            </w:r>
            <w:r>
              <w:rPr>
                <w:color w:val="auto"/>
                <w:sz w:val="24"/>
                <w:szCs w:val="24"/>
              </w:rPr>
              <w:t>存储罐：</w:t>
            </w:r>
            <w:r>
              <w:rPr>
                <w:rFonts w:hint="eastAsia"/>
                <w:color w:val="auto"/>
                <w:sz w:val="24"/>
                <w:szCs w:val="24"/>
                <w:lang w:val="en-US" w:eastAsia="zh-CN"/>
              </w:rPr>
              <w:t>把剩余94%~95%的处理完的水果</w:t>
            </w:r>
            <w:r>
              <w:rPr>
                <w:color w:val="auto"/>
                <w:sz w:val="24"/>
                <w:szCs w:val="24"/>
              </w:rPr>
              <w:t>通过输送带输送到存储罐等待</w:t>
            </w:r>
            <w:r>
              <w:rPr>
                <w:rFonts w:hint="eastAsia"/>
                <w:color w:val="auto"/>
                <w:sz w:val="24"/>
                <w:szCs w:val="24"/>
                <w:lang w:val="en-US" w:eastAsia="zh-CN"/>
              </w:rPr>
              <w:t>进入后续加工工序</w:t>
            </w:r>
            <w:r>
              <w:rPr>
                <w:color w:val="auto"/>
                <w:sz w:val="24"/>
                <w:szCs w:val="24"/>
              </w:rPr>
              <w:t>；</w:t>
            </w:r>
          </w:p>
          <w:p w14:paraId="21DDA753">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color w:val="auto"/>
                <w:sz w:val="24"/>
                <w:szCs w:val="24"/>
              </w:rPr>
            </w:pPr>
            <w:r>
              <w:rPr>
                <w:rFonts w:hint="eastAsia"/>
                <w:color w:val="auto"/>
                <w:sz w:val="24"/>
                <w:szCs w:val="24"/>
                <w:lang w:eastAsia="zh-CN"/>
              </w:rPr>
              <w:t>（</w:t>
            </w:r>
            <w:r>
              <w:rPr>
                <w:rFonts w:hint="eastAsia"/>
                <w:color w:val="auto"/>
                <w:sz w:val="24"/>
                <w:szCs w:val="24"/>
                <w:lang w:val="en-US" w:eastAsia="zh-CN"/>
              </w:rPr>
              <w:t>10</w:t>
            </w:r>
            <w:r>
              <w:rPr>
                <w:rFonts w:hint="eastAsia"/>
                <w:color w:val="auto"/>
                <w:sz w:val="24"/>
                <w:szCs w:val="24"/>
                <w:lang w:eastAsia="zh-CN"/>
              </w:rPr>
              <w:t>）</w:t>
            </w:r>
            <w:r>
              <w:rPr>
                <w:color w:val="auto"/>
                <w:sz w:val="24"/>
                <w:szCs w:val="24"/>
              </w:rPr>
              <w:t>打浆、去杂质</w:t>
            </w:r>
            <w:r>
              <w:rPr>
                <w:rFonts w:hint="eastAsia"/>
                <w:color w:val="auto"/>
                <w:sz w:val="24"/>
                <w:szCs w:val="24"/>
                <w:lang w:val="en-US" w:eastAsia="zh-CN"/>
              </w:rPr>
              <w:t>精制</w:t>
            </w:r>
            <w:r>
              <w:rPr>
                <w:color w:val="auto"/>
                <w:sz w:val="24"/>
                <w:szCs w:val="24"/>
              </w:rPr>
              <w:t>：把存储罐</w:t>
            </w:r>
            <w:r>
              <w:rPr>
                <w:rFonts w:hint="eastAsia"/>
                <w:color w:val="auto"/>
                <w:sz w:val="24"/>
                <w:szCs w:val="24"/>
                <w:lang w:val="en-US" w:eastAsia="zh-CN"/>
              </w:rPr>
              <w:t>里的水果</w:t>
            </w:r>
            <w:r>
              <w:rPr>
                <w:color w:val="auto"/>
                <w:sz w:val="24"/>
                <w:szCs w:val="24"/>
              </w:rPr>
              <w:t>用螺旋输送机输送</w:t>
            </w:r>
            <w:r>
              <w:rPr>
                <w:rFonts w:hint="eastAsia"/>
                <w:color w:val="auto"/>
                <w:sz w:val="24"/>
                <w:szCs w:val="24"/>
                <w:lang w:val="en-US" w:eastAsia="zh-CN"/>
              </w:rPr>
              <w:t>到</w:t>
            </w:r>
            <w:r>
              <w:rPr>
                <w:color w:val="auto"/>
                <w:sz w:val="24"/>
                <w:szCs w:val="24"/>
              </w:rPr>
              <w:t>双道打浆机，再通过去杂质</w:t>
            </w:r>
            <w:r>
              <w:rPr>
                <w:rFonts w:hint="eastAsia"/>
                <w:color w:val="auto"/>
                <w:sz w:val="24"/>
                <w:szCs w:val="24"/>
                <w:lang w:val="en-US" w:eastAsia="zh-CN"/>
              </w:rPr>
              <w:t>精制</w:t>
            </w:r>
            <w:r>
              <w:rPr>
                <w:color w:val="auto"/>
                <w:sz w:val="24"/>
                <w:szCs w:val="24"/>
              </w:rPr>
              <w:t>机把汁里面的杂质进行清除。此过程</w:t>
            </w:r>
            <w:r>
              <w:rPr>
                <w:rFonts w:hint="eastAsia"/>
                <w:color w:val="auto"/>
                <w:sz w:val="24"/>
                <w:szCs w:val="24"/>
                <w:lang w:val="en-US" w:eastAsia="zh-CN"/>
              </w:rPr>
              <w:t>产生的污染物主要为</w:t>
            </w:r>
            <w:r>
              <w:rPr>
                <w:color w:val="auto"/>
                <w:sz w:val="24"/>
                <w:szCs w:val="24"/>
              </w:rPr>
              <w:t>废果渣、异味</w:t>
            </w:r>
            <w:r>
              <w:rPr>
                <w:rFonts w:hint="eastAsia"/>
                <w:color w:val="auto"/>
                <w:sz w:val="24"/>
                <w:szCs w:val="24"/>
                <w:lang w:eastAsia="zh-CN"/>
              </w:rPr>
              <w:t>、</w:t>
            </w:r>
            <w:r>
              <w:rPr>
                <w:rFonts w:hint="eastAsia"/>
                <w:color w:val="auto"/>
                <w:sz w:val="24"/>
                <w:szCs w:val="24"/>
                <w:lang w:val="en-US" w:eastAsia="zh-CN"/>
              </w:rPr>
              <w:t>噪声</w:t>
            </w:r>
            <w:r>
              <w:rPr>
                <w:color w:val="auto"/>
                <w:sz w:val="24"/>
                <w:szCs w:val="24"/>
              </w:rPr>
              <w:t>；</w:t>
            </w:r>
          </w:p>
          <w:p w14:paraId="29BDEC86">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11</w:t>
            </w:r>
            <w:r>
              <w:rPr>
                <w:rFonts w:hint="eastAsia"/>
                <w:color w:val="auto"/>
                <w:sz w:val="24"/>
                <w:szCs w:val="24"/>
                <w:highlight w:val="none"/>
                <w:lang w:eastAsia="zh-CN"/>
              </w:rPr>
              <w:t>）</w:t>
            </w:r>
            <w:r>
              <w:rPr>
                <w:color w:val="auto"/>
                <w:sz w:val="24"/>
                <w:szCs w:val="24"/>
                <w:highlight w:val="none"/>
              </w:rPr>
              <w:t>存储罐、管式冷却：把打好的果蔬汁输送进存储罐、通过管式冷却系统进行冷却，保证果蔬汁的口感；</w:t>
            </w:r>
          </w:p>
          <w:p w14:paraId="209C8AE4">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12</w:t>
            </w:r>
            <w:r>
              <w:rPr>
                <w:rFonts w:hint="eastAsia"/>
                <w:color w:val="auto"/>
                <w:sz w:val="24"/>
                <w:szCs w:val="24"/>
                <w:highlight w:val="none"/>
                <w:lang w:eastAsia="zh-CN"/>
              </w:rPr>
              <w:t>）</w:t>
            </w:r>
            <w:r>
              <w:rPr>
                <w:color w:val="auto"/>
                <w:sz w:val="24"/>
                <w:szCs w:val="24"/>
                <w:highlight w:val="none"/>
              </w:rPr>
              <w:t>磁棒过滤器：把果蔬汁用磁棒过滤器分离液体介质中含有细度铁屑等成分，使之达到果汁的高品质；</w:t>
            </w:r>
          </w:p>
          <w:p w14:paraId="7B4EE326">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13）高温蒸汽杀菌：过滤完后的果蔬汁需采用杀菌机进行高温蒸汽杀菌处理，蒸汽由生物质锅炉提供，通过蒸汽间接加热水的方式进行灭菌。杀菌机设备清洗也通过CIP清洗系统进行清洗，清洗用水来源于纯水，除杀菌机外，其他生产设备、管道清洗也通过CIP清洗系统进行清洗。此过程产生的污染物主要为生物质锅炉燃烧废气（G1）、生物质锅炉炉渣清灰粉尘（G2）、炉渣（S2）、除尘灰（S3）、锅炉外排废水（W9）、CIP清洗系统进行清洗废水（W）、噪声等（N）；</w:t>
            </w:r>
          </w:p>
          <w:p w14:paraId="385B9299">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b/>
                <w:bCs/>
                <w:color w:val="auto"/>
                <w:sz w:val="24"/>
                <w:highlight w:val="none"/>
                <w:lang w:val="en-US" w:eastAsia="zh-CN"/>
              </w:rPr>
            </w:pPr>
            <w:r>
              <w:rPr>
                <w:rFonts w:hint="eastAsia"/>
                <w:color w:val="auto"/>
                <w:sz w:val="24"/>
                <w:szCs w:val="24"/>
                <w:highlight w:val="none"/>
                <w:lang w:eastAsia="zh-CN"/>
              </w:rPr>
              <w:t>（</w:t>
            </w:r>
            <w:r>
              <w:rPr>
                <w:rFonts w:hint="eastAsia"/>
                <w:color w:val="auto"/>
                <w:sz w:val="24"/>
                <w:szCs w:val="24"/>
                <w:highlight w:val="none"/>
                <w:lang w:val="en-US" w:eastAsia="zh-CN"/>
              </w:rPr>
              <w:t>14</w:t>
            </w:r>
            <w:r>
              <w:rPr>
                <w:rFonts w:hint="eastAsia"/>
                <w:color w:val="auto"/>
                <w:sz w:val="24"/>
                <w:szCs w:val="24"/>
                <w:highlight w:val="none"/>
                <w:lang w:eastAsia="zh-CN"/>
              </w:rPr>
              <w:t>）</w:t>
            </w:r>
            <w:r>
              <w:rPr>
                <w:color w:val="auto"/>
                <w:sz w:val="24"/>
                <w:szCs w:val="24"/>
                <w:highlight w:val="none"/>
              </w:rPr>
              <w:t>袋装、装筐、入</w:t>
            </w:r>
            <w:r>
              <w:rPr>
                <w:rFonts w:hint="eastAsia"/>
                <w:color w:val="auto"/>
                <w:sz w:val="24"/>
                <w:szCs w:val="24"/>
                <w:highlight w:val="none"/>
                <w:lang w:val="en-US" w:eastAsia="zh-CN"/>
              </w:rPr>
              <w:t>速冻</w:t>
            </w:r>
            <w:r>
              <w:rPr>
                <w:color w:val="auto"/>
                <w:sz w:val="24"/>
                <w:szCs w:val="24"/>
                <w:highlight w:val="none"/>
              </w:rPr>
              <w:t>库：果蔬汁</w:t>
            </w:r>
            <w:r>
              <w:rPr>
                <w:rFonts w:hint="eastAsia"/>
                <w:color w:val="auto"/>
                <w:sz w:val="24"/>
                <w:szCs w:val="24"/>
                <w:highlight w:val="none"/>
                <w:lang w:val="en-US" w:eastAsia="zh-CN"/>
              </w:rPr>
              <w:t>进行</w:t>
            </w:r>
            <w:r>
              <w:rPr>
                <w:color w:val="auto"/>
                <w:sz w:val="24"/>
                <w:szCs w:val="24"/>
                <w:highlight w:val="none"/>
              </w:rPr>
              <w:t>袋装，袋装完成后放入筐子里面</w:t>
            </w:r>
            <w:r>
              <w:rPr>
                <w:rFonts w:hint="eastAsia"/>
                <w:color w:val="auto"/>
                <w:sz w:val="24"/>
                <w:szCs w:val="24"/>
                <w:highlight w:val="none"/>
                <w:lang w:val="en-US" w:eastAsia="zh-CN"/>
              </w:rPr>
              <w:t>送到</w:t>
            </w:r>
            <w:r>
              <w:rPr>
                <w:color w:val="auto"/>
                <w:sz w:val="24"/>
                <w:szCs w:val="24"/>
                <w:highlight w:val="none"/>
              </w:rPr>
              <w:t>速冻库进行速冻等待出货。</w:t>
            </w:r>
          </w:p>
          <w:p w14:paraId="6EB436D0">
            <w:pPr>
              <w:pStyle w:val="2"/>
              <w:ind w:left="0" w:leftChars="0" w:firstLine="0" w:firstLineChars="0"/>
              <w:rPr>
                <w:color w:val="auto"/>
              </w:rPr>
            </w:pPr>
          </w:p>
        </w:tc>
      </w:tr>
      <w:tr w14:paraId="557625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5" w:hRule="atLeast"/>
        </w:trPr>
        <w:tc>
          <w:tcPr>
            <w:tcW w:w="428" w:type="pct"/>
            <w:vAlign w:val="center"/>
          </w:tcPr>
          <w:p w14:paraId="46742C65">
            <w:pPr>
              <w:pStyle w:val="19"/>
              <w:adjustRightInd w:val="0"/>
              <w:snapToGrid w:val="0"/>
              <w:spacing w:before="0" w:beforeAutospacing="0" w:after="0" w:afterAutospacing="0"/>
              <w:jc w:val="center"/>
              <w:rPr>
                <w:rFonts w:ascii="Times New Roman" w:hAnsi="Times New Roman" w:cs="Times New Roman"/>
                <w:color w:val="auto"/>
                <w:sz w:val="21"/>
                <w:szCs w:val="21"/>
              </w:rPr>
            </w:pPr>
            <w:r>
              <w:rPr>
                <w:rFonts w:ascii="Times New Roman" w:hAnsi="Times New Roman" w:cs="Times New Roman"/>
                <w:bCs/>
                <w:color w:val="auto"/>
                <w:sz w:val="24"/>
                <w:szCs w:val="24"/>
              </w:rPr>
              <w:t>与项目有关的原有环境污染问题</w:t>
            </w:r>
          </w:p>
        </w:tc>
        <w:tc>
          <w:tcPr>
            <w:tcW w:w="4571" w:type="pct"/>
            <w:vAlign w:val="top"/>
          </w:tcPr>
          <w:p w14:paraId="503F41D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eastAsia="宋体"/>
                <w:b/>
                <w:bCs/>
                <w:color w:val="auto"/>
                <w:sz w:val="24"/>
                <w:lang w:val="en-US" w:eastAsia="zh-CN"/>
              </w:rPr>
            </w:pPr>
            <w:r>
              <w:rPr>
                <w:rFonts w:hint="eastAsia"/>
                <w:b/>
                <w:bCs/>
                <w:color w:val="auto"/>
                <w:sz w:val="24"/>
                <w:lang w:val="en-US" w:eastAsia="zh-CN"/>
              </w:rPr>
              <w:t>一、现有项目环保手续办理情况</w:t>
            </w:r>
          </w:p>
          <w:p w14:paraId="6F7D58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color w:val="auto"/>
                <w:sz w:val="24"/>
              </w:rPr>
              <w:t>云南果研社农业科技发展有限公司</w:t>
            </w:r>
            <w:r>
              <w:rPr>
                <w:rFonts w:hint="eastAsia"/>
                <w:color w:val="auto"/>
                <w:sz w:val="24"/>
                <w:lang w:val="en-US" w:eastAsia="zh-CN"/>
              </w:rPr>
              <w:t>位于</w:t>
            </w:r>
            <w:r>
              <w:rPr>
                <w:color w:val="auto"/>
                <w:sz w:val="24"/>
              </w:rPr>
              <w:t>玉溪市元江县甘庄街道工</w:t>
            </w:r>
            <w:r>
              <w:rPr>
                <w:color w:val="auto"/>
                <w:sz w:val="24"/>
                <w:szCs w:val="24"/>
              </w:rPr>
              <w:t>业园区干坝片区</w:t>
            </w:r>
            <w:r>
              <w:rPr>
                <w:rFonts w:hint="eastAsia"/>
                <w:color w:val="auto"/>
                <w:sz w:val="24"/>
                <w:szCs w:val="24"/>
                <w:lang w:eastAsia="zh-CN"/>
              </w:rPr>
              <w:t>，</w:t>
            </w:r>
            <w:r>
              <w:rPr>
                <w:rFonts w:hint="eastAsia"/>
                <w:color w:val="auto"/>
                <w:sz w:val="24"/>
                <w:lang w:val="en-US" w:eastAsia="zh-CN"/>
              </w:rPr>
              <w:t>租用园区管理委员会已建</w:t>
            </w:r>
            <w:r>
              <w:rPr>
                <w:color w:val="auto"/>
                <w:sz w:val="24"/>
                <w:szCs w:val="24"/>
              </w:rPr>
              <w:t>3号</w:t>
            </w:r>
            <w:r>
              <w:rPr>
                <w:rFonts w:hint="eastAsia"/>
                <w:color w:val="auto"/>
                <w:sz w:val="24"/>
                <w:szCs w:val="24"/>
                <w:lang w:val="en-US" w:eastAsia="zh-CN"/>
              </w:rPr>
              <w:t>标准</w:t>
            </w:r>
            <w:r>
              <w:rPr>
                <w:color w:val="auto"/>
                <w:sz w:val="24"/>
                <w:szCs w:val="24"/>
              </w:rPr>
              <w:t>厂房</w:t>
            </w:r>
            <w:r>
              <w:rPr>
                <w:rFonts w:hint="eastAsia"/>
                <w:color w:val="auto"/>
                <w:sz w:val="24"/>
                <w:szCs w:val="24"/>
                <w:lang w:val="en-US" w:eastAsia="zh-CN"/>
              </w:rPr>
              <w:t>进行生产。</w:t>
            </w:r>
          </w:p>
          <w:p w14:paraId="359895D6">
            <w:pPr>
              <w:autoSpaceDE w:val="0"/>
              <w:autoSpaceDN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color w:val="auto"/>
                <w:sz w:val="24"/>
                <w:lang w:val="en-US" w:eastAsia="zh-CN"/>
              </w:rPr>
              <w:t>2022年2月，建设单位委托云南国策环保科技有限公司编制完成</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云南果研社农业科技发展有限公司速冻果蔬食品项目</w:t>
            </w:r>
            <w:r>
              <w:rPr>
                <w:rFonts w:hint="eastAsia" w:ascii="Times New Roman" w:hAnsi="Times New Roman" w:eastAsia="宋体" w:cs="Times New Roman"/>
                <w:color w:val="auto"/>
                <w:sz w:val="24"/>
                <w:lang w:val="en-US" w:eastAsia="zh-CN"/>
              </w:rPr>
              <w:t>环境影响报告表》</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并于2022年7月13日取得了</w:t>
            </w:r>
            <w:r>
              <w:rPr>
                <w:rFonts w:hint="eastAsia" w:ascii="Times New Roman" w:hAnsi="Times New Roman" w:cs="Times New Roman"/>
                <w:color w:val="auto"/>
                <w:sz w:val="24"/>
                <w:szCs w:val="24"/>
              </w:rPr>
              <w:t>玉溪市生态环境局</w:t>
            </w:r>
            <w:r>
              <w:rPr>
                <w:rFonts w:hint="eastAsia" w:ascii="Times New Roman" w:hAnsi="Times New Roman" w:cs="Times New Roman"/>
                <w:color w:val="auto"/>
                <w:sz w:val="24"/>
                <w:szCs w:val="24"/>
                <w:lang w:val="en-US" w:eastAsia="zh-CN"/>
              </w:rPr>
              <w:t>元江</w:t>
            </w:r>
            <w:r>
              <w:rPr>
                <w:rFonts w:hint="eastAsia" w:ascii="Times New Roman" w:hAnsi="Times New Roman" w:cs="Times New Roman"/>
                <w:color w:val="auto"/>
                <w:sz w:val="24"/>
                <w:szCs w:val="24"/>
              </w:rPr>
              <w:t>分局</w:t>
            </w:r>
            <w:r>
              <w:rPr>
                <w:rFonts w:hint="eastAsia" w:cs="Times New Roman"/>
                <w:color w:val="auto"/>
                <w:sz w:val="24"/>
                <w:szCs w:val="24"/>
                <w:lang w:val="en-US" w:eastAsia="zh-CN"/>
              </w:rPr>
              <w:t>出具的</w:t>
            </w:r>
            <w:r>
              <w:rPr>
                <w:rFonts w:hint="eastAsia" w:cs="Times New Roman"/>
                <w:color w:val="auto"/>
                <w:sz w:val="24"/>
                <w:lang w:eastAsia="zh-CN"/>
              </w:rPr>
              <w:t>《</w:t>
            </w:r>
            <w:r>
              <w:rPr>
                <w:rFonts w:hint="eastAsia" w:ascii="Times New Roman" w:hAnsi="Times New Roman" w:cs="Times New Roman"/>
                <w:color w:val="auto"/>
                <w:sz w:val="24"/>
                <w:szCs w:val="24"/>
              </w:rPr>
              <w:t>玉溪市生态环境局</w:t>
            </w:r>
            <w:r>
              <w:rPr>
                <w:rFonts w:hint="eastAsia" w:ascii="Times New Roman" w:hAnsi="Times New Roman" w:cs="Times New Roman"/>
                <w:color w:val="auto"/>
                <w:sz w:val="24"/>
                <w:szCs w:val="24"/>
                <w:lang w:val="en-US" w:eastAsia="zh-CN"/>
              </w:rPr>
              <w:t>元江</w:t>
            </w:r>
            <w:r>
              <w:rPr>
                <w:rFonts w:hint="eastAsia" w:ascii="Times New Roman" w:hAnsi="Times New Roman" w:cs="Times New Roman"/>
                <w:color w:val="auto"/>
                <w:sz w:val="24"/>
                <w:szCs w:val="24"/>
              </w:rPr>
              <w:t>分局关于</w:t>
            </w:r>
            <w:r>
              <w:rPr>
                <w:rFonts w:hint="default" w:ascii="Times New Roman" w:hAnsi="Times New Roman" w:eastAsia="宋体" w:cs="Times New Roman"/>
                <w:color w:val="auto"/>
                <w:sz w:val="24"/>
              </w:rPr>
              <w:t>云南果研社农业科技发展有限公司速冻果蔬食品项目</w:t>
            </w:r>
            <w:r>
              <w:rPr>
                <w:rFonts w:hint="eastAsia" w:ascii="Times New Roman" w:hAnsi="Times New Roman" w:cs="Times New Roman"/>
                <w:color w:val="auto"/>
                <w:sz w:val="24"/>
                <w:szCs w:val="24"/>
              </w:rPr>
              <w:t>环境影响报告表</w:t>
            </w:r>
            <w:r>
              <w:rPr>
                <w:rFonts w:hint="eastAsia" w:cs="Times New Roman"/>
                <w:color w:val="auto"/>
                <w:sz w:val="24"/>
                <w:lang w:val="en-US" w:eastAsia="zh-CN"/>
              </w:rPr>
              <w:t>》的批复（玉环元审</w:t>
            </w:r>
            <w:r>
              <w:rPr>
                <w:rFonts w:hint="eastAsia" w:ascii="宋体" w:hAnsi="宋体" w:eastAsia="宋体" w:cs="宋体"/>
                <w:color w:val="auto"/>
                <w:sz w:val="24"/>
                <w:lang w:val="en-US" w:eastAsia="zh-CN"/>
              </w:rPr>
              <w:t>〔</w:t>
            </w:r>
            <w:r>
              <w:rPr>
                <w:rFonts w:hint="eastAsia" w:cs="Times New Roman"/>
                <w:color w:val="auto"/>
                <w:sz w:val="24"/>
                <w:lang w:val="en-US" w:eastAsia="zh-CN"/>
              </w:rPr>
              <w:t>2022</w:t>
            </w:r>
            <w:r>
              <w:rPr>
                <w:rFonts w:hint="eastAsia" w:ascii="宋体" w:hAnsi="宋体" w:eastAsia="宋体" w:cs="宋体"/>
                <w:color w:val="auto"/>
                <w:sz w:val="24"/>
                <w:lang w:val="en-US" w:eastAsia="zh-CN"/>
              </w:rPr>
              <w:t>〕</w:t>
            </w:r>
            <w:r>
              <w:rPr>
                <w:rFonts w:hint="eastAsia" w:cs="Times New Roman"/>
                <w:color w:val="auto"/>
                <w:sz w:val="24"/>
                <w:lang w:val="en-US" w:eastAsia="zh-CN"/>
              </w:rPr>
              <w:t>8号）。该项目建设过程中，由于</w:t>
            </w:r>
            <w:r>
              <w:rPr>
                <w:rFonts w:hint="eastAsia" w:cs="Times New Roman"/>
                <w:color w:val="auto"/>
                <w:sz w:val="24"/>
                <w:szCs w:val="24"/>
                <w:lang w:val="en-US" w:eastAsia="zh-CN"/>
              </w:rPr>
              <w:t>发生重大变动，建设单位于2023年5月委托云南协同环保工程有限公司编制了《云南果研社农业科技发展有限公司速冻果蔬食品项目（重新报批）</w:t>
            </w:r>
            <w:r>
              <w:rPr>
                <w:rFonts w:hint="eastAsia" w:ascii="Times New Roman" w:hAnsi="Times New Roman" w:eastAsia="宋体" w:cs="Times New Roman"/>
                <w:color w:val="auto"/>
                <w:sz w:val="24"/>
                <w:lang w:val="en-US" w:eastAsia="zh-CN"/>
              </w:rPr>
              <w:t>环境影响报告表</w:t>
            </w:r>
            <w:r>
              <w:rPr>
                <w:rFonts w:hint="eastAsia" w:cs="Times New Roman"/>
                <w:color w:val="auto"/>
                <w:sz w:val="24"/>
                <w:szCs w:val="24"/>
                <w:lang w:val="en-US" w:eastAsia="zh-CN"/>
              </w:rPr>
              <w:t>》，并于2023年8月30日取得了</w:t>
            </w:r>
            <w:r>
              <w:rPr>
                <w:rFonts w:hint="eastAsia" w:ascii="Times New Roman" w:hAnsi="Times New Roman" w:cs="Times New Roman"/>
                <w:color w:val="auto"/>
                <w:sz w:val="24"/>
                <w:szCs w:val="24"/>
              </w:rPr>
              <w:t>玉溪市生态环境局</w:t>
            </w:r>
            <w:r>
              <w:rPr>
                <w:rFonts w:hint="eastAsia" w:ascii="Times New Roman" w:hAnsi="Times New Roman" w:cs="Times New Roman"/>
                <w:color w:val="auto"/>
                <w:sz w:val="24"/>
                <w:szCs w:val="24"/>
                <w:lang w:val="en-US" w:eastAsia="zh-CN"/>
              </w:rPr>
              <w:t>元江</w:t>
            </w:r>
            <w:r>
              <w:rPr>
                <w:rFonts w:hint="eastAsia" w:ascii="Times New Roman" w:hAnsi="Times New Roman" w:cs="Times New Roman"/>
                <w:color w:val="auto"/>
                <w:sz w:val="24"/>
                <w:szCs w:val="24"/>
              </w:rPr>
              <w:t>分局</w:t>
            </w:r>
            <w:r>
              <w:rPr>
                <w:rFonts w:hint="eastAsia" w:ascii="Times New Roman" w:hAnsi="Times New Roman" w:cs="Times New Roman"/>
                <w:color w:val="auto"/>
                <w:sz w:val="24"/>
                <w:szCs w:val="24"/>
                <w:lang w:val="en-US" w:eastAsia="zh-CN"/>
              </w:rPr>
              <w:t>关于该项目的环评批复（</w:t>
            </w:r>
            <w:r>
              <w:rPr>
                <w:rFonts w:hint="eastAsia" w:cs="Times New Roman"/>
                <w:color w:val="auto"/>
                <w:sz w:val="24"/>
                <w:lang w:val="en-US" w:eastAsia="zh-CN"/>
              </w:rPr>
              <w:t>玉环元审</w:t>
            </w:r>
            <w:r>
              <w:rPr>
                <w:rFonts w:hint="eastAsia" w:ascii="宋体" w:hAnsi="宋体" w:eastAsia="宋体" w:cs="宋体"/>
                <w:color w:val="auto"/>
                <w:sz w:val="24"/>
                <w:lang w:val="en-US" w:eastAsia="zh-CN"/>
              </w:rPr>
              <w:t>〔</w:t>
            </w:r>
            <w:r>
              <w:rPr>
                <w:rFonts w:hint="eastAsia" w:cs="Times New Roman"/>
                <w:color w:val="auto"/>
                <w:sz w:val="24"/>
                <w:lang w:val="en-US" w:eastAsia="zh-CN"/>
              </w:rPr>
              <w:t>2023</w:t>
            </w:r>
            <w:r>
              <w:rPr>
                <w:rFonts w:hint="eastAsia" w:ascii="宋体" w:hAnsi="宋体" w:eastAsia="宋体" w:cs="宋体"/>
                <w:color w:val="auto"/>
                <w:sz w:val="24"/>
                <w:lang w:val="en-US" w:eastAsia="zh-CN"/>
              </w:rPr>
              <w:t>〕</w:t>
            </w:r>
            <w:r>
              <w:rPr>
                <w:rFonts w:hint="eastAsia" w:cs="Times New Roman"/>
                <w:color w:val="auto"/>
                <w:sz w:val="24"/>
                <w:lang w:val="en-US" w:eastAsia="zh-CN"/>
              </w:rPr>
              <w:t>21号</w:t>
            </w:r>
            <w:r>
              <w:rPr>
                <w:rFonts w:hint="eastAsia" w:ascii="Times New Roman" w:hAnsi="Times New Roman" w:cs="Times New Roman"/>
                <w:color w:val="auto"/>
                <w:sz w:val="24"/>
                <w:szCs w:val="24"/>
                <w:lang w:val="en-US" w:eastAsia="zh-CN"/>
              </w:rPr>
              <w:t>）。2023年10月23日，取得了玉溪市生态环境局核发的《排污许可证》（证书编号：91530428MA7B2NUF7G001Q，有效期限：2023年10月23日起至2028年10月22日）。</w:t>
            </w:r>
            <w:r>
              <w:rPr>
                <w:rFonts w:hint="eastAsia" w:cs="Times New Roman"/>
                <w:color w:val="auto"/>
                <w:sz w:val="24"/>
                <w:szCs w:val="24"/>
                <w:lang w:val="en-US" w:eastAsia="zh-CN"/>
              </w:rPr>
              <w:t>同期完成了</w:t>
            </w:r>
            <w:r>
              <w:rPr>
                <w:rFonts w:hint="default" w:ascii="Times New Roman" w:hAnsi="Times New Roman" w:cs="Times New Roman"/>
                <w:color w:val="auto"/>
                <w:sz w:val="24"/>
                <w:szCs w:val="24"/>
                <w:highlight w:val="none"/>
              </w:rPr>
              <w:t>《突发环境事件应急预案》</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202</w:t>
            </w:r>
            <w:r>
              <w:rPr>
                <w:rFonts w:hint="eastAsia"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年版</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编制，</w:t>
            </w:r>
            <w:r>
              <w:rPr>
                <w:rFonts w:hint="eastAsia" w:cs="Times New Roman"/>
                <w:color w:val="auto"/>
                <w:sz w:val="24"/>
                <w:szCs w:val="24"/>
                <w:highlight w:val="none"/>
                <w:lang w:val="en-US" w:eastAsia="zh-CN"/>
              </w:rPr>
              <w:t>并取得备案（备案编号：530428-2024-007-L）</w:t>
            </w:r>
            <w:r>
              <w:rPr>
                <w:rFonts w:hint="eastAsia" w:ascii="Times New Roman" w:hAnsi="Times New Roman" w:cs="Times New Roman"/>
                <w:color w:val="auto"/>
                <w:sz w:val="24"/>
                <w:szCs w:val="24"/>
                <w:highlight w:val="none"/>
                <w:lang w:val="en-US" w:eastAsia="zh-CN"/>
              </w:rPr>
              <w:t>。</w:t>
            </w:r>
          </w:p>
          <w:p w14:paraId="533AEE05">
            <w:pPr>
              <w:autoSpaceDE w:val="0"/>
              <w:autoSpaceDN w:val="0"/>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根据现有项目环评批复，现有项目</w:t>
            </w:r>
            <w:r>
              <w:rPr>
                <w:rFonts w:hint="eastAsia" w:eastAsia="宋体" w:cs="Times New Roman"/>
                <w:color w:val="auto"/>
                <w:kern w:val="2"/>
                <w:sz w:val="24"/>
                <w:szCs w:val="24"/>
                <w:highlight w:val="none"/>
                <w:lang w:val="en-US" w:eastAsia="zh-CN"/>
              </w:rPr>
              <w:t>设计生产规模为</w:t>
            </w:r>
            <w:r>
              <w:rPr>
                <w:rFonts w:hint="eastAsia" w:ascii="Times New Roman" w:hAnsi="Times New Roman"/>
                <w:color w:val="auto"/>
                <w:sz w:val="24"/>
                <w:szCs w:val="24"/>
              </w:rPr>
              <w:t>速冻果蔬汁6400t/a</w:t>
            </w:r>
            <w:r>
              <w:rPr>
                <w:rFonts w:hint="eastAsia" w:ascii="Times New Roman" w:hAnsi="Times New Roman"/>
                <w:color w:val="auto"/>
                <w:sz w:val="24"/>
                <w:szCs w:val="24"/>
                <w:lang w:eastAsia="zh-CN"/>
              </w:rPr>
              <w:t>、</w:t>
            </w:r>
            <w:r>
              <w:rPr>
                <w:rFonts w:hint="eastAsia" w:ascii="Times New Roman" w:hAnsi="Times New Roman"/>
                <w:color w:val="auto"/>
                <w:sz w:val="24"/>
                <w:szCs w:val="24"/>
              </w:rPr>
              <w:t>生产芒果原汁1600t/a</w:t>
            </w:r>
            <w:r>
              <w:rPr>
                <w:rFonts w:hint="eastAsia" w:ascii="Times New Roman" w:hAnsi="Times New Roman"/>
                <w:color w:val="auto"/>
                <w:sz w:val="24"/>
                <w:szCs w:val="24"/>
                <w:lang w:eastAsia="zh-CN"/>
              </w:rPr>
              <w:t>、</w:t>
            </w:r>
            <w:r>
              <w:rPr>
                <w:rFonts w:ascii="Times New Roman" w:hAnsi="Times New Roman"/>
                <w:color w:val="auto"/>
                <w:sz w:val="24"/>
                <w:szCs w:val="24"/>
              </w:rPr>
              <w:t>速冻果蔬丁块</w:t>
            </w:r>
            <w:r>
              <w:rPr>
                <w:rFonts w:hint="eastAsia" w:ascii="Times New Roman" w:hAnsi="Times New Roman"/>
                <w:color w:val="auto"/>
                <w:sz w:val="24"/>
                <w:szCs w:val="24"/>
              </w:rPr>
              <w:t>500t/a</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但由于验收期间</w:t>
            </w:r>
            <w:r>
              <w:rPr>
                <w:rFonts w:ascii="Times New Roman" w:hAnsi="Times New Roman" w:eastAsia="宋体" w:cs="Times New Roman"/>
                <w:color w:val="auto"/>
                <w:kern w:val="2"/>
                <w:sz w:val="24"/>
                <w:szCs w:val="24"/>
                <w:highlight w:val="none"/>
              </w:rPr>
              <w:t>速冻果蔬丁</w:t>
            </w:r>
            <w:r>
              <w:rPr>
                <w:rFonts w:ascii="Times New Roman" w:hAnsi="Times New Roman"/>
                <w:color w:val="auto"/>
                <w:kern w:val="2"/>
                <w:sz w:val="24"/>
                <w:szCs w:val="24"/>
                <w:highlight w:val="none"/>
              </w:rPr>
              <w:t>块</w:t>
            </w:r>
            <w:r>
              <w:rPr>
                <w:rFonts w:hint="eastAsia" w:ascii="Times New Roman" w:hAnsi="Times New Roman"/>
                <w:color w:val="auto"/>
                <w:kern w:val="2"/>
                <w:sz w:val="24"/>
                <w:szCs w:val="24"/>
                <w:highlight w:val="none"/>
                <w:lang w:val="en-US" w:eastAsia="zh-CN"/>
              </w:rPr>
              <w:t>生产线</w:t>
            </w:r>
            <w:r>
              <w:rPr>
                <w:rFonts w:hint="eastAsia"/>
                <w:color w:val="auto"/>
                <w:kern w:val="2"/>
                <w:sz w:val="24"/>
                <w:szCs w:val="24"/>
                <w:highlight w:val="none"/>
                <w:lang w:val="en-US" w:eastAsia="zh-CN"/>
              </w:rPr>
              <w:t>目前尚</w:t>
            </w:r>
            <w:r>
              <w:rPr>
                <w:rFonts w:hint="eastAsia" w:ascii="Times New Roman" w:hAnsi="Times New Roman"/>
                <w:color w:val="auto"/>
                <w:kern w:val="2"/>
                <w:sz w:val="24"/>
                <w:szCs w:val="24"/>
                <w:highlight w:val="none"/>
                <w:lang w:val="en-US" w:eastAsia="zh-CN"/>
              </w:rPr>
              <w:t>未建设，</w:t>
            </w:r>
            <w:r>
              <w:rPr>
                <w:rFonts w:hint="eastAsia"/>
                <w:color w:val="auto"/>
                <w:kern w:val="2"/>
                <w:sz w:val="24"/>
                <w:szCs w:val="24"/>
                <w:highlight w:val="none"/>
                <w:lang w:val="en-US" w:eastAsia="zh-CN"/>
              </w:rPr>
              <w:t>因此现有项目</w:t>
            </w:r>
            <w:r>
              <w:rPr>
                <w:rFonts w:hint="eastAsia" w:ascii="Times New Roman" w:hAnsi="Times New Roman"/>
                <w:color w:val="auto"/>
                <w:kern w:val="2"/>
                <w:sz w:val="24"/>
                <w:szCs w:val="24"/>
                <w:highlight w:val="none"/>
                <w:lang w:val="en-US" w:eastAsia="zh-CN"/>
              </w:rPr>
              <w:t>共</w:t>
            </w:r>
            <w:r>
              <w:rPr>
                <w:rFonts w:hint="eastAsia" w:ascii="Times New Roman" w:hAnsi="Times New Roman" w:cs="Times New Roman"/>
                <w:color w:val="auto"/>
                <w:sz w:val="24"/>
                <w:szCs w:val="24"/>
                <w:highlight w:val="none"/>
                <w:shd w:val="clear" w:color="auto" w:fill="auto"/>
                <w:lang w:val="en-US" w:eastAsia="zh-CN"/>
              </w:rPr>
              <w:t>分</w:t>
            </w:r>
            <w:r>
              <w:rPr>
                <w:rFonts w:hint="eastAsia" w:cs="Times New Roman"/>
                <w:color w:val="auto"/>
                <w:sz w:val="24"/>
                <w:szCs w:val="24"/>
                <w:highlight w:val="none"/>
                <w:shd w:val="clear" w:color="auto" w:fill="auto"/>
                <w:lang w:val="en-US" w:eastAsia="zh-CN"/>
              </w:rPr>
              <w:t>两期</w:t>
            </w:r>
            <w:r>
              <w:rPr>
                <w:rFonts w:hint="eastAsia" w:ascii="Times New Roman" w:hAnsi="Times New Roman" w:cs="Times New Roman"/>
                <w:color w:val="auto"/>
                <w:sz w:val="24"/>
                <w:szCs w:val="24"/>
                <w:highlight w:val="none"/>
                <w:shd w:val="clear" w:color="auto" w:fill="auto"/>
                <w:lang w:val="en-US" w:eastAsia="zh-CN"/>
              </w:rPr>
              <w:t>进行验收，</w:t>
            </w:r>
            <w:r>
              <w:rPr>
                <w:rFonts w:ascii="Times New Roman" w:hAnsi="Times New Roman" w:eastAsia="宋体" w:cs="Times New Roman"/>
                <w:color w:val="auto"/>
                <w:kern w:val="2"/>
                <w:sz w:val="24"/>
                <w:szCs w:val="24"/>
                <w:highlight w:val="none"/>
              </w:rPr>
              <w:t>速冻果蔬丁</w:t>
            </w:r>
            <w:r>
              <w:rPr>
                <w:rFonts w:ascii="Times New Roman" w:hAnsi="Times New Roman"/>
                <w:color w:val="auto"/>
                <w:kern w:val="2"/>
                <w:sz w:val="24"/>
                <w:szCs w:val="24"/>
                <w:highlight w:val="none"/>
              </w:rPr>
              <w:t>块</w:t>
            </w:r>
            <w:r>
              <w:rPr>
                <w:rFonts w:hint="eastAsia" w:ascii="Times New Roman" w:hAnsi="Times New Roman"/>
                <w:color w:val="auto"/>
                <w:kern w:val="2"/>
                <w:sz w:val="24"/>
                <w:szCs w:val="24"/>
                <w:highlight w:val="none"/>
                <w:lang w:val="en-US" w:eastAsia="zh-CN"/>
              </w:rPr>
              <w:t>生产线</w:t>
            </w:r>
            <w:r>
              <w:rPr>
                <w:rFonts w:hint="eastAsia"/>
                <w:color w:val="auto"/>
                <w:kern w:val="2"/>
                <w:sz w:val="24"/>
                <w:szCs w:val="24"/>
                <w:highlight w:val="none"/>
                <w:lang w:val="en-US" w:eastAsia="zh-CN"/>
              </w:rPr>
              <w:t>纳入二期进行验收。</w:t>
            </w:r>
            <w:r>
              <w:rPr>
                <w:rFonts w:hint="eastAsia" w:cs="Times New Roman"/>
                <w:color w:val="auto"/>
                <w:sz w:val="24"/>
                <w:szCs w:val="24"/>
                <w:lang w:val="en-US" w:eastAsia="zh-CN"/>
              </w:rPr>
              <w:t>2024年3月，现有项目编制了《云南果研社农业科技发展有限公司速冻果蔬食品项目（重新报批）（分期）竣工环境保护验收监测报告表》，主要针对</w:t>
            </w:r>
            <w:r>
              <w:rPr>
                <w:rFonts w:hint="eastAsia" w:ascii="Times New Roman" w:hAnsi="Times New Roman"/>
                <w:color w:val="auto"/>
                <w:sz w:val="24"/>
                <w:szCs w:val="24"/>
              </w:rPr>
              <w:t>速冻果蔬汁</w:t>
            </w:r>
            <w:r>
              <w:rPr>
                <w:rFonts w:hint="eastAsia" w:ascii="Times New Roman" w:hAnsi="Times New Roman"/>
                <w:color w:val="auto"/>
                <w:sz w:val="24"/>
                <w:szCs w:val="24"/>
                <w:lang w:val="en-US" w:eastAsia="zh-CN"/>
              </w:rPr>
              <w:t>生产线进行验收，并</w:t>
            </w:r>
            <w:r>
              <w:rPr>
                <w:rFonts w:hint="eastAsia" w:ascii="Times New Roman" w:hAnsi="Times New Roman" w:cs="Times New Roman"/>
                <w:color w:val="auto"/>
                <w:sz w:val="24"/>
                <w:szCs w:val="24"/>
                <w:lang w:val="en-US" w:eastAsia="zh-CN"/>
              </w:rPr>
              <w:t>于2024年3月21日通过了自主竣工环保验收，形成验收意见</w:t>
            </w:r>
            <w:r>
              <w:rPr>
                <w:rFonts w:hint="eastAsia" w:cs="Times New Roman"/>
                <w:color w:val="auto"/>
                <w:sz w:val="24"/>
                <w:szCs w:val="24"/>
                <w:lang w:val="en-US" w:eastAsia="zh-CN"/>
              </w:rPr>
              <w:t>。截止本次环评时，</w:t>
            </w:r>
            <w:r>
              <w:rPr>
                <w:rFonts w:ascii="Times New Roman" w:hAnsi="Times New Roman" w:eastAsia="宋体" w:cs="Times New Roman"/>
                <w:color w:val="auto"/>
                <w:kern w:val="2"/>
                <w:sz w:val="24"/>
                <w:szCs w:val="24"/>
                <w:highlight w:val="none"/>
              </w:rPr>
              <w:t>速冻果蔬丁</w:t>
            </w:r>
            <w:r>
              <w:rPr>
                <w:rFonts w:ascii="Times New Roman" w:hAnsi="Times New Roman"/>
                <w:color w:val="auto"/>
                <w:kern w:val="2"/>
                <w:sz w:val="24"/>
                <w:szCs w:val="24"/>
                <w:highlight w:val="none"/>
              </w:rPr>
              <w:t>块</w:t>
            </w:r>
            <w:r>
              <w:rPr>
                <w:rFonts w:hint="eastAsia" w:ascii="Times New Roman" w:hAnsi="Times New Roman"/>
                <w:color w:val="auto"/>
                <w:kern w:val="2"/>
                <w:sz w:val="24"/>
                <w:szCs w:val="24"/>
                <w:highlight w:val="none"/>
                <w:lang w:val="en-US" w:eastAsia="zh-CN"/>
              </w:rPr>
              <w:t>生产线</w:t>
            </w:r>
            <w:r>
              <w:rPr>
                <w:rFonts w:hint="eastAsia"/>
                <w:color w:val="auto"/>
                <w:kern w:val="2"/>
                <w:sz w:val="24"/>
                <w:szCs w:val="24"/>
                <w:highlight w:val="none"/>
                <w:lang w:val="en-US" w:eastAsia="zh-CN"/>
              </w:rPr>
              <w:t>仍未建成。</w:t>
            </w:r>
          </w:p>
          <w:p w14:paraId="4E4A59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Times New Roman"/>
                <w:color w:val="auto"/>
                <w:sz w:val="24"/>
                <w:lang w:val="en-US" w:eastAsia="zh-CN"/>
              </w:rPr>
            </w:pPr>
            <w:r>
              <w:rPr>
                <w:rFonts w:hint="eastAsia" w:cs="Times New Roman"/>
                <w:color w:val="auto"/>
                <w:sz w:val="24"/>
                <w:szCs w:val="24"/>
                <w:lang w:val="en-US" w:eastAsia="zh-CN"/>
              </w:rPr>
              <w:t>综上所述，</w:t>
            </w:r>
            <w:r>
              <w:rPr>
                <w:rFonts w:hint="eastAsia" w:ascii="Times New Roman" w:hAnsi="Times New Roman" w:cs="Times New Roman"/>
                <w:color w:val="auto"/>
                <w:sz w:val="24"/>
                <w:szCs w:val="24"/>
                <w:lang w:val="en-US" w:eastAsia="zh-CN"/>
              </w:rPr>
              <w:t>现有项目环保手续齐全。</w:t>
            </w:r>
          </w:p>
          <w:p w14:paraId="40B84EB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eastAsia="宋体"/>
                <w:b/>
                <w:bCs/>
                <w:color w:val="auto"/>
                <w:sz w:val="24"/>
                <w:lang w:val="en-US" w:eastAsia="zh-CN"/>
              </w:rPr>
            </w:pPr>
            <w:r>
              <w:rPr>
                <w:rFonts w:hint="eastAsia"/>
                <w:b/>
                <w:bCs/>
                <w:color w:val="auto"/>
                <w:sz w:val="24"/>
                <w:lang w:val="en-US" w:eastAsia="zh-CN"/>
              </w:rPr>
              <w:t>二、现有项目建设情况</w:t>
            </w:r>
          </w:p>
          <w:p w14:paraId="6F60048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1、建设内容</w:t>
            </w:r>
          </w:p>
          <w:p w14:paraId="54250B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现有项目总建筑面积为</w:t>
            </w:r>
            <w:r>
              <w:rPr>
                <w:rFonts w:hint="eastAsia"/>
                <w:color w:val="auto"/>
                <w:sz w:val="24"/>
                <w:szCs w:val="24"/>
                <w:lang w:val="en-US" w:eastAsia="zh-CN"/>
              </w:rPr>
              <w:t>8347.83m</w:t>
            </w:r>
            <w:r>
              <w:rPr>
                <w:rFonts w:hint="eastAsia"/>
                <w:color w:val="auto"/>
                <w:sz w:val="24"/>
                <w:szCs w:val="24"/>
                <w:vertAlign w:val="superscript"/>
                <w:lang w:val="en-US" w:eastAsia="zh-CN"/>
              </w:rPr>
              <w:t>2</w:t>
            </w:r>
            <w:r>
              <w:rPr>
                <w:rFonts w:hint="eastAsia"/>
                <w:color w:val="auto"/>
                <w:sz w:val="24"/>
                <w:szCs w:val="24"/>
                <w:vertAlign w:val="baseline"/>
                <w:lang w:val="en-US" w:eastAsia="zh-CN"/>
              </w:rPr>
              <w:t>。</w:t>
            </w:r>
            <w:r>
              <w:rPr>
                <w:rFonts w:hint="eastAsia" w:ascii="Times New Roman" w:hAnsi="Times New Roman" w:eastAsia="宋体" w:cs="Times New Roman"/>
                <w:color w:val="auto"/>
                <w:sz w:val="24"/>
                <w:szCs w:val="24"/>
                <w:lang w:val="en-US" w:eastAsia="zh-CN"/>
              </w:rPr>
              <w:t>现有项目</w:t>
            </w:r>
            <w:r>
              <w:rPr>
                <w:rFonts w:hint="default" w:ascii="Times New Roman" w:hAnsi="Times New Roman" w:eastAsia="宋体" w:cs="Times New Roman"/>
                <w:color w:val="auto"/>
                <w:sz w:val="24"/>
                <w:szCs w:val="24"/>
                <w:lang w:val="en-US" w:eastAsia="zh-CN"/>
              </w:rPr>
              <w:t>主要建设内容包括主体工程、辅助工程、公用工程、环保工程，建设内容见</w:t>
            </w:r>
            <w:r>
              <w:rPr>
                <w:rFonts w:hint="eastAsia"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lang w:val="en-US" w:eastAsia="zh-CN"/>
              </w:rPr>
              <w:t>。</w:t>
            </w:r>
          </w:p>
          <w:p w14:paraId="4AC647A6">
            <w:pPr>
              <w:jc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表2-1</w:t>
            </w:r>
            <w:r>
              <w:rPr>
                <w:rFonts w:hint="eastAsia"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 xml:space="preserve">   </w:t>
            </w:r>
            <w:r>
              <w:rPr>
                <w:rFonts w:hint="eastAsia" w:cs="Times New Roman"/>
                <w:b/>
                <w:bCs/>
                <w:color w:val="auto"/>
                <w:sz w:val="21"/>
                <w:szCs w:val="21"/>
                <w:highlight w:val="none"/>
                <w:lang w:val="en-US" w:eastAsia="zh-CN"/>
              </w:rPr>
              <w:t>现有项目</w:t>
            </w:r>
            <w:r>
              <w:rPr>
                <w:rFonts w:hint="default" w:ascii="Times New Roman" w:hAnsi="Times New Roman" w:cs="Times New Roman"/>
                <w:b/>
                <w:bCs/>
                <w:color w:val="auto"/>
                <w:sz w:val="21"/>
                <w:szCs w:val="21"/>
                <w:highlight w:val="none"/>
              </w:rPr>
              <w:t>建设</w:t>
            </w:r>
            <w:r>
              <w:rPr>
                <w:rFonts w:hint="eastAsia" w:cs="Times New Roman"/>
                <w:b/>
                <w:bCs/>
                <w:color w:val="auto"/>
                <w:sz w:val="21"/>
                <w:szCs w:val="21"/>
                <w:highlight w:val="none"/>
                <w:lang w:val="en-US" w:eastAsia="zh-CN"/>
              </w:rPr>
              <w:t>内容一览表</w:t>
            </w:r>
          </w:p>
          <w:tbl>
            <w:tblPr>
              <w:tblStyle w:val="22"/>
              <w:tblW w:w="7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04"/>
              <w:gridCol w:w="1137"/>
              <w:gridCol w:w="4974"/>
            </w:tblGrid>
            <w:tr w14:paraId="72E2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9" w:type="pct"/>
                  <w:gridSpan w:val="3"/>
                  <w:noWrap w:val="0"/>
                  <w:vAlign w:val="center"/>
                </w:tcPr>
                <w:p w14:paraId="6213BA13">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b/>
                      <w:bCs/>
                      <w:color w:val="auto"/>
                      <w:sz w:val="21"/>
                      <w:szCs w:val="21"/>
                      <w:highlight w:val="none"/>
                    </w:rPr>
                  </w:pPr>
                  <w:r>
                    <w:rPr>
                      <w:rFonts w:ascii="Times New Roman" w:hAnsi="Times New Roman"/>
                      <w:b/>
                      <w:bCs/>
                      <w:color w:val="auto"/>
                      <w:sz w:val="21"/>
                      <w:szCs w:val="21"/>
                      <w:highlight w:val="none"/>
                    </w:rPr>
                    <w:t>工程类别</w:t>
                  </w:r>
                </w:p>
              </w:tc>
              <w:tc>
                <w:tcPr>
                  <w:tcW w:w="3140" w:type="pct"/>
                  <w:noWrap w:val="0"/>
                  <w:vAlign w:val="center"/>
                </w:tcPr>
                <w:p w14:paraId="5B30F602">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b/>
                      <w:bCs/>
                      <w:color w:val="auto"/>
                      <w:sz w:val="21"/>
                      <w:szCs w:val="21"/>
                      <w:highlight w:val="none"/>
                    </w:rPr>
                  </w:pPr>
                  <w:r>
                    <w:rPr>
                      <w:rFonts w:ascii="Times New Roman" w:hAnsi="Times New Roman"/>
                      <w:b/>
                      <w:bCs/>
                      <w:color w:val="auto"/>
                      <w:sz w:val="21"/>
                      <w:szCs w:val="21"/>
                      <w:highlight w:val="none"/>
                    </w:rPr>
                    <w:t>主要建设内容</w:t>
                  </w:r>
                </w:p>
              </w:tc>
            </w:tr>
            <w:tr w14:paraId="5718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restart"/>
                  <w:noWrap w:val="0"/>
                  <w:vAlign w:val="center"/>
                </w:tcPr>
                <w:p w14:paraId="1212BFBC">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主体工程</w:t>
                  </w:r>
                </w:p>
              </w:tc>
              <w:tc>
                <w:tcPr>
                  <w:tcW w:w="1414" w:type="pct"/>
                  <w:gridSpan w:val="2"/>
                  <w:noWrap w:val="0"/>
                  <w:vAlign w:val="center"/>
                </w:tcPr>
                <w:p w14:paraId="5B72647F">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生产车间</w:t>
                  </w:r>
                </w:p>
              </w:tc>
              <w:tc>
                <w:tcPr>
                  <w:tcW w:w="3140" w:type="pct"/>
                  <w:noWrap w:val="0"/>
                  <w:vAlign w:val="center"/>
                </w:tcPr>
                <w:p w14:paraId="3383C3FA">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eastAsia" w:ascii="Times New Roman" w:hAnsi="Times New Roman" w:eastAsia="宋体"/>
                      <w:color w:val="auto"/>
                      <w:sz w:val="21"/>
                      <w:szCs w:val="21"/>
                      <w:highlight w:val="none"/>
                      <w:lang w:val="en-US" w:eastAsia="zh-CN"/>
                    </w:rPr>
                  </w:pPr>
                  <w:r>
                    <w:rPr>
                      <w:rFonts w:ascii="Times New Roman" w:hAnsi="Times New Roman"/>
                      <w:color w:val="auto"/>
                      <w:sz w:val="21"/>
                      <w:szCs w:val="21"/>
                      <w:highlight w:val="none"/>
                    </w:rPr>
                    <w:t>总</w:t>
                  </w:r>
                  <w:r>
                    <w:rPr>
                      <w:rFonts w:hint="eastAsia" w:ascii="Times New Roman" w:hAnsi="Times New Roman"/>
                      <w:color w:val="auto"/>
                      <w:sz w:val="21"/>
                      <w:szCs w:val="21"/>
                      <w:highlight w:val="none"/>
                      <w:lang w:val="en-US" w:eastAsia="zh-CN"/>
                    </w:rPr>
                    <w:t>建筑面积为771.93</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，位于厂房西侧，</w:t>
                  </w:r>
                  <w:r>
                    <w:rPr>
                      <w:rFonts w:hint="eastAsia" w:ascii="Times New Roman" w:hAnsi="Times New Roman"/>
                      <w:color w:val="auto"/>
                      <w:sz w:val="21"/>
                      <w:szCs w:val="21"/>
                      <w:highlight w:val="none"/>
                      <w:lang w:val="en-US" w:eastAsia="zh-CN"/>
                    </w:rPr>
                    <w:t>共设置有5间速冻车间，其中</w:t>
                  </w:r>
                  <w:r>
                    <w:rPr>
                      <w:rFonts w:ascii="Times New Roman" w:hAnsi="Times New Roman"/>
                      <w:color w:val="auto"/>
                      <w:sz w:val="21"/>
                      <w:szCs w:val="21"/>
                      <w:highlight w:val="none"/>
                    </w:rPr>
                    <w:t>1#、2#、3#速冻车间容积</w:t>
                  </w:r>
                  <w:r>
                    <w:rPr>
                      <w:rFonts w:hint="eastAsia" w:ascii="Times New Roman" w:hAnsi="Times New Roman"/>
                      <w:color w:val="auto"/>
                      <w:sz w:val="21"/>
                      <w:szCs w:val="21"/>
                      <w:highlight w:val="none"/>
                      <w:lang w:val="en-US" w:eastAsia="zh-CN"/>
                    </w:rPr>
                    <w:t>均</w:t>
                  </w:r>
                  <w:r>
                    <w:rPr>
                      <w:rFonts w:ascii="Times New Roman" w:hAnsi="Times New Roman"/>
                      <w:color w:val="auto"/>
                      <w:sz w:val="21"/>
                      <w:szCs w:val="21"/>
                      <w:highlight w:val="none"/>
                    </w:rPr>
                    <w:t>为227m</w:t>
                  </w:r>
                  <w:r>
                    <w:rPr>
                      <w:rFonts w:hint="eastAsia"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 xml:space="preserve"> </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rPr>
                    <w:t>4</w:t>
                  </w:r>
                  <w:r>
                    <w:rPr>
                      <w:rFonts w:ascii="Times New Roman" w:hAnsi="Times New Roman"/>
                      <w:color w:val="auto"/>
                      <w:sz w:val="21"/>
                      <w:szCs w:val="21"/>
                      <w:highlight w:val="none"/>
                    </w:rPr>
                    <w:t>#、5#速冻车间</w:t>
                  </w:r>
                  <w:r>
                    <w:rPr>
                      <w:rFonts w:hint="eastAsia" w:ascii="Times New Roman" w:hAnsi="Times New Roman"/>
                      <w:color w:val="auto"/>
                      <w:sz w:val="21"/>
                      <w:szCs w:val="21"/>
                      <w:highlight w:val="none"/>
                      <w:lang w:val="en-US" w:eastAsia="zh-CN"/>
                    </w:rPr>
                    <w:t>的</w:t>
                  </w:r>
                  <w:r>
                    <w:rPr>
                      <w:rFonts w:ascii="Times New Roman" w:hAnsi="Times New Roman"/>
                      <w:color w:val="auto"/>
                      <w:sz w:val="21"/>
                      <w:szCs w:val="21"/>
                      <w:highlight w:val="none"/>
                    </w:rPr>
                    <w:t>容积</w:t>
                  </w:r>
                  <w:r>
                    <w:rPr>
                      <w:rFonts w:hint="eastAsia" w:ascii="Times New Roman" w:hAnsi="Times New Roman"/>
                      <w:color w:val="auto"/>
                      <w:sz w:val="21"/>
                      <w:szCs w:val="21"/>
                      <w:highlight w:val="none"/>
                      <w:lang w:val="en-US" w:eastAsia="zh-CN"/>
                    </w:rPr>
                    <w:t>均</w:t>
                  </w:r>
                  <w:r>
                    <w:rPr>
                      <w:rFonts w:ascii="Times New Roman" w:hAnsi="Times New Roman"/>
                      <w:color w:val="auto"/>
                      <w:sz w:val="21"/>
                      <w:szCs w:val="21"/>
                      <w:highlight w:val="none"/>
                    </w:rPr>
                    <w:t>为</w:t>
                  </w:r>
                  <w:r>
                    <w:rPr>
                      <w:rFonts w:hint="eastAsia" w:ascii="Times New Roman" w:hAnsi="Times New Roman"/>
                      <w:color w:val="auto"/>
                      <w:sz w:val="21"/>
                      <w:szCs w:val="21"/>
                      <w:highlight w:val="none"/>
                    </w:rPr>
                    <w:t>1090</w:t>
                  </w:r>
                  <w:r>
                    <w:rPr>
                      <w:rFonts w:ascii="Times New Roman" w:hAnsi="Times New Roman"/>
                      <w:color w:val="auto"/>
                      <w:sz w:val="21"/>
                      <w:szCs w:val="21"/>
                      <w:highlight w:val="none"/>
                    </w:rPr>
                    <w:t>m</w:t>
                  </w:r>
                  <w:r>
                    <w:rPr>
                      <w:rFonts w:hint="eastAsia" w:ascii="Times New Roman" w:hAnsi="Times New Roman"/>
                      <w:color w:val="auto"/>
                      <w:sz w:val="21"/>
                      <w:szCs w:val="21"/>
                      <w:highlight w:val="none"/>
                      <w:vertAlign w:val="superscript"/>
                    </w:rPr>
                    <w:t>3</w:t>
                  </w:r>
                  <w:r>
                    <w:rPr>
                      <w:rFonts w:hint="eastAsia"/>
                      <w:color w:val="auto"/>
                      <w:sz w:val="21"/>
                      <w:szCs w:val="21"/>
                      <w:highlight w:val="none"/>
                      <w:vertAlign w:val="baseline"/>
                      <w:lang w:eastAsia="zh-CN"/>
                    </w:rPr>
                    <w:t>。</w:t>
                  </w:r>
                </w:p>
              </w:tc>
            </w:tr>
            <w:tr w14:paraId="23CF4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631FFA62">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697" w:type="pct"/>
                  <w:vMerge w:val="restart"/>
                  <w:noWrap w:val="0"/>
                  <w:vAlign w:val="center"/>
                </w:tcPr>
                <w:p w14:paraId="50FACD15">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速冻果蔬汁（浆）、速冻果蔬丁块生产线车间</w:t>
                  </w:r>
                </w:p>
              </w:tc>
              <w:tc>
                <w:tcPr>
                  <w:tcW w:w="1137" w:type="dxa"/>
                  <w:noWrap w:val="0"/>
                  <w:vAlign w:val="center"/>
                </w:tcPr>
                <w:p w14:paraId="4DFFEB90">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提升、拣选、清洗、除核、切丁操作间</w:t>
                  </w:r>
                </w:p>
              </w:tc>
              <w:tc>
                <w:tcPr>
                  <w:tcW w:w="4974" w:type="dxa"/>
                  <w:noWrap w:val="0"/>
                  <w:vAlign w:val="center"/>
                </w:tcPr>
                <w:p w14:paraId="32F25338">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建筑面积为900</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，位于车间东侧，设置12台隔板提升机、3台滚杠拣选机、9台鼓泡清洗机、3台毛刷清洗机、9台皮带输送机、3台链板输送机、3台除核机、3个进料分斗</w:t>
                  </w:r>
                  <w:r>
                    <w:rPr>
                      <w:rFonts w:ascii="Times New Roman" w:hAnsi="Times New Roman"/>
                      <w:color w:val="auto"/>
                      <w:kern w:val="0"/>
                      <w:sz w:val="21"/>
                      <w:szCs w:val="21"/>
                      <w:highlight w:val="none"/>
                    </w:rPr>
                    <w:t>等</w:t>
                  </w:r>
                  <w:r>
                    <w:rPr>
                      <w:rFonts w:hint="eastAsia" w:ascii="Times New Roman" w:hAnsi="Times New Roman"/>
                      <w:color w:val="auto"/>
                      <w:kern w:val="0"/>
                      <w:sz w:val="21"/>
                      <w:szCs w:val="21"/>
                      <w:highlight w:val="none"/>
                      <w:lang w:eastAsia="zh-CN"/>
                    </w:rPr>
                    <w:t>，</w:t>
                  </w:r>
                  <w:r>
                    <w:rPr>
                      <w:rFonts w:hint="eastAsia" w:ascii="Times New Roman" w:hAnsi="Times New Roman"/>
                      <w:color w:val="auto"/>
                      <w:kern w:val="0"/>
                      <w:sz w:val="21"/>
                      <w:szCs w:val="21"/>
                      <w:highlight w:val="none"/>
                      <w:lang w:val="en-US" w:eastAsia="zh-CN"/>
                    </w:rPr>
                    <w:t>主要进行水果挑选、清洗、除核等操作</w:t>
                  </w:r>
                  <w:r>
                    <w:rPr>
                      <w:rFonts w:ascii="Times New Roman" w:hAnsi="Times New Roman"/>
                      <w:color w:val="auto"/>
                      <w:kern w:val="0"/>
                      <w:sz w:val="21"/>
                      <w:szCs w:val="21"/>
                      <w:highlight w:val="none"/>
                    </w:rPr>
                    <w:t>。</w:t>
                  </w:r>
                </w:p>
              </w:tc>
            </w:tr>
            <w:tr w14:paraId="29C7C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654D9B99">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697" w:type="pct"/>
                  <w:vMerge w:val="continue"/>
                  <w:noWrap w:val="0"/>
                  <w:vAlign w:val="center"/>
                </w:tcPr>
                <w:p w14:paraId="25BC5B23">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717" w:type="pct"/>
                  <w:noWrap w:val="0"/>
                  <w:vAlign w:val="center"/>
                </w:tcPr>
                <w:p w14:paraId="4F3D1D9F">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洗核机、打浆、装入缓冲罐、冷却操作间</w:t>
                  </w:r>
                </w:p>
              </w:tc>
              <w:tc>
                <w:tcPr>
                  <w:tcW w:w="3140" w:type="pct"/>
                  <w:noWrap w:val="0"/>
                  <w:vAlign w:val="center"/>
                </w:tcPr>
                <w:p w14:paraId="740AE043">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建筑面积为</w:t>
                  </w:r>
                  <w:r>
                    <w:rPr>
                      <w:rFonts w:ascii="Times New Roman" w:hAnsi="Times New Roman"/>
                      <w:color w:val="auto"/>
                      <w:sz w:val="21"/>
                      <w:szCs w:val="21"/>
                      <w:highlight w:val="none"/>
                    </w:rPr>
                    <w:t>300m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，位于车间东侧，设置</w:t>
                  </w:r>
                  <w:r>
                    <w:rPr>
                      <w:rFonts w:ascii="Times New Roman" w:hAnsi="Times New Roman"/>
                      <w:color w:val="auto"/>
                      <w:kern w:val="0"/>
                      <w:sz w:val="21"/>
                      <w:szCs w:val="21"/>
                      <w:highlight w:val="none"/>
                    </w:rPr>
                    <w:t>1套打浆平台、3</w:t>
                  </w:r>
                  <w:r>
                    <w:rPr>
                      <w:rFonts w:hint="eastAsia" w:ascii="Times New Roman" w:hAnsi="Times New Roman"/>
                      <w:color w:val="auto"/>
                      <w:kern w:val="0"/>
                      <w:sz w:val="21"/>
                      <w:szCs w:val="21"/>
                      <w:highlight w:val="none"/>
                      <w:lang w:val="en-US" w:eastAsia="zh-CN"/>
                    </w:rPr>
                    <w:t>台</w:t>
                  </w:r>
                  <w:r>
                    <w:rPr>
                      <w:rFonts w:ascii="Times New Roman" w:hAnsi="Times New Roman"/>
                      <w:color w:val="auto"/>
                      <w:kern w:val="0"/>
                      <w:sz w:val="21"/>
                      <w:szCs w:val="21"/>
                      <w:highlight w:val="none"/>
                    </w:rPr>
                    <w:t>洗核机、4个缓冲罐（1000L）、1套高速双道打浆机、1套双道打浆机、2套螺旋输送机、1套管式冷却器</w:t>
                  </w:r>
                  <w:r>
                    <w:rPr>
                      <w:rFonts w:hint="eastAsia" w:ascii="Times New Roman" w:hAnsi="Times New Roman"/>
                      <w:color w:val="auto"/>
                      <w:kern w:val="0"/>
                      <w:sz w:val="21"/>
                      <w:szCs w:val="21"/>
                      <w:highlight w:val="none"/>
                      <w:lang w:eastAsia="zh-CN"/>
                    </w:rPr>
                    <w:t>、</w:t>
                  </w:r>
                  <w:r>
                    <w:rPr>
                      <w:rFonts w:hint="eastAsia" w:ascii="Times New Roman" w:hAnsi="Times New Roman"/>
                      <w:color w:val="auto"/>
                      <w:kern w:val="0"/>
                      <w:sz w:val="21"/>
                      <w:szCs w:val="21"/>
                      <w:highlight w:val="none"/>
                      <w:lang w:val="en-US" w:eastAsia="zh-CN"/>
                    </w:rPr>
                    <w:t>1台</w:t>
                  </w:r>
                  <w:r>
                    <w:rPr>
                      <w:rFonts w:ascii="Times New Roman" w:hAnsi="Times New Roman"/>
                      <w:color w:val="auto"/>
                      <w:sz w:val="21"/>
                      <w:szCs w:val="21"/>
                      <w:highlight w:val="none"/>
                    </w:rPr>
                    <w:t>磁性过滤器</w:t>
                  </w:r>
                  <w:r>
                    <w:rPr>
                      <w:rFonts w:ascii="Times New Roman" w:hAnsi="Times New Roman"/>
                      <w:color w:val="auto"/>
                      <w:kern w:val="0"/>
                      <w:sz w:val="21"/>
                      <w:szCs w:val="21"/>
                      <w:highlight w:val="none"/>
                    </w:rPr>
                    <w:t>等</w:t>
                  </w:r>
                  <w:r>
                    <w:rPr>
                      <w:rFonts w:hint="eastAsia" w:ascii="Times New Roman" w:hAnsi="Times New Roman"/>
                      <w:color w:val="auto"/>
                      <w:kern w:val="0"/>
                      <w:sz w:val="21"/>
                      <w:szCs w:val="21"/>
                      <w:highlight w:val="none"/>
                      <w:lang w:eastAsia="zh-CN"/>
                    </w:rPr>
                    <w:t>，</w:t>
                  </w:r>
                  <w:r>
                    <w:rPr>
                      <w:rFonts w:hint="eastAsia" w:ascii="Times New Roman" w:hAnsi="Times New Roman"/>
                      <w:color w:val="auto"/>
                      <w:kern w:val="0"/>
                      <w:sz w:val="21"/>
                      <w:szCs w:val="21"/>
                      <w:highlight w:val="none"/>
                      <w:lang w:val="en-US" w:eastAsia="zh-CN"/>
                    </w:rPr>
                    <w:t>主要进行打浆、去杂质精制等</w:t>
                  </w:r>
                  <w:r>
                    <w:rPr>
                      <w:rFonts w:ascii="Times New Roman" w:hAnsi="Times New Roman"/>
                      <w:color w:val="auto"/>
                      <w:kern w:val="0"/>
                      <w:sz w:val="21"/>
                      <w:szCs w:val="21"/>
                      <w:highlight w:val="none"/>
                    </w:rPr>
                    <w:t>。</w:t>
                  </w:r>
                </w:p>
              </w:tc>
            </w:tr>
            <w:tr w14:paraId="466B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7C240093">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697" w:type="pct"/>
                  <w:vMerge w:val="continue"/>
                  <w:noWrap w:val="0"/>
                  <w:vAlign w:val="center"/>
                </w:tcPr>
                <w:p w14:paraId="706C7369">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717" w:type="pct"/>
                  <w:noWrap w:val="0"/>
                  <w:vAlign w:val="center"/>
                </w:tcPr>
                <w:p w14:paraId="7D0573B5">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调配车间</w:t>
                  </w:r>
                </w:p>
              </w:tc>
              <w:tc>
                <w:tcPr>
                  <w:tcW w:w="3140" w:type="pct"/>
                  <w:noWrap w:val="0"/>
                  <w:vAlign w:val="center"/>
                </w:tcPr>
                <w:p w14:paraId="11FAD35A">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val="en-US" w:eastAsia="zh-CN"/>
                    </w:rPr>
                    <w:t>建筑面积为</w:t>
                  </w:r>
                  <w:r>
                    <w:rPr>
                      <w:rFonts w:ascii="Times New Roman" w:hAnsi="Times New Roman"/>
                      <w:color w:val="auto"/>
                      <w:sz w:val="21"/>
                      <w:szCs w:val="21"/>
                      <w:highlight w:val="none"/>
                    </w:rPr>
                    <w:t>108m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，位于车间南侧位置，12个配料罐、3台调配单元电柜、3套调料平台、3台杀菌机等</w:t>
                  </w:r>
                  <w:r>
                    <w:rPr>
                      <w:rFonts w:hint="eastAsia" w:ascii="Times New Roman" w:hAnsi="Times New Roman"/>
                      <w:color w:val="auto"/>
                      <w:sz w:val="21"/>
                      <w:szCs w:val="21"/>
                      <w:highlight w:val="none"/>
                      <w:lang w:eastAsia="zh-CN"/>
                    </w:rPr>
                    <w:t>。</w:t>
                  </w:r>
                </w:p>
              </w:tc>
            </w:tr>
            <w:tr w14:paraId="33A9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6C5D654D">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697" w:type="pct"/>
                  <w:vMerge w:val="continue"/>
                  <w:noWrap w:val="0"/>
                  <w:vAlign w:val="center"/>
                </w:tcPr>
                <w:p w14:paraId="0707162C">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717" w:type="pct"/>
                  <w:noWrap w:val="0"/>
                  <w:vAlign w:val="center"/>
                </w:tcPr>
                <w:p w14:paraId="1078027F">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CIP间</w:t>
                  </w:r>
                </w:p>
              </w:tc>
              <w:tc>
                <w:tcPr>
                  <w:tcW w:w="3140" w:type="pct"/>
                  <w:noWrap w:val="0"/>
                  <w:vAlign w:val="center"/>
                </w:tcPr>
                <w:p w14:paraId="21808346">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default" w:ascii="Times New Roman" w:hAnsi="Times New Roman"/>
                      <w:color w:val="auto"/>
                      <w:sz w:val="21"/>
                      <w:szCs w:val="21"/>
                      <w:highlight w:val="none"/>
                      <w:lang w:val="en-US"/>
                    </w:rPr>
                  </w:pPr>
                  <w:r>
                    <w:rPr>
                      <w:rFonts w:hint="eastAsia" w:ascii="Times New Roman" w:hAnsi="Times New Roman"/>
                      <w:color w:val="auto"/>
                      <w:sz w:val="21"/>
                      <w:szCs w:val="21"/>
                      <w:highlight w:val="none"/>
                      <w:lang w:val="en-US" w:eastAsia="zh-CN"/>
                    </w:rPr>
                    <w:t>建筑</w:t>
                  </w:r>
                  <w:r>
                    <w:rPr>
                      <w:rFonts w:ascii="Times New Roman" w:hAnsi="Times New Roman"/>
                      <w:color w:val="auto"/>
                      <w:sz w:val="21"/>
                      <w:szCs w:val="21"/>
                      <w:highlight w:val="none"/>
                    </w:rPr>
                    <w:t>面积为</w:t>
                  </w:r>
                  <w:r>
                    <w:rPr>
                      <w:rFonts w:hint="eastAsia" w:ascii="Times New Roman" w:hAnsi="Times New Roman"/>
                      <w:color w:val="auto"/>
                      <w:sz w:val="21"/>
                      <w:szCs w:val="21"/>
                      <w:highlight w:val="none"/>
                      <w:lang w:val="en-US" w:eastAsia="zh-CN"/>
                    </w:rPr>
                    <w:t>47.5</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，位于车间北侧位置，</w:t>
                  </w:r>
                  <w:r>
                    <w:rPr>
                      <w:rFonts w:hint="eastAsia" w:ascii="Times New Roman" w:hAnsi="Times New Roman"/>
                      <w:color w:val="auto"/>
                      <w:sz w:val="21"/>
                      <w:szCs w:val="21"/>
                      <w:highlight w:val="none"/>
                      <w:lang w:val="en-US" w:eastAsia="zh-CN"/>
                    </w:rPr>
                    <w:t>内部设置有热水罐、酸液罐、碱液罐等，主要进行管道清洗。</w:t>
                  </w:r>
                </w:p>
              </w:tc>
            </w:tr>
            <w:tr w14:paraId="5EF0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5C5E1802">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697" w:type="pct"/>
                  <w:vMerge w:val="continue"/>
                  <w:noWrap w:val="0"/>
                  <w:vAlign w:val="center"/>
                </w:tcPr>
                <w:p w14:paraId="5A887091">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717" w:type="pct"/>
                  <w:noWrap w:val="0"/>
                  <w:vAlign w:val="center"/>
                </w:tcPr>
                <w:p w14:paraId="7A7C6882">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灌装间</w:t>
                  </w:r>
                </w:p>
              </w:tc>
              <w:tc>
                <w:tcPr>
                  <w:tcW w:w="3140" w:type="pct"/>
                  <w:noWrap w:val="0"/>
                  <w:vAlign w:val="center"/>
                </w:tcPr>
                <w:p w14:paraId="00F268A0">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建筑</w:t>
                  </w:r>
                  <w:r>
                    <w:rPr>
                      <w:rFonts w:ascii="Times New Roman" w:hAnsi="Times New Roman"/>
                      <w:color w:val="auto"/>
                      <w:sz w:val="21"/>
                      <w:szCs w:val="21"/>
                      <w:highlight w:val="none"/>
                    </w:rPr>
                    <w:t>面积为</w:t>
                  </w:r>
                  <w:r>
                    <w:rPr>
                      <w:rFonts w:hint="eastAsia" w:ascii="Times New Roman" w:hAnsi="Times New Roman"/>
                      <w:color w:val="auto"/>
                      <w:sz w:val="21"/>
                      <w:szCs w:val="21"/>
                      <w:highlight w:val="none"/>
                      <w:lang w:val="en-US" w:eastAsia="zh-CN"/>
                    </w:rPr>
                    <w:t>28.68</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w:t>
                  </w:r>
                  <w:r>
                    <w:rPr>
                      <w:rFonts w:hint="eastAsia" w:ascii="Times New Roman" w:hAnsi="Times New Roman"/>
                      <w:color w:val="auto"/>
                      <w:sz w:val="21"/>
                      <w:szCs w:val="21"/>
                      <w:highlight w:val="none"/>
                      <w:lang w:val="en-US" w:eastAsia="zh-CN"/>
                    </w:rPr>
                    <w:t>速冻车间东侧</w:t>
                  </w:r>
                  <w:r>
                    <w:rPr>
                      <w:rFonts w:ascii="Times New Roman" w:hAnsi="Times New Roman"/>
                      <w:color w:val="auto"/>
                      <w:sz w:val="21"/>
                      <w:szCs w:val="21"/>
                      <w:highlight w:val="none"/>
                    </w:rPr>
                    <w:t>，车间内设置有1台</w:t>
                  </w:r>
                  <w:r>
                    <w:rPr>
                      <w:rFonts w:ascii="Times New Roman" w:hAnsi="Times New Roman"/>
                      <w:color w:val="auto"/>
                      <w:kern w:val="0"/>
                      <w:sz w:val="21"/>
                      <w:szCs w:val="21"/>
                      <w:highlight w:val="none"/>
                    </w:rPr>
                    <w:t>20kg袋装机、1套输送带等</w:t>
                  </w:r>
                  <w:r>
                    <w:rPr>
                      <w:rFonts w:hint="eastAsia" w:ascii="Times New Roman" w:hAnsi="Times New Roman"/>
                      <w:color w:val="auto"/>
                      <w:kern w:val="0"/>
                      <w:sz w:val="21"/>
                      <w:szCs w:val="21"/>
                      <w:highlight w:val="none"/>
                      <w:lang w:eastAsia="zh-CN"/>
                    </w:rPr>
                    <w:t>，</w:t>
                  </w:r>
                  <w:r>
                    <w:rPr>
                      <w:rFonts w:hint="eastAsia" w:ascii="Times New Roman" w:hAnsi="Times New Roman"/>
                      <w:color w:val="auto"/>
                      <w:kern w:val="0"/>
                      <w:sz w:val="21"/>
                      <w:szCs w:val="21"/>
                      <w:highlight w:val="none"/>
                      <w:lang w:val="en-US" w:eastAsia="zh-CN"/>
                    </w:rPr>
                    <w:t>主要进行成品灌装</w:t>
                  </w:r>
                  <w:r>
                    <w:rPr>
                      <w:rFonts w:ascii="Times New Roman" w:hAnsi="Times New Roman"/>
                      <w:color w:val="auto"/>
                      <w:kern w:val="0"/>
                      <w:sz w:val="21"/>
                      <w:szCs w:val="21"/>
                      <w:highlight w:val="none"/>
                    </w:rPr>
                    <w:t>。</w:t>
                  </w:r>
                </w:p>
              </w:tc>
            </w:tr>
            <w:tr w14:paraId="3C636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restart"/>
                  <w:noWrap w:val="0"/>
                  <w:vAlign w:val="center"/>
                </w:tcPr>
                <w:p w14:paraId="5FB55E0A">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辅助工程</w:t>
                  </w:r>
                </w:p>
              </w:tc>
              <w:tc>
                <w:tcPr>
                  <w:tcW w:w="1414" w:type="pct"/>
                  <w:gridSpan w:val="2"/>
                  <w:noWrap w:val="0"/>
                  <w:vAlign w:val="center"/>
                </w:tcPr>
                <w:p w14:paraId="04336C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酸液间及碱液间</w:t>
                  </w:r>
                </w:p>
              </w:tc>
              <w:tc>
                <w:tcPr>
                  <w:tcW w:w="3140" w:type="pct"/>
                  <w:noWrap w:val="0"/>
                  <w:vAlign w:val="center"/>
                </w:tcPr>
                <w:p w14:paraId="2111749E">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建筑</w:t>
                  </w:r>
                  <w:r>
                    <w:rPr>
                      <w:rFonts w:ascii="Times New Roman" w:hAnsi="Times New Roman"/>
                      <w:color w:val="auto"/>
                      <w:sz w:val="21"/>
                      <w:szCs w:val="21"/>
                      <w:highlight w:val="none"/>
                    </w:rPr>
                    <w:t>面积为</w:t>
                  </w:r>
                  <w:r>
                    <w:rPr>
                      <w:rFonts w:hint="eastAsia" w:ascii="Times New Roman" w:hAnsi="Times New Roman"/>
                      <w:color w:val="auto"/>
                      <w:sz w:val="21"/>
                      <w:szCs w:val="21"/>
                      <w:highlight w:val="none"/>
                      <w:lang w:val="en-US" w:eastAsia="zh-CN"/>
                    </w:rPr>
                    <w:t>27.6</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，位于厂房</w:t>
                  </w:r>
                  <w:r>
                    <w:rPr>
                      <w:rFonts w:hint="eastAsia" w:ascii="Times New Roman" w:hAnsi="Times New Roman"/>
                      <w:color w:val="auto"/>
                      <w:sz w:val="21"/>
                      <w:szCs w:val="21"/>
                      <w:highlight w:val="none"/>
                      <w:lang w:val="en-US" w:eastAsia="zh-CN"/>
                    </w:rPr>
                    <w:t>西北</w:t>
                  </w:r>
                  <w:r>
                    <w:rPr>
                      <w:rFonts w:ascii="Times New Roman" w:hAnsi="Times New Roman"/>
                      <w:color w:val="auto"/>
                      <w:sz w:val="21"/>
                      <w:szCs w:val="21"/>
                      <w:highlight w:val="none"/>
                    </w:rPr>
                    <w:t>侧，用于</w:t>
                  </w:r>
                  <w:r>
                    <w:rPr>
                      <w:rFonts w:hint="eastAsia" w:ascii="Times New Roman" w:hAnsi="Times New Roman"/>
                      <w:color w:val="auto"/>
                      <w:sz w:val="21"/>
                      <w:szCs w:val="21"/>
                      <w:highlight w:val="none"/>
                      <w:lang w:val="en-US" w:eastAsia="zh-CN"/>
                    </w:rPr>
                    <w:t>布置酸液罐及碱液罐</w:t>
                  </w:r>
                  <w:r>
                    <w:rPr>
                      <w:rFonts w:ascii="Times New Roman" w:hAnsi="Times New Roman"/>
                      <w:color w:val="auto"/>
                      <w:sz w:val="21"/>
                      <w:szCs w:val="21"/>
                      <w:highlight w:val="none"/>
                    </w:rPr>
                    <w:t>。</w:t>
                  </w:r>
                </w:p>
              </w:tc>
            </w:tr>
            <w:tr w14:paraId="4A3A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46E711B6">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20BAD3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天平室</w:t>
                  </w:r>
                </w:p>
              </w:tc>
              <w:tc>
                <w:tcPr>
                  <w:tcW w:w="3140" w:type="pct"/>
                  <w:noWrap w:val="0"/>
                  <w:vAlign w:val="center"/>
                </w:tcPr>
                <w:p w14:paraId="4A7CABA7">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建筑</w:t>
                  </w:r>
                  <w:r>
                    <w:rPr>
                      <w:rFonts w:ascii="Times New Roman" w:hAnsi="Times New Roman"/>
                      <w:color w:val="auto"/>
                      <w:sz w:val="21"/>
                      <w:szCs w:val="21"/>
                      <w:highlight w:val="none"/>
                    </w:rPr>
                    <w:t>面积为</w:t>
                  </w:r>
                  <w:r>
                    <w:rPr>
                      <w:rFonts w:hint="eastAsia" w:ascii="Times New Roman" w:hAnsi="Times New Roman"/>
                      <w:color w:val="auto"/>
                      <w:sz w:val="21"/>
                      <w:szCs w:val="21"/>
                      <w:highlight w:val="none"/>
                      <w:lang w:val="en-US" w:eastAsia="zh-CN"/>
                    </w:rPr>
                    <w:t>4</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w:t>
                  </w:r>
                  <w:r>
                    <w:rPr>
                      <w:rFonts w:hint="eastAsia" w:ascii="Times New Roman" w:hAnsi="Times New Roman"/>
                      <w:color w:val="auto"/>
                      <w:sz w:val="21"/>
                      <w:szCs w:val="21"/>
                      <w:highlight w:val="none"/>
                      <w:lang w:val="en-US" w:eastAsia="zh-CN"/>
                    </w:rPr>
                    <w:t>厂房东南侧</w:t>
                  </w:r>
                  <w:r>
                    <w:rPr>
                      <w:rFonts w:ascii="Times New Roman" w:hAnsi="Times New Roman"/>
                      <w:color w:val="auto"/>
                      <w:sz w:val="21"/>
                      <w:szCs w:val="21"/>
                      <w:highlight w:val="none"/>
                    </w:rPr>
                    <w:t>。</w:t>
                  </w:r>
                </w:p>
              </w:tc>
            </w:tr>
            <w:tr w14:paraId="48D0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07FD6B8F">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093D8B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储物间</w:t>
                  </w:r>
                </w:p>
              </w:tc>
              <w:tc>
                <w:tcPr>
                  <w:tcW w:w="3140" w:type="pct"/>
                  <w:noWrap w:val="0"/>
                  <w:vAlign w:val="center"/>
                </w:tcPr>
                <w:p w14:paraId="7AE70ACC">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建筑面积为6m</w:t>
                  </w:r>
                  <w:r>
                    <w:rPr>
                      <w:rFonts w:hint="eastAsia" w:ascii="Times New Roman" w:hAnsi="Times New Roman"/>
                      <w:color w:val="auto"/>
                      <w:sz w:val="21"/>
                      <w:szCs w:val="21"/>
                      <w:highlight w:val="none"/>
                      <w:vertAlign w:val="superscript"/>
                      <w:lang w:val="en-US" w:eastAsia="zh-CN"/>
                    </w:rPr>
                    <w:t>2</w:t>
                  </w:r>
                  <w:r>
                    <w:rPr>
                      <w:rFonts w:hint="eastAsia" w:ascii="Times New Roman" w:hAnsi="Times New Roman"/>
                      <w:color w:val="auto"/>
                      <w:sz w:val="21"/>
                      <w:szCs w:val="21"/>
                      <w:highlight w:val="none"/>
                      <w:lang w:val="en-US" w:eastAsia="zh-CN"/>
                    </w:rPr>
                    <w:t>，位于厂房东南侧，主要用于存放实验物品等。</w:t>
                  </w:r>
                </w:p>
              </w:tc>
            </w:tr>
            <w:tr w14:paraId="73A2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35520894">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021C8F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实验室办公室及</w:t>
                  </w:r>
                  <w:r>
                    <w:rPr>
                      <w:rFonts w:ascii="Times New Roman" w:hAnsi="Times New Roman"/>
                      <w:color w:val="auto"/>
                      <w:sz w:val="21"/>
                      <w:szCs w:val="21"/>
                      <w:highlight w:val="none"/>
                    </w:rPr>
                    <w:t>操作室</w:t>
                  </w:r>
                </w:p>
              </w:tc>
              <w:tc>
                <w:tcPr>
                  <w:tcW w:w="3140" w:type="pct"/>
                  <w:noWrap w:val="0"/>
                  <w:vAlign w:val="center"/>
                </w:tcPr>
                <w:p w14:paraId="6E4D452D">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建筑</w:t>
                  </w:r>
                  <w:r>
                    <w:rPr>
                      <w:rFonts w:ascii="Times New Roman" w:hAnsi="Times New Roman"/>
                      <w:color w:val="auto"/>
                      <w:sz w:val="21"/>
                      <w:szCs w:val="21"/>
                      <w:highlight w:val="none"/>
                    </w:rPr>
                    <w:t>面积为</w:t>
                  </w:r>
                  <w:r>
                    <w:rPr>
                      <w:rFonts w:hint="eastAsia" w:ascii="Times New Roman" w:hAnsi="Times New Roman"/>
                      <w:color w:val="auto"/>
                      <w:sz w:val="21"/>
                      <w:szCs w:val="21"/>
                      <w:highlight w:val="none"/>
                      <w:lang w:val="en-US" w:eastAsia="zh-CN"/>
                    </w:rPr>
                    <w:t>110.29</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，位于厂房</w:t>
                  </w:r>
                  <w:r>
                    <w:rPr>
                      <w:rFonts w:hint="eastAsia" w:ascii="Times New Roman" w:hAnsi="Times New Roman"/>
                      <w:color w:val="auto"/>
                      <w:sz w:val="21"/>
                      <w:szCs w:val="21"/>
                      <w:highlight w:val="none"/>
                      <w:lang w:val="en-US" w:eastAsia="zh-CN"/>
                    </w:rPr>
                    <w:t>东南侧</w:t>
                  </w:r>
                  <w:r>
                    <w:rPr>
                      <w:rFonts w:ascii="Times New Roman" w:hAnsi="Times New Roman"/>
                      <w:color w:val="auto"/>
                      <w:sz w:val="21"/>
                      <w:szCs w:val="21"/>
                      <w:highlight w:val="none"/>
                    </w:rPr>
                    <w:t>，用于</w:t>
                  </w:r>
                  <w:r>
                    <w:rPr>
                      <w:rFonts w:hint="eastAsia" w:ascii="Times New Roman" w:hAnsi="Times New Roman"/>
                      <w:color w:val="auto"/>
                      <w:sz w:val="21"/>
                      <w:szCs w:val="21"/>
                      <w:highlight w:val="none"/>
                      <w:lang w:val="en-US" w:eastAsia="zh-CN"/>
                    </w:rPr>
                    <w:t>果蔬汁糖度、酸度的</w:t>
                  </w:r>
                  <w:r>
                    <w:rPr>
                      <w:rFonts w:ascii="Times New Roman" w:hAnsi="Times New Roman"/>
                      <w:color w:val="auto"/>
                      <w:sz w:val="21"/>
                      <w:szCs w:val="21"/>
                      <w:highlight w:val="none"/>
                    </w:rPr>
                    <w:t>检验等。</w:t>
                  </w:r>
                </w:p>
              </w:tc>
            </w:tr>
            <w:tr w14:paraId="013D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08CFDE94">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47F0EC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培养室</w:t>
                  </w:r>
                </w:p>
              </w:tc>
              <w:tc>
                <w:tcPr>
                  <w:tcW w:w="3140" w:type="pct"/>
                  <w:noWrap w:val="0"/>
                  <w:vAlign w:val="center"/>
                </w:tcPr>
                <w:p w14:paraId="6A344D58">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建筑</w:t>
                  </w:r>
                  <w:r>
                    <w:rPr>
                      <w:rFonts w:ascii="Times New Roman" w:hAnsi="Times New Roman"/>
                      <w:color w:val="auto"/>
                      <w:sz w:val="21"/>
                      <w:szCs w:val="21"/>
                      <w:highlight w:val="none"/>
                    </w:rPr>
                    <w:t>面积为</w:t>
                  </w:r>
                  <w:r>
                    <w:rPr>
                      <w:rFonts w:hint="eastAsia" w:ascii="Times New Roman" w:hAnsi="Times New Roman"/>
                      <w:color w:val="auto"/>
                      <w:sz w:val="21"/>
                      <w:szCs w:val="21"/>
                      <w:highlight w:val="none"/>
                      <w:lang w:val="en-US" w:eastAsia="zh-CN"/>
                    </w:rPr>
                    <w:t>18</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w:t>
                  </w:r>
                  <w:r>
                    <w:rPr>
                      <w:rFonts w:hint="eastAsia" w:ascii="Times New Roman" w:hAnsi="Times New Roman"/>
                      <w:color w:val="auto"/>
                      <w:sz w:val="21"/>
                      <w:szCs w:val="21"/>
                      <w:highlight w:val="none"/>
                      <w:lang w:val="en-US" w:eastAsia="zh-CN"/>
                    </w:rPr>
                    <w:t>厂房东南侧</w:t>
                  </w:r>
                </w:p>
                <w:p w14:paraId="7C6E706A">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主要</w:t>
                  </w:r>
                  <w:r>
                    <w:rPr>
                      <w:rFonts w:ascii="Times New Roman" w:hAnsi="Times New Roman"/>
                      <w:color w:val="auto"/>
                      <w:sz w:val="21"/>
                      <w:szCs w:val="21"/>
                      <w:highlight w:val="none"/>
                    </w:rPr>
                    <w:t>用于实验培养。</w:t>
                  </w:r>
                </w:p>
              </w:tc>
            </w:tr>
            <w:tr w14:paraId="2FC5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7E4DBF71">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187FC0FA">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接种室</w:t>
                  </w:r>
                </w:p>
              </w:tc>
              <w:tc>
                <w:tcPr>
                  <w:tcW w:w="3140" w:type="pct"/>
                  <w:noWrap w:val="0"/>
                  <w:vAlign w:val="center"/>
                </w:tcPr>
                <w:p w14:paraId="0BA7CB0E">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建筑</w:t>
                  </w:r>
                  <w:r>
                    <w:rPr>
                      <w:rFonts w:ascii="Times New Roman" w:hAnsi="Times New Roman"/>
                      <w:color w:val="auto"/>
                      <w:sz w:val="21"/>
                      <w:szCs w:val="21"/>
                      <w:highlight w:val="none"/>
                    </w:rPr>
                    <w:t>面积为</w:t>
                  </w:r>
                  <w:r>
                    <w:rPr>
                      <w:rFonts w:hint="eastAsia" w:ascii="Times New Roman" w:hAnsi="Times New Roman"/>
                      <w:color w:val="auto"/>
                      <w:sz w:val="21"/>
                      <w:szCs w:val="21"/>
                      <w:highlight w:val="none"/>
                      <w:lang w:val="en-US" w:eastAsia="zh-CN"/>
                    </w:rPr>
                    <w:t>18</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w:t>
                  </w:r>
                  <w:r>
                    <w:rPr>
                      <w:rFonts w:hint="eastAsia" w:ascii="Times New Roman" w:hAnsi="Times New Roman"/>
                      <w:color w:val="auto"/>
                      <w:sz w:val="21"/>
                      <w:szCs w:val="21"/>
                      <w:highlight w:val="none"/>
                      <w:lang w:val="en-US" w:eastAsia="zh-CN"/>
                    </w:rPr>
                    <w:t>厂房东南侧</w:t>
                  </w:r>
                  <w:r>
                    <w:rPr>
                      <w:rFonts w:ascii="Times New Roman" w:hAnsi="Times New Roman"/>
                      <w:color w:val="auto"/>
                      <w:sz w:val="21"/>
                      <w:szCs w:val="21"/>
                      <w:highlight w:val="none"/>
                    </w:rPr>
                    <w:t>，主要用于实验室接种。</w:t>
                  </w:r>
                </w:p>
              </w:tc>
            </w:tr>
            <w:tr w14:paraId="7F0C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50A6CEAA">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56E879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管理间</w:t>
                  </w:r>
                </w:p>
              </w:tc>
              <w:tc>
                <w:tcPr>
                  <w:tcW w:w="3140" w:type="pct"/>
                  <w:noWrap w:val="0"/>
                  <w:vAlign w:val="center"/>
                </w:tcPr>
                <w:p w14:paraId="5C7C4CC5">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建筑</w:t>
                  </w:r>
                  <w:r>
                    <w:rPr>
                      <w:rFonts w:ascii="Times New Roman" w:hAnsi="Times New Roman"/>
                      <w:color w:val="auto"/>
                      <w:sz w:val="21"/>
                      <w:szCs w:val="21"/>
                      <w:highlight w:val="none"/>
                    </w:rPr>
                    <w:t>面积为</w:t>
                  </w:r>
                  <w:r>
                    <w:rPr>
                      <w:rFonts w:hint="eastAsia" w:ascii="Times New Roman" w:hAnsi="Times New Roman"/>
                      <w:color w:val="auto"/>
                      <w:sz w:val="21"/>
                      <w:szCs w:val="21"/>
                      <w:highlight w:val="none"/>
                      <w:lang w:val="en-US" w:eastAsia="zh-CN"/>
                    </w:rPr>
                    <w:t>14</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，位于厂房</w:t>
                  </w:r>
                  <w:r>
                    <w:rPr>
                      <w:rFonts w:hint="eastAsia" w:ascii="Times New Roman" w:hAnsi="Times New Roman"/>
                      <w:color w:val="auto"/>
                      <w:sz w:val="21"/>
                      <w:szCs w:val="21"/>
                      <w:highlight w:val="none"/>
                      <w:lang w:val="en-US" w:eastAsia="zh-CN"/>
                    </w:rPr>
                    <w:t>北侧</w:t>
                  </w:r>
                  <w:r>
                    <w:rPr>
                      <w:rFonts w:ascii="Times New Roman" w:hAnsi="Times New Roman"/>
                      <w:color w:val="auto"/>
                      <w:sz w:val="21"/>
                      <w:szCs w:val="21"/>
                      <w:highlight w:val="none"/>
                    </w:rPr>
                    <w:t>，主要用于管理人员对机械设备进行管理。</w:t>
                  </w:r>
                </w:p>
              </w:tc>
            </w:tr>
            <w:tr w14:paraId="4A5E4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59C3E397">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24B6B7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换鞋间</w:t>
                  </w:r>
                </w:p>
              </w:tc>
              <w:tc>
                <w:tcPr>
                  <w:tcW w:w="3140" w:type="pct"/>
                  <w:noWrap w:val="0"/>
                  <w:vAlign w:val="center"/>
                </w:tcPr>
                <w:p w14:paraId="33F819EF">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共设置有2间，总建筑</w:t>
                  </w:r>
                  <w:r>
                    <w:rPr>
                      <w:rFonts w:ascii="Times New Roman" w:hAnsi="Times New Roman"/>
                      <w:color w:val="auto"/>
                      <w:sz w:val="21"/>
                      <w:szCs w:val="21"/>
                      <w:highlight w:val="none"/>
                    </w:rPr>
                    <w:t>面积为</w:t>
                  </w:r>
                  <w:r>
                    <w:rPr>
                      <w:rFonts w:hint="eastAsia" w:ascii="Times New Roman" w:hAnsi="Times New Roman"/>
                      <w:color w:val="auto"/>
                      <w:sz w:val="21"/>
                      <w:szCs w:val="21"/>
                      <w:highlight w:val="none"/>
                      <w:lang w:val="en-US" w:eastAsia="zh-CN"/>
                    </w:rPr>
                    <w:t>33</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，位于管理间的南侧，主要用于员工换鞋。</w:t>
                  </w:r>
                </w:p>
              </w:tc>
            </w:tr>
            <w:tr w14:paraId="38C73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527AEBAF">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1D8D33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女更衣室</w:t>
                  </w:r>
                </w:p>
              </w:tc>
              <w:tc>
                <w:tcPr>
                  <w:tcW w:w="3140" w:type="pct"/>
                  <w:noWrap w:val="0"/>
                  <w:vAlign w:val="center"/>
                </w:tcPr>
                <w:p w14:paraId="73768BFE">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共设置有</w:t>
                  </w:r>
                  <w:r>
                    <w:rPr>
                      <w:rFonts w:ascii="Times New Roman" w:hAnsi="Times New Roman"/>
                      <w:color w:val="auto"/>
                      <w:sz w:val="21"/>
                      <w:szCs w:val="21"/>
                      <w:highlight w:val="none"/>
                    </w:rPr>
                    <w:t>2间</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总</w:t>
                  </w:r>
                  <w:r>
                    <w:rPr>
                      <w:rFonts w:hint="eastAsia" w:ascii="Times New Roman" w:hAnsi="Times New Roman"/>
                      <w:color w:val="auto"/>
                      <w:sz w:val="21"/>
                      <w:szCs w:val="21"/>
                      <w:highlight w:val="none"/>
                      <w:lang w:val="en-US" w:eastAsia="zh-CN"/>
                    </w:rPr>
                    <w:t>建筑</w:t>
                  </w:r>
                  <w:r>
                    <w:rPr>
                      <w:rFonts w:ascii="Times New Roman" w:hAnsi="Times New Roman"/>
                      <w:color w:val="auto"/>
                      <w:sz w:val="21"/>
                      <w:szCs w:val="21"/>
                      <w:highlight w:val="none"/>
                    </w:rPr>
                    <w:t>面积为</w:t>
                  </w:r>
                  <w:r>
                    <w:rPr>
                      <w:rFonts w:hint="eastAsia" w:ascii="Times New Roman" w:hAnsi="Times New Roman"/>
                      <w:color w:val="auto"/>
                      <w:sz w:val="21"/>
                      <w:szCs w:val="21"/>
                      <w:highlight w:val="none"/>
                      <w:lang w:val="en-US" w:eastAsia="zh-CN"/>
                    </w:rPr>
                    <w:t>42</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，位于换鞋间的南侧，主要用于员工更换工作服。</w:t>
                  </w:r>
                </w:p>
              </w:tc>
            </w:tr>
            <w:tr w14:paraId="6D52C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11CDA721">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2892AA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男更衣室</w:t>
                  </w:r>
                </w:p>
              </w:tc>
              <w:tc>
                <w:tcPr>
                  <w:tcW w:w="3140" w:type="pct"/>
                  <w:noWrap w:val="0"/>
                  <w:vAlign w:val="center"/>
                </w:tcPr>
                <w:p w14:paraId="25609192">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共设置有</w:t>
                  </w:r>
                  <w:r>
                    <w:rPr>
                      <w:rFonts w:ascii="Times New Roman" w:hAnsi="Times New Roman"/>
                      <w:color w:val="auto"/>
                      <w:sz w:val="21"/>
                      <w:szCs w:val="21"/>
                      <w:highlight w:val="none"/>
                    </w:rPr>
                    <w:t>2间</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总</w:t>
                  </w:r>
                  <w:r>
                    <w:rPr>
                      <w:rFonts w:hint="eastAsia" w:ascii="Times New Roman" w:hAnsi="Times New Roman"/>
                      <w:color w:val="auto"/>
                      <w:sz w:val="21"/>
                      <w:szCs w:val="21"/>
                      <w:highlight w:val="none"/>
                      <w:lang w:val="en-US" w:eastAsia="zh-CN"/>
                    </w:rPr>
                    <w:t>建筑</w:t>
                  </w:r>
                  <w:r>
                    <w:rPr>
                      <w:rFonts w:ascii="Times New Roman" w:hAnsi="Times New Roman"/>
                      <w:color w:val="auto"/>
                      <w:sz w:val="21"/>
                      <w:szCs w:val="21"/>
                      <w:highlight w:val="none"/>
                    </w:rPr>
                    <w:t>面积为</w:t>
                  </w:r>
                  <w:r>
                    <w:rPr>
                      <w:rFonts w:hint="eastAsia" w:ascii="Times New Roman" w:hAnsi="Times New Roman"/>
                      <w:color w:val="auto"/>
                      <w:sz w:val="21"/>
                      <w:szCs w:val="21"/>
                      <w:highlight w:val="none"/>
                      <w:lang w:val="en-US" w:eastAsia="zh-CN"/>
                    </w:rPr>
                    <w:t>24</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，位于换鞋间的南侧，主要用于员工更换工作服。</w:t>
                  </w:r>
                </w:p>
              </w:tc>
            </w:tr>
            <w:tr w14:paraId="0B0C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6A2D844C">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6C5C8A00">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车间办公室</w:t>
                  </w:r>
                </w:p>
              </w:tc>
              <w:tc>
                <w:tcPr>
                  <w:tcW w:w="3140" w:type="pct"/>
                  <w:noWrap w:val="0"/>
                  <w:vAlign w:val="center"/>
                </w:tcPr>
                <w:p w14:paraId="631B1624">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建筑</w:t>
                  </w:r>
                  <w:r>
                    <w:rPr>
                      <w:rFonts w:ascii="Times New Roman" w:hAnsi="Times New Roman"/>
                      <w:color w:val="auto"/>
                      <w:sz w:val="21"/>
                      <w:szCs w:val="21"/>
                      <w:highlight w:val="none"/>
                    </w:rPr>
                    <w:t>面积为</w:t>
                  </w:r>
                  <w:r>
                    <w:rPr>
                      <w:rFonts w:hint="eastAsia" w:ascii="Times New Roman" w:hAnsi="Times New Roman"/>
                      <w:color w:val="auto"/>
                      <w:sz w:val="21"/>
                      <w:szCs w:val="21"/>
                      <w:highlight w:val="none"/>
                      <w:lang w:val="en-US" w:eastAsia="zh-CN"/>
                    </w:rPr>
                    <w:t>66</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，位于厂房</w:t>
                  </w:r>
                  <w:r>
                    <w:rPr>
                      <w:rFonts w:hint="eastAsia" w:ascii="Times New Roman" w:hAnsi="Times New Roman"/>
                      <w:color w:val="auto"/>
                      <w:sz w:val="21"/>
                      <w:szCs w:val="21"/>
                      <w:highlight w:val="none"/>
                      <w:lang w:val="en-US" w:eastAsia="zh-CN"/>
                    </w:rPr>
                    <w:t>北侧</w:t>
                  </w:r>
                  <w:r>
                    <w:rPr>
                      <w:rFonts w:ascii="Times New Roman" w:hAnsi="Times New Roman"/>
                      <w:color w:val="auto"/>
                      <w:sz w:val="21"/>
                      <w:szCs w:val="21"/>
                      <w:highlight w:val="none"/>
                    </w:rPr>
                    <w:t>，主要用于车间</w:t>
                  </w:r>
                  <w:r>
                    <w:rPr>
                      <w:rFonts w:hint="eastAsia" w:ascii="Times New Roman" w:hAnsi="Times New Roman"/>
                      <w:color w:val="auto"/>
                      <w:sz w:val="21"/>
                      <w:szCs w:val="21"/>
                      <w:highlight w:val="none"/>
                      <w:lang w:val="en-US" w:eastAsia="zh-CN"/>
                    </w:rPr>
                    <w:t>工作人员</w:t>
                  </w:r>
                  <w:r>
                    <w:rPr>
                      <w:rFonts w:ascii="Times New Roman" w:hAnsi="Times New Roman"/>
                      <w:color w:val="auto"/>
                      <w:sz w:val="21"/>
                      <w:szCs w:val="21"/>
                      <w:highlight w:val="none"/>
                    </w:rPr>
                    <w:t>办公。</w:t>
                  </w:r>
                </w:p>
              </w:tc>
            </w:tr>
            <w:tr w14:paraId="5829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6E2CF836">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35CA8E3D">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在线质量监控室</w:t>
                  </w:r>
                </w:p>
              </w:tc>
              <w:tc>
                <w:tcPr>
                  <w:tcW w:w="3140" w:type="pct"/>
                  <w:noWrap w:val="0"/>
                  <w:vAlign w:val="center"/>
                </w:tcPr>
                <w:p w14:paraId="6CC4D064">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val="en-US" w:eastAsia="zh-CN"/>
                    </w:rPr>
                    <w:t>建筑</w:t>
                  </w:r>
                  <w:r>
                    <w:rPr>
                      <w:rFonts w:ascii="Times New Roman" w:hAnsi="Times New Roman"/>
                      <w:color w:val="auto"/>
                      <w:sz w:val="21"/>
                      <w:szCs w:val="21"/>
                      <w:highlight w:val="none"/>
                    </w:rPr>
                    <w:t>面积为</w:t>
                  </w:r>
                  <w:r>
                    <w:rPr>
                      <w:rFonts w:hint="eastAsia" w:ascii="Times New Roman" w:hAnsi="Times New Roman"/>
                      <w:color w:val="auto"/>
                      <w:sz w:val="21"/>
                      <w:szCs w:val="21"/>
                      <w:highlight w:val="none"/>
                      <w:lang w:val="en-US" w:eastAsia="zh-CN"/>
                    </w:rPr>
                    <w:t>11.4</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，位于CIP间的</w:t>
                  </w:r>
                  <w:r>
                    <w:rPr>
                      <w:rFonts w:hint="eastAsia" w:ascii="Times New Roman" w:hAnsi="Times New Roman"/>
                      <w:color w:val="auto"/>
                      <w:sz w:val="21"/>
                      <w:szCs w:val="21"/>
                      <w:highlight w:val="none"/>
                      <w:lang w:val="en-US" w:eastAsia="zh-CN"/>
                    </w:rPr>
                    <w:t>西</w:t>
                  </w:r>
                  <w:r>
                    <w:rPr>
                      <w:rFonts w:ascii="Times New Roman" w:hAnsi="Times New Roman"/>
                      <w:color w:val="auto"/>
                      <w:sz w:val="21"/>
                      <w:szCs w:val="21"/>
                      <w:highlight w:val="none"/>
                    </w:rPr>
                    <w:t>侧，主要用于成品</w:t>
                  </w:r>
                  <w:r>
                    <w:rPr>
                      <w:rFonts w:hint="eastAsia" w:ascii="Times New Roman" w:hAnsi="Times New Roman"/>
                      <w:color w:val="auto"/>
                      <w:sz w:val="21"/>
                      <w:szCs w:val="21"/>
                      <w:highlight w:val="none"/>
                      <w:lang w:val="en-US" w:eastAsia="zh-CN"/>
                    </w:rPr>
                    <w:t>果蔬汁及速冻果蔬丁块</w:t>
                  </w:r>
                  <w:r>
                    <w:rPr>
                      <w:rFonts w:ascii="Times New Roman" w:hAnsi="Times New Roman"/>
                      <w:color w:val="auto"/>
                      <w:sz w:val="21"/>
                      <w:szCs w:val="21"/>
                      <w:highlight w:val="none"/>
                    </w:rPr>
                    <w:t>的</w:t>
                  </w:r>
                  <w:r>
                    <w:rPr>
                      <w:rFonts w:hint="eastAsia" w:ascii="Times New Roman" w:hAnsi="Times New Roman"/>
                      <w:color w:val="auto"/>
                      <w:sz w:val="21"/>
                      <w:szCs w:val="21"/>
                      <w:highlight w:val="none"/>
                      <w:lang w:val="en-US" w:eastAsia="zh-CN"/>
                    </w:rPr>
                    <w:t>在线质量监控</w:t>
                  </w:r>
                  <w:r>
                    <w:rPr>
                      <w:rFonts w:hint="eastAsia" w:ascii="Times New Roman" w:hAnsi="Times New Roman"/>
                      <w:color w:val="auto"/>
                      <w:sz w:val="21"/>
                      <w:szCs w:val="21"/>
                      <w:highlight w:val="none"/>
                      <w:lang w:eastAsia="zh-CN"/>
                    </w:rPr>
                    <w:t>。</w:t>
                  </w:r>
                </w:p>
              </w:tc>
            </w:tr>
            <w:tr w14:paraId="0036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3528E2B7">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596089BA">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default" w:ascii="Times New Roman" w:hAnsi="Times New Roman" w:eastAsia="宋体"/>
                      <w:color w:val="auto"/>
                      <w:sz w:val="21"/>
                      <w:szCs w:val="21"/>
                      <w:highlight w:val="none"/>
                      <w:lang w:val="en-US" w:eastAsia="zh-CN"/>
                    </w:rPr>
                  </w:pPr>
                  <w:r>
                    <w:rPr>
                      <w:rFonts w:ascii="Times New Roman" w:hAnsi="Times New Roman"/>
                      <w:color w:val="auto"/>
                      <w:sz w:val="21"/>
                      <w:szCs w:val="21"/>
                      <w:highlight w:val="none"/>
                    </w:rPr>
                    <w:t>二次更衣室</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脚池、风淋室</w:t>
                  </w:r>
                </w:p>
              </w:tc>
              <w:tc>
                <w:tcPr>
                  <w:tcW w:w="3140" w:type="pct"/>
                  <w:noWrap w:val="0"/>
                  <w:vAlign w:val="center"/>
                </w:tcPr>
                <w:p w14:paraId="53403484">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建筑</w:t>
                  </w:r>
                  <w:r>
                    <w:rPr>
                      <w:rFonts w:ascii="Times New Roman" w:hAnsi="Times New Roman"/>
                      <w:color w:val="auto"/>
                      <w:sz w:val="21"/>
                      <w:szCs w:val="21"/>
                      <w:highlight w:val="none"/>
                    </w:rPr>
                    <w:t>面积为</w:t>
                  </w:r>
                  <w:r>
                    <w:rPr>
                      <w:rFonts w:hint="eastAsia" w:ascii="Times New Roman" w:hAnsi="Times New Roman"/>
                      <w:color w:val="auto"/>
                      <w:sz w:val="21"/>
                      <w:szCs w:val="21"/>
                      <w:highlight w:val="none"/>
                      <w:lang w:val="en-US" w:eastAsia="zh-CN"/>
                    </w:rPr>
                    <w:t>18.6</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，位于灌装间</w:t>
                  </w:r>
                  <w:r>
                    <w:rPr>
                      <w:rFonts w:hint="eastAsia" w:ascii="Times New Roman" w:hAnsi="Times New Roman"/>
                      <w:color w:val="auto"/>
                      <w:sz w:val="21"/>
                      <w:szCs w:val="21"/>
                      <w:highlight w:val="none"/>
                      <w:lang w:val="en-US" w:eastAsia="zh-CN"/>
                    </w:rPr>
                    <w:t>东侧</w:t>
                  </w:r>
                  <w:r>
                    <w:rPr>
                      <w:rFonts w:ascii="Times New Roman" w:hAnsi="Times New Roman"/>
                      <w:color w:val="auto"/>
                      <w:sz w:val="21"/>
                      <w:szCs w:val="21"/>
                      <w:highlight w:val="none"/>
                    </w:rPr>
                    <w:t>，主要用于员工进入</w:t>
                  </w:r>
                  <w:r>
                    <w:rPr>
                      <w:rFonts w:hint="eastAsia"/>
                      <w:color w:val="auto"/>
                      <w:sz w:val="21"/>
                      <w:szCs w:val="21"/>
                      <w:highlight w:val="none"/>
                      <w:lang w:eastAsia="zh-CN"/>
                    </w:rPr>
                    <w:t>灌装</w:t>
                  </w:r>
                  <w:r>
                    <w:rPr>
                      <w:rFonts w:ascii="Times New Roman" w:hAnsi="Times New Roman"/>
                      <w:color w:val="auto"/>
                      <w:sz w:val="21"/>
                      <w:szCs w:val="21"/>
                      <w:highlight w:val="none"/>
                    </w:rPr>
                    <w:t>车间更换工作服</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洗脚及风淋消毒</w:t>
                  </w:r>
                  <w:r>
                    <w:rPr>
                      <w:rFonts w:ascii="Times New Roman" w:hAnsi="Times New Roman"/>
                      <w:color w:val="auto"/>
                      <w:sz w:val="21"/>
                      <w:szCs w:val="21"/>
                      <w:highlight w:val="none"/>
                    </w:rPr>
                    <w:t>。</w:t>
                  </w:r>
                </w:p>
              </w:tc>
            </w:tr>
            <w:tr w14:paraId="637F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2872F33B">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71B04A8F">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hint="eastAsia" w:ascii="Times New Roman" w:hAnsi="Times New Roman"/>
                      <w:color w:val="auto"/>
                      <w:sz w:val="21"/>
                      <w:szCs w:val="21"/>
                      <w:highlight w:val="none"/>
                    </w:rPr>
                    <w:t>储存间</w:t>
                  </w:r>
                </w:p>
              </w:tc>
              <w:tc>
                <w:tcPr>
                  <w:tcW w:w="3140" w:type="pct"/>
                  <w:noWrap w:val="0"/>
                  <w:vAlign w:val="center"/>
                </w:tcPr>
                <w:p w14:paraId="2A4E6D5B">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建筑</w:t>
                  </w:r>
                  <w:r>
                    <w:rPr>
                      <w:rFonts w:ascii="Times New Roman" w:hAnsi="Times New Roman"/>
                      <w:color w:val="auto"/>
                      <w:sz w:val="21"/>
                      <w:szCs w:val="21"/>
                      <w:highlight w:val="none"/>
                    </w:rPr>
                    <w:t>面积为23m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，位于水处理车间旁，主要用于储放CIP间的清洗试剂。</w:t>
                  </w:r>
                </w:p>
              </w:tc>
            </w:tr>
            <w:tr w14:paraId="297D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65127678">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52EEBC81">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备品备件间</w:t>
                  </w:r>
                </w:p>
              </w:tc>
              <w:tc>
                <w:tcPr>
                  <w:tcW w:w="3140" w:type="pct"/>
                  <w:noWrap w:val="0"/>
                  <w:vAlign w:val="center"/>
                </w:tcPr>
                <w:p w14:paraId="781C26DD">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建筑</w:t>
                  </w:r>
                  <w:r>
                    <w:rPr>
                      <w:rFonts w:ascii="Times New Roman" w:hAnsi="Times New Roman"/>
                      <w:color w:val="auto"/>
                      <w:sz w:val="21"/>
                      <w:szCs w:val="21"/>
                      <w:highlight w:val="none"/>
                    </w:rPr>
                    <w:t>面积为</w:t>
                  </w:r>
                  <w:r>
                    <w:rPr>
                      <w:rFonts w:hint="eastAsia" w:ascii="Times New Roman" w:hAnsi="Times New Roman"/>
                      <w:color w:val="auto"/>
                      <w:sz w:val="21"/>
                      <w:szCs w:val="21"/>
                      <w:highlight w:val="none"/>
                      <w:lang w:val="en-US" w:eastAsia="zh-CN"/>
                    </w:rPr>
                    <w:t>18.52</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w:t>
                  </w:r>
                  <w:r>
                    <w:rPr>
                      <w:rFonts w:hint="eastAsia" w:ascii="Times New Roman" w:hAnsi="Times New Roman"/>
                      <w:color w:val="auto"/>
                      <w:sz w:val="21"/>
                      <w:szCs w:val="21"/>
                      <w:highlight w:val="none"/>
                      <w:lang w:val="en-US" w:eastAsia="zh-CN"/>
                    </w:rPr>
                    <w:t>酸液间西侧</w:t>
                  </w:r>
                  <w:r>
                    <w:rPr>
                      <w:rFonts w:ascii="Times New Roman" w:hAnsi="Times New Roman"/>
                      <w:color w:val="auto"/>
                      <w:sz w:val="21"/>
                      <w:szCs w:val="21"/>
                      <w:highlight w:val="none"/>
                    </w:rPr>
                    <w:t>，主要用于</w:t>
                  </w:r>
                  <w:r>
                    <w:rPr>
                      <w:rFonts w:hint="eastAsia" w:ascii="Times New Roman" w:hAnsi="Times New Roman"/>
                      <w:color w:val="auto"/>
                      <w:sz w:val="21"/>
                      <w:szCs w:val="21"/>
                      <w:highlight w:val="none"/>
                      <w:lang w:val="en-US" w:eastAsia="zh-CN"/>
                    </w:rPr>
                    <w:t>存放项目生产过程中的</w:t>
                  </w:r>
                  <w:r>
                    <w:rPr>
                      <w:rFonts w:ascii="Times New Roman" w:hAnsi="Times New Roman"/>
                      <w:color w:val="auto"/>
                      <w:sz w:val="21"/>
                      <w:szCs w:val="21"/>
                      <w:highlight w:val="none"/>
                    </w:rPr>
                    <w:t>相关备品备件。</w:t>
                  </w:r>
                </w:p>
              </w:tc>
            </w:tr>
            <w:tr w14:paraId="45A5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65600EF3">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1D66D3BB">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缓冲间</w:t>
                  </w:r>
                </w:p>
              </w:tc>
              <w:tc>
                <w:tcPr>
                  <w:tcW w:w="3140" w:type="pct"/>
                  <w:noWrap w:val="0"/>
                  <w:vAlign w:val="center"/>
                </w:tcPr>
                <w:p w14:paraId="66A71DA6">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共设置2间，</w:t>
                  </w:r>
                  <w:r>
                    <w:rPr>
                      <w:rFonts w:ascii="Times New Roman" w:hAnsi="Times New Roman"/>
                      <w:color w:val="auto"/>
                      <w:sz w:val="21"/>
                      <w:szCs w:val="21"/>
                      <w:highlight w:val="none"/>
                    </w:rPr>
                    <w:t>总</w:t>
                  </w:r>
                  <w:r>
                    <w:rPr>
                      <w:rFonts w:hint="eastAsia" w:ascii="Times New Roman" w:hAnsi="Times New Roman"/>
                      <w:color w:val="auto"/>
                      <w:sz w:val="21"/>
                      <w:szCs w:val="21"/>
                      <w:highlight w:val="none"/>
                      <w:lang w:val="en-US" w:eastAsia="zh-CN"/>
                    </w:rPr>
                    <w:t>建筑</w:t>
                  </w:r>
                  <w:r>
                    <w:rPr>
                      <w:rFonts w:ascii="Times New Roman" w:hAnsi="Times New Roman"/>
                      <w:color w:val="auto"/>
                      <w:sz w:val="21"/>
                      <w:szCs w:val="21"/>
                      <w:highlight w:val="none"/>
                    </w:rPr>
                    <w:t>面积为</w:t>
                  </w:r>
                  <w:r>
                    <w:rPr>
                      <w:rFonts w:hint="eastAsia" w:ascii="Times New Roman" w:hAnsi="Times New Roman"/>
                      <w:color w:val="auto"/>
                      <w:sz w:val="21"/>
                      <w:szCs w:val="21"/>
                      <w:highlight w:val="none"/>
                      <w:lang w:val="en-US" w:eastAsia="zh-CN"/>
                    </w:rPr>
                    <w:t>101.10</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，位于厂房的西侧，主要用于成品温度的缓冲，为进入速冻库做准备。</w:t>
                  </w:r>
                </w:p>
              </w:tc>
            </w:tr>
            <w:tr w14:paraId="5D8D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50541C61">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15FA7FFA">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水处理车间</w:t>
                  </w:r>
                </w:p>
              </w:tc>
              <w:tc>
                <w:tcPr>
                  <w:tcW w:w="3140" w:type="pct"/>
                  <w:noWrap w:val="0"/>
                  <w:vAlign w:val="center"/>
                </w:tcPr>
                <w:p w14:paraId="56F1885B">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建筑面积为76.5</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，位于厂房北侧，车间内设置有1套10t/h的反渗透纯水机组。</w:t>
                  </w:r>
                </w:p>
              </w:tc>
            </w:tr>
            <w:tr w14:paraId="286F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03DCA970">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5F2A50D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锅炉房</w:t>
                  </w:r>
                </w:p>
              </w:tc>
              <w:tc>
                <w:tcPr>
                  <w:tcW w:w="3140" w:type="pct"/>
                  <w:noWrap w:val="0"/>
                  <w:vAlign w:val="center"/>
                </w:tcPr>
                <w:p w14:paraId="74BB9BD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设</w:t>
                  </w:r>
                  <w:r>
                    <w:rPr>
                      <w:rFonts w:ascii="Times New Roman" w:hAnsi="Times New Roman"/>
                      <w:color w:val="auto"/>
                      <w:sz w:val="21"/>
                      <w:szCs w:val="21"/>
                      <w:highlight w:val="none"/>
                    </w:rPr>
                    <w:t>置1间建筑面积</w:t>
                  </w:r>
                  <w:r>
                    <w:rPr>
                      <w:rFonts w:hint="eastAsia" w:ascii="Times New Roman" w:hAnsi="Times New Roman"/>
                      <w:color w:val="auto"/>
                      <w:sz w:val="21"/>
                      <w:szCs w:val="21"/>
                      <w:highlight w:val="none"/>
                      <w:lang w:val="en-US" w:eastAsia="zh-CN"/>
                    </w:rPr>
                    <w:t>约为121.25</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的</w:t>
                  </w:r>
                  <w:r>
                    <w:rPr>
                      <w:rFonts w:hint="eastAsia" w:ascii="Times New Roman" w:hAnsi="Times New Roman"/>
                      <w:color w:val="auto"/>
                      <w:sz w:val="21"/>
                      <w:szCs w:val="21"/>
                      <w:highlight w:val="none"/>
                      <w:lang w:val="en-US" w:eastAsia="zh-CN"/>
                    </w:rPr>
                    <w:t>锅炉房，位于厂房外西侧，内部设置有1台2t/h的生物质锅炉，生物质锅炉的用水主要使用项目纯水制备系统制备的纯水。</w:t>
                  </w:r>
                </w:p>
              </w:tc>
            </w:tr>
            <w:tr w14:paraId="456F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restart"/>
                  <w:noWrap w:val="0"/>
                  <w:vAlign w:val="center"/>
                </w:tcPr>
                <w:p w14:paraId="6D6DE4C8">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公用工程</w:t>
                  </w:r>
                </w:p>
              </w:tc>
              <w:tc>
                <w:tcPr>
                  <w:tcW w:w="1414" w:type="pct"/>
                  <w:gridSpan w:val="2"/>
                  <w:noWrap w:val="0"/>
                  <w:vAlign w:val="center"/>
                </w:tcPr>
                <w:p w14:paraId="734F60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供水</w:t>
                  </w:r>
                </w:p>
              </w:tc>
              <w:tc>
                <w:tcPr>
                  <w:tcW w:w="3140" w:type="pct"/>
                  <w:noWrap w:val="0"/>
                  <w:vAlign w:val="center"/>
                </w:tcPr>
                <w:p w14:paraId="2B6895E6">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由园区水厂供给</w:t>
                  </w:r>
                </w:p>
              </w:tc>
            </w:tr>
            <w:tr w14:paraId="42D9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3007B0E0">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0A606E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排水</w:t>
                  </w:r>
                </w:p>
              </w:tc>
              <w:tc>
                <w:tcPr>
                  <w:tcW w:w="3140" w:type="pct"/>
                  <w:noWrap w:val="0"/>
                  <w:vAlign w:val="center"/>
                </w:tcPr>
                <w:p w14:paraId="01DC1221">
                  <w:pPr>
                    <w:keepNext w:val="0"/>
                    <w:keepLines w:val="0"/>
                    <w:pageBreakBefore w:val="0"/>
                    <w:widowControl w:val="0"/>
                    <w:kinsoku/>
                    <w:wordWrap/>
                    <w:overflowPunct/>
                    <w:topLinePunct w:val="0"/>
                    <w:autoSpaceDE/>
                    <w:autoSpaceDN/>
                    <w:bidi w:val="0"/>
                    <w:adjustRightInd w:val="0"/>
                    <w:spacing w:line="240" w:lineRule="auto"/>
                    <w:jc w:val="both"/>
                    <w:textAlignment w:val="baseline"/>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项目实行雨污分流，雨水经雨水管网收集后排入</w:t>
                  </w:r>
                  <w:r>
                    <w:rPr>
                      <w:rFonts w:hint="eastAsia" w:ascii="Times New Roman" w:hAnsi="Times New Roman"/>
                      <w:color w:val="auto"/>
                      <w:sz w:val="21"/>
                      <w:szCs w:val="21"/>
                      <w:highlight w:val="none"/>
                      <w:lang w:val="en-US" w:eastAsia="zh-CN"/>
                    </w:rPr>
                    <w:t>园区</w:t>
                  </w:r>
                  <w:r>
                    <w:rPr>
                      <w:rFonts w:ascii="Times New Roman" w:hAnsi="Times New Roman"/>
                      <w:color w:val="auto"/>
                      <w:sz w:val="21"/>
                      <w:szCs w:val="21"/>
                      <w:highlight w:val="none"/>
                    </w:rPr>
                    <w:t>雨水管网；</w:t>
                  </w:r>
                  <w:r>
                    <w:rPr>
                      <w:rFonts w:hint="eastAsia" w:ascii="Times New Roman" w:hAnsi="Times New Roman"/>
                      <w:color w:val="auto"/>
                      <w:sz w:val="21"/>
                      <w:szCs w:val="21"/>
                      <w:highlight w:val="none"/>
                      <w:lang w:val="en-US" w:eastAsia="zh-CN"/>
                    </w:rPr>
                    <w:t>项目纯水制备系统浓水、反冲洗废水、水果清洗废水、生产车间地面清洗废水、实验器皿清洗废水、锅炉</w:t>
                  </w:r>
                  <w:r>
                    <w:rPr>
                      <w:rFonts w:hint="eastAsia"/>
                      <w:color w:val="auto"/>
                      <w:sz w:val="21"/>
                      <w:szCs w:val="21"/>
                      <w:highlight w:val="none"/>
                      <w:lang w:val="en-US" w:eastAsia="zh-CN"/>
                    </w:rPr>
                    <w:t>排水</w:t>
                  </w:r>
                  <w:r>
                    <w:rPr>
                      <w:rFonts w:hint="eastAsia" w:ascii="Times New Roman" w:hAnsi="Times New Roman"/>
                      <w:color w:val="auto"/>
                      <w:sz w:val="21"/>
                      <w:szCs w:val="21"/>
                      <w:highlight w:val="none"/>
                      <w:lang w:val="en-US" w:eastAsia="zh-CN"/>
                    </w:rPr>
                    <w:t>经沉淀池调节、气浮沉淀处理；CIP清洗系统设备清洗废水、化验室</w:t>
                  </w:r>
                  <w:r>
                    <w:rPr>
                      <w:rFonts w:hint="eastAsia"/>
                      <w:color w:val="auto"/>
                      <w:sz w:val="21"/>
                      <w:szCs w:val="21"/>
                      <w:highlight w:val="none"/>
                      <w:lang w:val="en-US" w:eastAsia="zh-CN"/>
                    </w:rPr>
                    <w:t>废水</w:t>
                  </w:r>
                  <w:r>
                    <w:rPr>
                      <w:rFonts w:hint="eastAsia" w:ascii="Times New Roman" w:hAnsi="Times New Roman"/>
                      <w:color w:val="auto"/>
                      <w:sz w:val="21"/>
                      <w:szCs w:val="21"/>
                      <w:highlight w:val="none"/>
                      <w:lang w:val="en-US" w:eastAsia="zh-CN"/>
                    </w:rPr>
                    <w:t>经自建一体化污水处理站处理，处理达</w:t>
                  </w:r>
                  <w:r>
                    <w:rPr>
                      <w:rFonts w:hint="eastAsia"/>
                      <w:color w:val="auto"/>
                      <w:sz w:val="21"/>
                      <w:szCs w:val="21"/>
                      <w:highlight w:val="none"/>
                      <w:lang w:val="en-US" w:eastAsia="zh-CN"/>
                    </w:rPr>
                    <w:t>标后</w:t>
                  </w:r>
                  <w:r>
                    <w:rPr>
                      <w:rFonts w:hint="eastAsia" w:ascii="Times New Roman" w:hAnsi="Times New Roman"/>
                      <w:color w:val="auto"/>
                      <w:sz w:val="21"/>
                      <w:szCs w:val="21"/>
                      <w:highlight w:val="none"/>
                      <w:lang w:val="en-US" w:eastAsia="zh-CN"/>
                    </w:rPr>
                    <w:t>最终经项目区总排口排入</w:t>
                  </w:r>
                  <w:r>
                    <w:rPr>
                      <w:rFonts w:ascii="Times New Roman" w:hAnsi="Times New Roman"/>
                      <w:color w:val="auto"/>
                      <w:sz w:val="21"/>
                      <w:szCs w:val="21"/>
                      <w:highlight w:val="none"/>
                    </w:rPr>
                    <w:t>元江工业园区MBR膜一体化300m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/d过渡式污水处理站处理</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项目产生的食堂废水及一般生活污水依托</w:t>
                  </w:r>
                  <w:r>
                    <w:rPr>
                      <w:rFonts w:ascii="Times New Roman" w:hAnsi="Times New Roman"/>
                      <w:color w:val="auto"/>
                      <w:sz w:val="21"/>
                      <w:szCs w:val="21"/>
                      <w:highlight w:val="none"/>
                    </w:rPr>
                    <w:t>园区管理委员会</w:t>
                  </w:r>
                  <w:r>
                    <w:rPr>
                      <w:rFonts w:hint="eastAsia" w:ascii="Times New Roman" w:hAnsi="Times New Roman"/>
                      <w:color w:val="auto"/>
                      <w:sz w:val="21"/>
                      <w:szCs w:val="21"/>
                      <w:highlight w:val="none"/>
                      <w:lang w:val="en-US" w:eastAsia="zh-CN"/>
                    </w:rPr>
                    <w:t>已建</w:t>
                  </w:r>
                  <w:r>
                    <w:rPr>
                      <w:rFonts w:ascii="Times New Roman" w:hAnsi="Times New Roman"/>
                      <w:color w:val="auto"/>
                      <w:sz w:val="21"/>
                      <w:szCs w:val="21"/>
                      <w:highlight w:val="none"/>
                    </w:rPr>
                    <w:t>的综合楼</w:t>
                  </w:r>
                  <w:r>
                    <w:rPr>
                      <w:rFonts w:hint="eastAsia" w:ascii="Times New Roman" w:hAnsi="Times New Roman"/>
                      <w:color w:val="auto"/>
                      <w:sz w:val="21"/>
                      <w:szCs w:val="21"/>
                      <w:highlight w:val="none"/>
                      <w:lang w:val="en-US" w:eastAsia="zh-CN"/>
                    </w:rPr>
                    <w:t>配套建设的一体化油水分离器及化粪池处理达</w:t>
                  </w:r>
                  <w:r>
                    <w:rPr>
                      <w:rFonts w:ascii="Times New Roman" w:hAnsi="Times New Roman"/>
                      <w:bCs/>
                      <w:color w:val="auto"/>
                      <w:sz w:val="21"/>
                      <w:szCs w:val="21"/>
                      <w:highlight w:val="none"/>
                    </w:rPr>
                    <w:t>标</w:t>
                  </w:r>
                  <w:r>
                    <w:rPr>
                      <w:rFonts w:hint="eastAsia" w:ascii="Times New Roman" w:hAnsi="Times New Roman"/>
                      <w:bCs/>
                      <w:color w:val="auto"/>
                      <w:sz w:val="21"/>
                      <w:szCs w:val="21"/>
                      <w:highlight w:val="none"/>
                      <w:lang w:val="en-US" w:eastAsia="zh-CN"/>
                    </w:rPr>
                    <w:t>后</w:t>
                  </w:r>
                  <w:r>
                    <w:rPr>
                      <w:rFonts w:hint="eastAsia" w:ascii="Times New Roman" w:hAnsi="Times New Roman"/>
                      <w:color w:val="auto"/>
                      <w:sz w:val="21"/>
                      <w:szCs w:val="21"/>
                      <w:highlight w:val="none"/>
                      <w:lang w:val="en-US" w:eastAsia="zh-CN"/>
                    </w:rPr>
                    <w:t>排入</w:t>
                  </w:r>
                  <w:r>
                    <w:rPr>
                      <w:rFonts w:ascii="Times New Roman" w:hAnsi="Times New Roman"/>
                      <w:color w:val="auto"/>
                      <w:sz w:val="21"/>
                      <w:szCs w:val="21"/>
                      <w:highlight w:val="none"/>
                    </w:rPr>
                    <w:t>元江工业园区MBR膜一体化300m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/d过渡式污水处理站处理</w:t>
                  </w:r>
                  <w:r>
                    <w:rPr>
                      <w:rFonts w:hint="eastAsia" w:ascii="Times New Roman" w:hAnsi="Times New Roman"/>
                      <w:color w:val="auto"/>
                      <w:sz w:val="21"/>
                      <w:szCs w:val="21"/>
                      <w:highlight w:val="none"/>
                      <w:lang w:eastAsia="zh-CN"/>
                    </w:rPr>
                    <w:t>。</w:t>
                  </w:r>
                </w:p>
              </w:tc>
            </w:tr>
            <w:tr w14:paraId="71B5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714252B2">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676ED3DF">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供电</w:t>
                  </w:r>
                </w:p>
              </w:tc>
              <w:tc>
                <w:tcPr>
                  <w:tcW w:w="3140" w:type="pct"/>
                  <w:noWrap w:val="0"/>
                  <w:vAlign w:val="center"/>
                </w:tcPr>
                <w:p w14:paraId="2435F930">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由园区已建好的电网统一供电。</w:t>
                  </w:r>
                </w:p>
              </w:tc>
            </w:tr>
            <w:tr w14:paraId="6090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restart"/>
                  <w:noWrap w:val="0"/>
                  <w:vAlign w:val="center"/>
                </w:tcPr>
                <w:p w14:paraId="5650692F">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环保工程</w:t>
                  </w:r>
                </w:p>
              </w:tc>
              <w:tc>
                <w:tcPr>
                  <w:tcW w:w="697" w:type="pct"/>
                  <w:noWrap w:val="0"/>
                  <w:vAlign w:val="center"/>
                </w:tcPr>
                <w:p w14:paraId="6D56F0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废气治理</w:t>
                  </w:r>
                </w:p>
              </w:tc>
              <w:tc>
                <w:tcPr>
                  <w:tcW w:w="717" w:type="pct"/>
                  <w:noWrap w:val="0"/>
                  <w:vAlign w:val="center"/>
                </w:tcPr>
                <w:p w14:paraId="6AC279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生物质锅炉废气</w:t>
                  </w:r>
                </w:p>
              </w:tc>
              <w:tc>
                <w:tcPr>
                  <w:tcW w:w="3140" w:type="pct"/>
                  <w:noWrap w:val="0"/>
                  <w:vAlign w:val="center"/>
                </w:tcPr>
                <w:p w14:paraId="28B05BE4">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设置1套“多管旋风除尘器+水膜除尘器+30m高排气筒”，用于处理生物质锅炉产生废气。</w:t>
                  </w:r>
                </w:p>
              </w:tc>
            </w:tr>
            <w:tr w14:paraId="6D0B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6268CD4A">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697" w:type="pct"/>
                  <w:vMerge w:val="restart"/>
                  <w:noWrap w:val="0"/>
                  <w:vAlign w:val="center"/>
                </w:tcPr>
                <w:p w14:paraId="3E097A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废水治理</w:t>
                  </w:r>
                </w:p>
              </w:tc>
              <w:tc>
                <w:tcPr>
                  <w:tcW w:w="717" w:type="pct"/>
                  <w:noWrap w:val="0"/>
                  <w:vAlign w:val="center"/>
                </w:tcPr>
                <w:p w14:paraId="0B4422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沉淀池</w:t>
                  </w:r>
                </w:p>
              </w:tc>
              <w:tc>
                <w:tcPr>
                  <w:tcW w:w="3140" w:type="pct"/>
                  <w:noWrap w:val="0"/>
                  <w:vAlign w:val="center"/>
                </w:tcPr>
                <w:p w14:paraId="10C80313">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设置1</w:t>
                  </w:r>
                  <w:r>
                    <w:rPr>
                      <w:rFonts w:hint="eastAsia" w:ascii="Times New Roman" w:hAnsi="Times New Roman"/>
                      <w:color w:val="auto"/>
                      <w:sz w:val="21"/>
                      <w:szCs w:val="21"/>
                      <w:highlight w:val="none"/>
                      <w:lang w:val="en-US" w:eastAsia="zh-CN"/>
                    </w:rPr>
                    <w:t>座</w:t>
                  </w:r>
                  <w:r>
                    <w:rPr>
                      <w:rFonts w:ascii="Times New Roman" w:hAnsi="Times New Roman"/>
                      <w:color w:val="auto"/>
                      <w:sz w:val="21"/>
                      <w:szCs w:val="21"/>
                      <w:highlight w:val="none"/>
                    </w:rPr>
                    <w:t>容积为</w:t>
                  </w:r>
                  <w:r>
                    <w:rPr>
                      <w:rFonts w:hint="eastAsia" w:ascii="Times New Roman" w:hAnsi="Times New Roman"/>
                      <w:color w:val="auto"/>
                      <w:sz w:val="21"/>
                      <w:szCs w:val="21"/>
                      <w:highlight w:val="none"/>
                    </w:rPr>
                    <w:t>70</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的沉淀池，用于处理生产废水，</w:t>
                  </w:r>
                  <w:r>
                    <w:rPr>
                      <w:rFonts w:hint="eastAsia" w:ascii="Times New Roman" w:hAnsi="Times New Roman"/>
                      <w:color w:val="auto"/>
                      <w:sz w:val="21"/>
                      <w:szCs w:val="21"/>
                      <w:highlight w:val="none"/>
                      <w:lang w:val="en-US" w:eastAsia="zh-CN"/>
                    </w:rPr>
                    <w:t>沉淀池采用的工艺主要为“调节+气浮沉淀”工艺，</w:t>
                  </w:r>
                  <w:r>
                    <w:rPr>
                      <w:rFonts w:ascii="Times New Roman" w:hAnsi="Times New Roman"/>
                      <w:color w:val="auto"/>
                      <w:sz w:val="21"/>
                      <w:szCs w:val="21"/>
                      <w:highlight w:val="none"/>
                    </w:rPr>
                    <w:t>位于</w:t>
                  </w:r>
                  <w:r>
                    <w:rPr>
                      <w:rFonts w:hint="eastAsia" w:ascii="Times New Roman" w:hAnsi="Times New Roman"/>
                      <w:color w:val="auto"/>
                      <w:sz w:val="21"/>
                      <w:szCs w:val="21"/>
                      <w:highlight w:val="none"/>
                      <w:lang w:val="en-US" w:eastAsia="zh-CN"/>
                    </w:rPr>
                    <w:t>厂房外北侧</w:t>
                  </w:r>
                  <w:r>
                    <w:rPr>
                      <w:rFonts w:ascii="Times New Roman" w:hAnsi="Times New Roman"/>
                      <w:color w:val="auto"/>
                      <w:sz w:val="21"/>
                      <w:szCs w:val="21"/>
                      <w:highlight w:val="none"/>
                    </w:rPr>
                    <w:t>。</w:t>
                  </w:r>
                </w:p>
              </w:tc>
            </w:tr>
            <w:tr w14:paraId="297D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1465D488">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697" w:type="pct"/>
                  <w:vMerge w:val="continue"/>
                  <w:noWrap w:val="0"/>
                  <w:vAlign w:val="center"/>
                </w:tcPr>
                <w:p w14:paraId="058972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olor w:val="auto"/>
                      <w:sz w:val="21"/>
                      <w:szCs w:val="21"/>
                      <w:highlight w:val="none"/>
                      <w:lang w:val="en-US" w:eastAsia="zh-CN"/>
                    </w:rPr>
                  </w:pPr>
                </w:p>
              </w:tc>
              <w:tc>
                <w:tcPr>
                  <w:tcW w:w="717" w:type="pct"/>
                  <w:noWrap w:val="0"/>
                  <w:vAlign w:val="center"/>
                </w:tcPr>
                <w:p w14:paraId="2FE643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一体化污水处理站</w:t>
                  </w:r>
                </w:p>
              </w:tc>
              <w:tc>
                <w:tcPr>
                  <w:tcW w:w="3140" w:type="pct"/>
                  <w:noWrap w:val="0"/>
                  <w:vAlign w:val="center"/>
                </w:tcPr>
                <w:p w14:paraId="23B046CD">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1座，处理能力为</w:t>
                  </w:r>
                  <w:r>
                    <w:rPr>
                      <w:rFonts w:hint="eastAsia" w:ascii="Times New Roman" w:hAnsi="Times New Roman"/>
                      <w:color w:val="auto"/>
                      <w:sz w:val="21"/>
                      <w:szCs w:val="21"/>
                      <w:highlight w:val="none"/>
                    </w:rPr>
                    <w:t>15m</w:t>
                  </w:r>
                  <w:r>
                    <w:rPr>
                      <w:rFonts w:hint="eastAsia"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/d</w:t>
                  </w:r>
                  <w:r>
                    <w:rPr>
                      <w:rFonts w:hint="eastAsia" w:ascii="Times New Roman" w:hAnsi="Times New Roman"/>
                      <w:color w:val="auto"/>
                      <w:sz w:val="21"/>
                      <w:szCs w:val="21"/>
                      <w:highlight w:val="none"/>
                      <w:lang w:eastAsia="zh-CN"/>
                    </w:rPr>
                    <w:t>，</w:t>
                  </w:r>
                  <w:r>
                    <w:rPr>
                      <w:rFonts w:hint="eastAsia"/>
                      <w:color w:val="auto"/>
                      <w:sz w:val="21"/>
                      <w:szCs w:val="21"/>
                      <w:highlight w:val="none"/>
                      <w:lang w:val="en-US" w:eastAsia="zh-CN"/>
                    </w:rPr>
                    <w:t>处理工艺“</w:t>
                  </w:r>
                  <w:r>
                    <w:rPr>
                      <w:rFonts w:hint="default" w:ascii="Times New Roman" w:hAnsi="Times New Roman" w:cs="Times New Roman"/>
                      <w:bCs/>
                      <w:color w:val="auto"/>
                      <w:sz w:val="21"/>
                      <w:szCs w:val="21"/>
                      <w:highlight w:val="none"/>
                    </w:rPr>
                    <w:t>UASB+AO+MBR</w:t>
                  </w:r>
                  <w:r>
                    <w:rPr>
                      <w:rFonts w:hint="eastAsia"/>
                      <w:color w:val="auto"/>
                      <w:sz w:val="21"/>
                      <w:szCs w:val="21"/>
                      <w:highlight w:val="none"/>
                      <w:lang w:val="en-US" w:eastAsia="zh-CN"/>
                    </w:rPr>
                    <w:t>”</w:t>
                  </w:r>
                  <w:r>
                    <w:rPr>
                      <w:rFonts w:hint="eastAsia" w:ascii="Times New Roman" w:hAnsi="Times New Roman" w:cs="Times New Roman"/>
                      <w:bCs/>
                      <w:color w:val="auto"/>
                      <w:sz w:val="21"/>
                      <w:szCs w:val="21"/>
                      <w:highlight w:val="none"/>
                      <w:lang w:eastAsia="zh-CN"/>
                    </w:rPr>
                    <w:t>，</w:t>
                  </w:r>
                  <w:r>
                    <w:rPr>
                      <w:rFonts w:hint="eastAsia" w:ascii="Times New Roman" w:hAnsi="Times New Roman"/>
                      <w:color w:val="auto"/>
                      <w:sz w:val="21"/>
                      <w:szCs w:val="21"/>
                      <w:highlight w:val="none"/>
                      <w:lang w:val="en-US" w:eastAsia="zh-CN"/>
                    </w:rPr>
                    <w:t>位于厂房北侧，</w:t>
                  </w:r>
                  <w:r>
                    <w:rPr>
                      <w:rFonts w:hint="eastAsia" w:ascii="Times New Roman" w:hAnsi="Times New Roman"/>
                      <w:color w:val="auto"/>
                      <w:sz w:val="21"/>
                      <w:szCs w:val="21"/>
                      <w:highlight w:val="none"/>
                    </w:rPr>
                    <w:t>用于处理生产废水</w:t>
                  </w:r>
                  <w:r>
                    <w:rPr>
                      <w:rFonts w:hint="eastAsia" w:ascii="Times New Roman" w:hAnsi="Times New Roman"/>
                      <w:color w:val="auto"/>
                      <w:sz w:val="21"/>
                      <w:szCs w:val="21"/>
                      <w:highlight w:val="none"/>
                      <w:lang w:eastAsia="zh-CN"/>
                    </w:rPr>
                    <w:t>。</w:t>
                  </w:r>
                </w:p>
              </w:tc>
            </w:tr>
            <w:tr w14:paraId="4DF2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60FE544C">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697" w:type="pct"/>
                  <w:vMerge w:val="continue"/>
                  <w:noWrap w:val="0"/>
                  <w:vAlign w:val="center"/>
                </w:tcPr>
                <w:p w14:paraId="411CAE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olor w:val="auto"/>
                      <w:sz w:val="21"/>
                      <w:szCs w:val="21"/>
                      <w:highlight w:val="none"/>
                      <w:lang w:val="en-US" w:eastAsia="zh-CN"/>
                    </w:rPr>
                  </w:pPr>
                </w:p>
              </w:tc>
              <w:tc>
                <w:tcPr>
                  <w:tcW w:w="717" w:type="pct"/>
                  <w:noWrap w:val="0"/>
                  <w:vAlign w:val="center"/>
                </w:tcPr>
                <w:p w14:paraId="16E023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水膜除尘沉淀池</w:t>
                  </w:r>
                </w:p>
              </w:tc>
              <w:tc>
                <w:tcPr>
                  <w:tcW w:w="3140" w:type="pct"/>
                  <w:noWrap w:val="0"/>
                  <w:vAlign w:val="center"/>
                </w:tcPr>
                <w:p w14:paraId="5DF804FE">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项目锅炉房内已设置3座水膜除尘器沉淀池，容积均为8m</w:t>
                  </w:r>
                  <w:r>
                    <w:rPr>
                      <w:rFonts w:hint="eastAsia" w:ascii="Times New Roman" w:hAnsi="Times New Roman"/>
                      <w:color w:val="auto"/>
                      <w:sz w:val="21"/>
                      <w:szCs w:val="21"/>
                      <w:highlight w:val="none"/>
                      <w:vertAlign w:val="superscript"/>
                      <w:lang w:val="en-US" w:eastAsia="zh-CN"/>
                    </w:rPr>
                    <w:t>3</w:t>
                  </w:r>
                </w:p>
              </w:tc>
            </w:tr>
            <w:tr w14:paraId="7B59E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2630C29A">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697" w:type="pct"/>
                  <w:vMerge w:val="restart"/>
                  <w:noWrap w:val="0"/>
                  <w:vAlign w:val="center"/>
                </w:tcPr>
                <w:p w14:paraId="6A8E7F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固废治理</w:t>
                  </w:r>
                </w:p>
              </w:tc>
              <w:tc>
                <w:tcPr>
                  <w:tcW w:w="717" w:type="pct"/>
                  <w:noWrap w:val="0"/>
                  <w:vAlign w:val="center"/>
                </w:tcPr>
                <w:p w14:paraId="6C241C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危险废物</w:t>
                  </w:r>
                </w:p>
              </w:tc>
              <w:tc>
                <w:tcPr>
                  <w:tcW w:w="3140" w:type="pct"/>
                  <w:noWrap w:val="0"/>
                  <w:vAlign w:val="center"/>
                </w:tcPr>
                <w:p w14:paraId="67233B55">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设置</w:t>
                  </w:r>
                  <w:r>
                    <w:rPr>
                      <w:rFonts w:hint="eastAsia" w:ascii="Times New Roman" w:hAnsi="Times New Roman"/>
                      <w:color w:val="auto"/>
                      <w:sz w:val="21"/>
                      <w:szCs w:val="21"/>
                      <w:highlight w:val="none"/>
                      <w:lang w:val="en-US" w:eastAsia="zh-CN"/>
                    </w:rPr>
                    <w:t>2</w:t>
                  </w:r>
                  <w:r>
                    <w:rPr>
                      <w:rFonts w:ascii="Times New Roman" w:hAnsi="Times New Roman"/>
                      <w:color w:val="auto"/>
                      <w:sz w:val="21"/>
                      <w:szCs w:val="21"/>
                      <w:highlight w:val="none"/>
                    </w:rPr>
                    <w:t>间</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总</w:t>
                  </w:r>
                  <w:r>
                    <w:rPr>
                      <w:rFonts w:ascii="Times New Roman" w:hAnsi="Times New Roman"/>
                      <w:color w:val="auto"/>
                      <w:sz w:val="21"/>
                      <w:szCs w:val="21"/>
                      <w:highlight w:val="none"/>
                    </w:rPr>
                    <w:t>建筑面积</w:t>
                  </w:r>
                  <w:r>
                    <w:rPr>
                      <w:rFonts w:hint="eastAsia" w:ascii="Times New Roman" w:hAnsi="Times New Roman"/>
                      <w:color w:val="auto"/>
                      <w:sz w:val="21"/>
                      <w:szCs w:val="21"/>
                      <w:highlight w:val="none"/>
                      <w:lang w:val="en-US" w:eastAsia="zh-CN"/>
                    </w:rPr>
                    <w:t>为10</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的危废</w:t>
                  </w:r>
                  <w:r>
                    <w:rPr>
                      <w:rFonts w:hint="eastAsia"/>
                      <w:color w:val="auto"/>
                      <w:sz w:val="21"/>
                      <w:szCs w:val="21"/>
                      <w:highlight w:val="none"/>
                      <w:lang w:val="en-US" w:eastAsia="zh-CN"/>
                    </w:rPr>
                    <w:t>贮存</w:t>
                  </w:r>
                  <w:r>
                    <w:rPr>
                      <w:rFonts w:ascii="Times New Roman" w:hAnsi="Times New Roman"/>
                      <w:color w:val="auto"/>
                      <w:sz w:val="21"/>
                      <w:szCs w:val="21"/>
                      <w:highlight w:val="none"/>
                    </w:rPr>
                    <w:t>间</w:t>
                  </w:r>
                </w:p>
              </w:tc>
            </w:tr>
            <w:tr w14:paraId="36C9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2980669A">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697" w:type="pct"/>
                  <w:vMerge w:val="continue"/>
                  <w:noWrap w:val="0"/>
                  <w:vAlign w:val="center"/>
                </w:tcPr>
                <w:p w14:paraId="6F9809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color w:val="auto"/>
                      <w:sz w:val="21"/>
                      <w:szCs w:val="21"/>
                      <w:highlight w:val="none"/>
                    </w:rPr>
                  </w:pPr>
                </w:p>
              </w:tc>
              <w:tc>
                <w:tcPr>
                  <w:tcW w:w="717" w:type="pct"/>
                  <w:noWrap w:val="0"/>
                  <w:vAlign w:val="center"/>
                </w:tcPr>
                <w:p w14:paraId="5F2328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生活垃圾</w:t>
                  </w:r>
                </w:p>
              </w:tc>
              <w:tc>
                <w:tcPr>
                  <w:tcW w:w="3140" w:type="pct"/>
                  <w:noWrap w:val="0"/>
                  <w:vAlign w:val="center"/>
                </w:tcPr>
                <w:p w14:paraId="1E838B40">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设置</w:t>
                  </w:r>
                  <w:r>
                    <w:rPr>
                      <w:rFonts w:hint="eastAsia" w:ascii="Times New Roman" w:hAnsi="Times New Roman"/>
                      <w:color w:val="auto"/>
                      <w:sz w:val="21"/>
                      <w:szCs w:val="21"/>
                      <w:highlight w:val="none"/>
                      <w:lang w:val="en-US" w:eastAsia="zh-CN"/>
                    </w:rPr>
                    <w:t>3</w:t>
                  </w:r>
                  <w:r>
                    <w:rPr>
                      <w:rFonts w:ascii="Times New Roman" w:hAnsi="Times New Roman"/>
                      <w:color w:val="auto"/>
                      <w:sz w:val="21"/>
                      <w:szCs w:val="21"/>
                      <w:highlight w:val="none"/>
                    </w:rPr>
                    <w:t>个垃圾箱</w:t>
                  </w:r>
                </w:p>
              </w:tc>
            </w:tr>
            <w:tr w14:paraId="519C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275FCC7F">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3158FE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噪声</w:t>
                  </w:r>
                </w:p>
              </w:tc>
              <w:tc>
                <w:tcPr>
                  <w:tcW w:w="3140" w:type="pct"/>
                  <w:noWrap w:val="0"/>
                  <w:vAlign w:val="center"/>
                </w:tcPr>
                <w:p w14:paraId="113EC9D5">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r>
                    <w:rPr>
                      <w:rFonts w:ascii="Times New Roman" w:hAnsi="Times New Roman"/>
                      <w:color w:val="auto"/>
                      <w:kern w:val="0"/>
                      <w:sz w:val="21"/>
                      <w:szCs w:val="21"/>
                      <w:highlight w:val="none"/>
                    </w:rPr>
                    <w:t>设备基础减振、厂房隔声、距离衰减等</w:t>
                  </w:r>
                </w:p>
              </w:tc>
            </w:tr>
            <w:tr w14:paraId="50A7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restart"/>
                  <w:noWrap w:val="0"/>
                  <w:vAlign w:val="center"/>
                </w:tcPr>
                <w:p w14:paraId="3FF690E9">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依托工程</w:t>
                  </w:r>
                </w:p>
              </w:tc>
              <w:tc>
                <w:tcPr>
                  <w:tcW w:w="1414" w:type="pct"/>
                  <w:gridSpan w:val="2"/>
                  <w:noWrap w:val="0"/>
                  <w:vAlign w:val="center"/>
                </w:tcPr>
                <w:p w14:paraId="70F5E6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办公室</w:t>
                  </w:r>
                </w:p>
              </w:tc>
              <w:tc>
                <w:tcPr>
                  <w:tcW w:w="3140" w:type="pct"/>
                  <w:noWrap w:val="0"/>
                  <w:vAlign w:val="center"/>
                </w:tcPr>
                <w:p w14:paraId="3D794A8A">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租用园区管理委员会</w:t>
                  </w:r>
                  <w:r>
                    <w:rPr>
                      <w:rFonts w:hint="eastAsia" w:ascii="Times New Roman" w:hAnsi="Times New Roman"/>
                      <w:color w:val="auto"/>
                      <w:sz w:val="21"/>
                      <w:szCs w:val="21"/>
                      <w:highlight w:val="none"/>
                      <w:lang w:val="en-US" w:eastAsia="zh-CN"/>
                    </w:rPr>
                    <w:t>已建</w:t>
                  </w:r>
                  <w:r>
                    <w:rPr>
                      <w:rFonts w:ascii="Times New Roman" w:hAnsi="Times New Roman"/>
                      <w:color w:val="auto"/>
                      <w:sz w:val="21"/>
                      <w:szCs w:val="21"/>
                      <w:highlight w:val="none"/>
                    </w:rPr>
                    <w:t>的综合楼中的</w:t>
                  </w:r>
                  <w:r>
                    <w:rPr>
                      <w:rFonts w:hint="eastAsia" w:ascii="Times New Roman" w:hAnsi="Times New Roman"/>
                      <w:color w:val="auto"/>
                      <w:sz w:val="21"/>
                      <w:szCs w:val="21"/>
                      <w:highlight w:val="none"/>
                      <w:lang w:val="en-US" w:eastAsia="zh-CN"/>
                    </w:rPr>
                    <w:t>房间</w:t>
                  </w:r>
                  <w:r>
                    <w:rPr>
                      <w:rFonts w:ascii="Times New Roman" w:hAnsi="Times New Roman"/>
                      <w:color w:val="auto"/>
                      <w:sz w:val="21"/>
                      <w:szCs w:val="21"/>
                      <w:highlight w:val="none"/>
                    </w:rPr>
                    <w:t>作为办公室，建筑面积为154.77m</w:t>
                  </w:r>
                  <w:r>
                    <w:rPr>
                      <w:rFonts w:ascii="Times New Roman" w:hAnsi="Times New Roman"/>
                      <w:color w:val="auto"/>
                      <w:sz w:val="21"/>
                      <w:szCs w:val="21"/>
                      <w:highlight w:val="none"/>
                      <w:vertAlign w:val="superscript"/>
                    </w:rPr>
                    <w:t>2</w:t>
                  </w:r>
                </w:p>
              </w:tc>
            </w:tr>
            <w:tr w14:paraId="3677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0EBB3B9A">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5189FB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宿舍</w:t>
                  </w:r>
                </w:p>
              </w:tc>
              <w:tc>
                <w:tcPr>
                  <w:tcW w:w="3140" w:type="pct"/>
                  <w:noWrap w:val="0"/>
                  <w:vAlign w:val="center"/>
                </w:tcPr>
                <w:p w14:paraId="29DD23A9">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租用园区管理委员会</w:t>
                  </w:r>
                  <w:r>
                    <w:rPr>
                      <w:rFonts w:hint="eastAsia" w:ascii="Times New Roman" w:hAnsi="Times New Roman"/>
                      <w:color w:val="auto"/>
                      <w:sz w:val="21"/>
                      <w:szCs w:val="21"/>
                      <w:highlight w:val="none"/>
                      <w:lang w:val="en-US" w:eastAsia="zh-CN"/>
                    </w:rPr>
                    <w:t>已建的</w:t>
                  </w:r>
                  <w:r>
                    <w:rPr>
                      <w:rFonts w:ascii="Times New Roman" w:hAnsi="Times New Roman"/>
                      <w:color w:val="auto"/>
                      <w:sz w:val="21"/>
                      <w:szCs w:val="21"/>
                      <w:highlight w:val="none"/>
                    </w:rPr>
                    <w:t>综合楼中的房间作为员工宿舍，建筑面积为514.8m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w:t>
                  </w:r>
                </w:p>
              </w:tc>
            </w:tr>
            <w:tr w14:paraId="0A4A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2C16EAEE">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169C45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食堂油水分离器</w:t>
                  </w:r>
                </w:p>
              </w:tc>
              <w:tc>
                <w:tcPr>
                  <w:tcW w:w="3140" w:type="pct"/>
                  <w:noWrap w:val="0"/>
                  <w:vAlign w:val="center"/>
                </w:tcPr>
                <w:p w14:paraId="18D99F0E">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1座容积为5m</w:t>
                  </w:r>
                  <w:r>
                    <w:rPr>
                      <w:rFonts w:hint="eastAsia" w:ascii="Times New Roman" w:hAnsi="Times New Roman"/>
                      <w:color w:val="auto"/>
                      <w:sz w:val="21"/>
                      <w:szCs w:val="21"/>
                      <w:highlight w:val="none"/>
                      <w:vertAlign w:val="superscript"/>
                      <w:lang w:val="en-US" w:eastAsia="zh-CN"/>
                    </w:rPr>
                    <w:t>3</w:t>
                  </w:r>
                  <w:r>
                    <w:rPr>
                      <w:rFonts w:hint="eastAsia" w:ascii="Times New Roman" w:hAnsi="Times New Roman"/>
                      <w:color w:val="auto"/>
                      <w:sz w:val="21"/>
                      <w:szCs w:val="21"/>
                      <w:highlight w:val="none"/>
                      <w:lang w:val="en-US" w:eastAsia="zh-CN"/>
                    </w:rPr>
                    <w:t>，位于</w:t>
                  </w:r>
                  <w:r>
                    <w:rPr>
                      <w:rFonts w:ascii="Times New Roman" w:hAnsi="Times New Roman"/>
                      <w:color w:val="auto"/>
                      <w:sz w:val="21"/>
                      <w:szCs w:val="21"/>
                      <w:highlight w:val="none"/>
                    </w:rPr>
                    <w:t>园区管理委员会</w:t>
                  </w:r>
                  <w:r>
                    <w:rPr>
                      <w:rFonts w:hint="eastAsia" w:ascii="Times New Roman" w:hAnsi="Times New Roman"/>
                      <w:color w:val="auto"/>
                      <w:sz w:val="21"/>
                      <w:szCs w:val="21"/>
                      <w:highlight w:val="none"/>
                      <w:lang w:val="en-US" w:eastAsia="zh-CN"/>
                    </w:rPr>
                    <w:t>已建的食堂内。</w:t>
                  </w:r>
                </w:p>
              </w:tc>
            </w:tr>
            <w:tr w14:paraId="2310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noWrap w:val="0"/>
                  <w:vAlign w:val="center"/>
                </w:tcPr>
                <w:p w14:paraId="23ECB26A">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ascii="Times New Roman" w:hAnsi="Times New Roman"/>
                      <w:color w:val="auto"/>
                      <w:sz w:val="21"/>
                      <w:szCs w:val="21"/>
                      <w:highlight w:val="none"/>
                    </w:rPr>
                  </w:pPr>
                </w:p>
              </w:tc>
              <w:tc>
                <w:tcPr>
                  <w:tcW w:w="1414" w:type="pct"/>
                  <w:gridSpan w:val="2"/>
                  <w:noWrap w:val="0"/>
                  <w:vAlign w:val="center"/>
                </w:tcPr>
                <w:p w14:paraId="7CD042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化粪池</w:t>
                  </w:r>
                </w:p>
              </w:tc>
              <w:tc>
                <w:tcPr>
                  <w:tcW w:w="3140" w:type="pct"/>
                  <w:noWrap w:val="0"/>
                  <w:vAlign w:val="center"/>
                </w:tcPr>
                <w:p w14:paraId="163DD304">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1座，容积为30m</w:t>
                  </w:r>
                  <w:r>
                    <w:rPr>
                      <w:rFonts w:hint="eastAsia" w:ascii="Times New Roman" w:hAnsi="Times New Roman"/>
                      <w:color w:val="auto"/>
                      <w:sz w:val="21"/>
                      <w:szCs w:val="21"/>
                      <w:highlight w:val="none"/>
                      <w:vertAlign w:val="superscript"/>
                      <w:lang w:val="en-US" w:eastAsia="zh-CN"/>
                    </w:rPr>
                    <w:t>3</w:t>
                  </w:r>
                  <w:r>
                    <w:rPr>
                      <w:rFonts w:hint="eastAsia" w:ascii="Times New Roman" w:hAnsi="Times New Roman"/>
                      <w:color w:val="auto"/>
                      <w:sz w:val="21"/>
                      <w:szCs w:val="21"/>
                      <w:highlight w:val="none"/>
                      <w:lang w:val="en-US" w:eastAsia="zh-CN"/>
                    </w:rPr>
                    <w:t>，位于</w:t>
                  </w:r>
                  <w:r>
                    <w:rPr>
                      <w:rFonts w:ascii="Times New Roman" w:hAnsi="Times New Roman"/>
                      <w:color w:val="auto"/>
                      <w:sz w:val="21"/>
                      <w:szCs w:val="21"/>
                      <w:highlight w:val="none"/>
                    </w:rPr>
                    <w:t>园区管理委员会</w:t>
                  </w:r>
                  <w:r>
                    <w:rPr>
                      <w:rFonts w:hint="eastAsia" w:ascii="Times New Roman" w:hAnsi="Times New Roman"/>
                      <w:color w:val="auto"/>
                      <w:sz w:val="21"/>
                      <w:szCs w:val="21"/>
                      <w:highlight w:val="none"/>
                      <w:lang w:val="en-US" w:eastAsia="zh-CN"/>
                    </w:rPr>
                    <w:t>已建</w:t>
                  </w:r>
                  <w:r>
                    <w:rPr>
                      <w:rFonts w:ascii="Times New Roman" w:hAnsi="Times New Roman"/>
                      <w:color w:val="auto"/>
                      <w:sz w:val="21"/>
                      <w:szCs w:val="21"/>
                      <w:highlight w:val="none"/>
                    </w:rPr>
                    <w:t>的综合楼</w:t>
                  </w:r>
                  <w:r>
                    <w:rPr>
                      <w:rFonts w:hint="eastAsia" w:ascii="Times New Roman" w:hAnsi="Times New Roman"/>
                      <w:color w:val="auto"/>
                      <w:sz w:val="21"/>
                      <w:szCs w:val="21"/>
                      <w:highlight w:val="none"/>
                      <w:lang w:val="en-US" w:eastAsia="zh-CN"/>
                    </w:rPr>
                    <w:t>北侧。</w:t>
                  </w:r>
                </w:p>
              </w:tc>
            </w:tr>
          </w:tbl>
          <w:p w14:paraId="5F31EB06">
            <w:pPr>
              <w:spacing w:line="360" w:lineRule="auto"/>
              <w:ind w:firstLine="482" w:firstLineChars="200"/>
              <w:rPr>
                <w:rFonts w:hint="default" w:ascii="Times New Roman" w:hAnsi="Times New Roman" w:eastAsia="宋体"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2</w:t>
            </w:r>
            <w:r>
              <w:rPr>
                <w:rFonts w:hint="default" w:ascii="Times New Roman" w:hAnsi="Times New Roman" w:cs="Times New Roman"/>
                <w:b/>
                <w:color w:val="auto"/>
                <w:kern w:val="0"/>
                <w:sz w:val="24"/>
                <w:szCs w:val="24"/>
                <w:highlight w:val="none"/>
              </w:rPr>
              <w:t>、</w:t>
            </w:r>
            <w:r>
              <w:rPr>
                <w:rFonts w:hint="eastAsia" w:cs="Times New Roman"/>
                <w:b/>
                <w:color w:val="auto"/>
                <w:kern w:val="0"/>
                <w:sz w:val="24"/>
                <w:szCs w:val="24"/>
                <w:highlight w:val="none"/>
                <w:lang w:val="en-US" w:eastAsia="zh-CN"/>
              </w:rPr>
              <w:t>现有项目产品方案</w:t>
            </w:r>
          </w:p>
          <w:p w14:paraId="6F4CFD96">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olor w:val="auto"/>
                <w:kern w:val="2"/>
                <w:sz w:val="24"/>
                <w:szCs w:val="24"/>
                <w:highlight w:val="none"/>
                <w:lang w:val="en-US" w:eastAsia="zh-CN"/>
              </w:rPr>
            </w:pPr>
            <w:r>
              <w:rPr>
                <w:rFonts w:hint="eastAsia"/>
                <w:color w:val="auto"/>
                <w:kern w:val="2"/>
                <w:sz w:val="24"/>
                <w:szCs w:val="24"/>
                <w:highlight w:val="none"/>
                <w:lang w:val="en-US" w:eastAsia="zh-CN"/>
              </w:rPr>
              <w:t>现有项目</w:t>
            </w:r>
            <w:r>
              <w:rPr>
                <w:rFonts w:hint="eastAsia" w:ascii="Times New Roman" w:hAnsi="Times New Roman"/>
                <w:color w:val="auto"/>
                <w:kern w:val="2"/>
                <w:sz w:val="24"/>
                <w:szCs w:val="24"/>
                <w:highlight w:val="none"/>
                <w:lang w:val="en-US" w:eastAsia="zh-CN"/>
              </w:rPr>
              <w:t>主要为生产速冻果蔬汁</w:t>
            </w:r>
            <w:r>
              <w:rPr>
                <w:rFonts w:hint="eastAsia"/>
                <w:color w:val="auto"/>
                <w:kern w:val="2"/>
                <w:sz w:val="24"/>
                <w:szCs w:val="24"/>
                <w:highlight w:val="none"/>
                <w:lang w:val="en-US" w:eastAsia="zh-CN"/>
              </w:rPr>
              <w:t>，年总产量为8000</w:t>
            </w:r>
            <w:r>
              <w:rPr>
                <w:rFonts w:hint="eastAsia" w:ascii="Times New Roman" w:hAnsi="Times New Roman"/>
                <w:color w:val="auto"/>
                <w:kern w:val="2"/>
                <w:sz w:val="24"/>
                <w:szCs w:val="24"/>
                <w:highlight w:val="none"/>
                <w:lang w:val="en-US" w:eastAsia="zh-CN"/>
              </w:rPr>
              <w:t>t/a，</w:t>
            </w:r>
            <w:r>
              <w:rPr>
                <w:rFonts w:hint="eastAsia"/>
                <w:color w:val="auto"/>
                <w:kern w:val="2"/>
                <w:sz w:val="24"/>
                <w:szCs w:val="24"/>
                <w:highlight w:val="none"/>
                <w:lang w:val="en-US" w:eastAsia="zh-CN"/>
              </w:rPr>
              <w:t>其中：</w:t>
            </w:r>
            <w:r>
              <w:rPr>
                <w:rFonts w:hint="eastAsia" w:ascii="Times New Roman" w:hAnsi="Times New Roman"/>
                <w:color w:val="auto"/>
                <w:kern w:val="2"/>
                <w:sz w:val="24"/>
                <w:szCs w:val="24"/>
                <w:highlight w:val="none"/>
                <w:lang w:val="en-US" w:eastAsia="zh-CN"/>
              </w:rPr>
              <w:t>生产芒果原汁1600t/a</w:t>
            </w:r>
            <w:r>
              <w:rPr>
                <w:rFonts w:hint="eastAsia"/>
                <w:color w:val="auto"/>
                <w:kern w:val="2"/>
                <w:sz w:val="24"/>
                <w:szCs w:val="24"/>
                <w:highlight w:val="none"/>
                <w:lang w:val="en-US" w:eastAsia="zh-CN"/>
              </w:rPr>
              <w:t>，其他速冻果汁6400t/a</w:t>
            </w:r>
            <w:r>
              <w:rPr>
                <w:rFonts w:hint="eastAsia" w:ascii="Times New Roman" w:hAnsi="Times New Roman"/>
                <w:color w:val="auto"/>
                <w:kern w:val="2"/>
                <w:sz w:val="24"/>
                <w:szCs w:val="24"/>
                <w:highlight w:val="none"/>
                <w:lang w:val="en-US" w:eastAsia="zh-CN"/>
              </w:rPr>
              <w:t>。产品方案详见</w:t>
            </w:r>
            <w:r>
              <w:rPr>
                <w:rFonts w:hint="eastAsia"/>
                <w:color w:val="auto"/>
                <w:kern w:val="2"/>
                <w:sz w:val="24"/>
                <w:szCs w:val="24"/>
                <w:highlight w:val="none"/>
                <w:lang w:val="en-US" w:eastAsia="zh-CN"/>
              </w:rPr>
              <w:t>下表</w:t>
            </w:r>
            <w:r>
              <w:rPr>
                <w:rFonts w:hint="eastAsia" w:ascii="Times New Roman" w:hAnsi="Times New Roman"/>
                <w:color w:val="auto"/>
                <w:kern w:val="2"/>
                <w:sz w:val="24"/>
                <w:szCs w:val="24"/>
                <w:highlight w:val="none"/>
                <w:lang w:val="en-US" w:eastAsia="zh-CN"/>
              </w:rPr>
              <w:t>。</w:t>
            </w:r>
          </w:p>
          <w:p w14:paraId="741B01A1">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ascii="Times New Roman" w:hAnsi="Times New Roman"/>
                <w:b/>
                <w:bCs/>
                <w:color w:val="auto"/>
                <w:kern w:val="2"/>
                <w:sz w:val="21"/>
                <w:szCs w:val="21"/>
                <w:highlight w:val="none"/>
              </w:rPr>
            </w:pPr>
            <w:r>
              <w:rPr>
                <w:rFonts w:ascii="Times New Roman" w:hAnsi="Times New Roman"/>
                <w:b/>
                <w:bCs/>
                <w:color w:val="auto"/>
                <w:kern w:val="2"/>
                <w:sz w:val="21"/>
                <w:szCs w:val="21"/>
                <w:highlight w:val="none"/>
              </w:rPr>
              <w:t>表2-</w:t>
            </w:r>
            <w:r>
              <w:rPr>
                <w:rFonts w:hint="eastAsia"/>
                <w:b/>
                <w:bCs/>
                <w:color w:val="auto"/>
                <w:kern w:val="2"/>
                <w:sz w:val="21"/>
                <w:szCs w:val="21"/>
                <w:highlight w:val="none"/>
                <w:lang w:val="en-US" w:eastAsia="zh-CN"/>
              </w:rPr>
              <w:t>16</w:t>
            </w:r>
            <w:r>
              <w:rPr>
                <w:rFonts w:hint="eastAsia" w:ascii="Times New Roman" w:hAnsi="Times New Roman"/>
                <w:b/>
                <w:bCs/>
                <w:color w:val="auto"/>
                <w:kern w:val="2"/>
                <w:sz w:val="21"/>
                <w:szCs w:val="21"/>
                <w:highlight w:val="none"/>
                <w:lang w:val="en-US" w:eastAsia="zh-CN"/>
              </w:rPr>
              <w:t xml:space="preserve">  </w:t>
            </w:r>
            <w:r>
              <w:rPr>
                <w:rFonts w:hint="eastAsia"/>
                <w:b/>
                <w:bCs/>
                <w:color w:val="auto"/>
                <w:kern w:val="2"/>
                <w:sz w:val="21"/>
                <w:szCs w:val="21"/>
                <w:highlight w:val="none"/>
                <w:lang w:val="en-US" w:eastAsia="zh-CN"/>
              </w:rPr>
              <w:t>现有项目</w:t>
            </w:r>
            <w:r>
              <w:rPr>
                <w:rFonts w:ascii="Times New Roman" w:hAnsi="Times New Roman"/>
                <w:b/>
                <w:bCs/>
                <w:color w:val="auto"/>
                <w:kern w:val="2"/>
                <w:sz w:val="21"/>
                <w:szCs w:val="21"/>
                <w:highlight w:val="none"/>
              </w:rPr>
              <w:t>产品方案一览表</w:t>
            </w:r>
          </w:p>
          <w:tbl>
            <w:tblPr>
              <w:tblStyle w:val="23"/>
              <w:tblW w:w="50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896"/>
              <w:gridCol w:w="1568"/>
              <w:gridCol w:w="1286"/>
              <w:gridCol w:w="2303"/>
            </w:tblGrid>
            <w:tr w14:paraId="059E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796" w:type="pct"/>
                  <w:gridSpan w:val="2"/>
                  <w:noWrap w:val="0"/>
                  <w:vAlign w:val="center"/>
                </w:tcPr>
                <w:p w14:paraId="06F07378">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ascii="Times New Roman" w:hAnsi="Times New Roman"/>
                      <w:b/>
                      <w:bCs/>
                      <w:color w:val="auto"/>
                      <w:kern w:val="2"/>
                      <w:sz w:val="21"/>
                      <w:szCs w:val="21"/>
                      <w:highlight w:val="none"/>
                    </w:rPr>
                  </w:pPr>
                  <w:r>
                    <w:rPr>
                      <w:rFonts w:ascii="Times New Roman" w:hAnsi="Times New Roman"/>
                      <w:b/>
                      <w:bCs/>
                      <w:color w:val="auto"/>
                      <w:kern w:val="2"/>
                      <w:sz w:val="21"/>
                      <w:szCs w:val="21"/>
                      <w:highlight w:val="none"/>
                    </w:rPr>
                    <w:t>产品名称</w:t>
                  </w:r>
                </w:p>
              </w:tc>
              <w:tc>
                <w:tcPr>
                  <w:tcW w:w="973" w:type="pct"/>
                  <w:noWrap w:val="0"/>
                  <w:vAlign w:val="center"/>
                </w:tcPr>
                <w:p w14:paraId="5C13A80B">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eastAsia" w:ascii="Times New Roman" w:hAnsi="Times New Roman"/>
                      <w:b/>
                      <w:bCs/>
                      <w:color w:val="auto"/>
                      <w:kern w:val="2"/>
                      <w:sz w:val="21"/>
                      <w:szCs w:val="21"/>
                      <w:highlight w:val="none"/>
                      <w:lang w:val="en-US" w:eastAsia="zh-CN"/>
                    </w:rPr>
                  </w:pPr>
                  <w:r>
                    <w:rPr>
                      <w:rFonts w:hint="eastAsia" w:ascii="Times New Roman" w:hAnsi="Times New Roman"/>
                      <w:b/>
                      <w:bCs/>
                      <w:color w:val="auto"/>
                      <w:kern w:val="2"/>
                      <w:sz w:val="21"/>
                      <w:szCs w:val="21"/>
                      <w:highlight w:val="none"/>
                      <w:lang w:val="en-US" w:eastAsia="zh-CN"/>
                    </w:rPr>
                    <w:t>生产规模（t/a）</w:t>
                  </w:r>
                </w:p>
              </w:tc>
              <w:tc>
                <w:tcPr>
                  <w:tcW w:w="798" w:type="pct"/>
                  <w:noWrap w:val="0"/>
                  <w:vAlign w:val="center"/>
                </w:tcPr>
                <w:p w14:paraId="338B3810">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ascii="Times New Roman" w:hAnsi="Times New Roman"/>
                      <w:b/>
                      <w:bCs/>
                      <w:color w:val="auto"/>
                      <w:kern w:val="2"/>
                      <w:sz w:val="21"/>
                      <w:szCs w:val="21"/>
                      <w:highlight w:val="none"/>
                    </w:rPr>
                  </w:pPr>
                  <w:r>
                    <w:rPr>
                      <w:rFonts w:ascii="Times New Roman" w:hAnsi="Times New Roman"/>
                      <w:b/>
                      <w:bCs/>
                      <w:color w:val="auto"/>
                      <w:kern w:val="2"/>
                      <w:sz w:val="21"/>
                      <w:szCs w:val="21"/>
                      <w:highlight w:val="none"/>
                    </w:rPr>
                    <w:t>产品规格</w:t>
                  </w:r>
                </w:p>
              </w:tc>
              <w:tc>
                <w:tcPr>
                  <w:tcW w:w="1430" w:type="pct"/>
                  <w:noWrap w:val="0"/>
                  <w:vAlign w:val="center"/>
                </w:tcPr>
                <w:p w14:paraId="784A3F33">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eastAsia" w:ascii="Times New Roman" w:hAnsi="Times New Roman" w:eastAsia="宋体"/>
                      <w:b/>
                      <w:bCs/>
                      <w:color w:val="auto"/>
                      <w:kern w:val="2"/>
                      <w:sz w:val="21"/>
                      <w:szCs w:val="21"/>
                      <w:highlight w:val="none"/>
                      <w:lang w:val="en-US" w:eastAsia="zh-CN"/>
                    </w:rPr>
                  </w:pPr>
                  <w:r>
                    <w:rPr>
                      <w:rFonts w:hint="eastAsia" w:ascii="Times New Roman" w:hAnsi="Times New Roman"/>
                      <w:b/>
                      <w:bCs/>
                      <w:color w:val="auto"/>
                      <w:kern w:val="2"/>
                      <w:sz w:val="21"/>
                      <w:szCs w:val="21"/>
                      <w:highlight w:val="none"/>
                      <w:lang w:val="en-US" w:eastAsia="zh-CN"/>
                    </w:rPr>
                    <w:t>备注</w:t>
                  </w:r>
                </w:p>
              </w:tc>
            </w:tr>
            <w:tr w14:paraId="4F1D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619" w:type="pct"/>
                  <w:vMerge w:val="restart"/>
                  <w:noWrap w:val="0"/>
                  <w:vAlign w:val="center"/>
                </w:tcPr>
                <w:p w14:paraId="0BCB6295">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ascii="Times New Roman" w:hAnsi="Times New Roman"/>
                      <w:color w:val="auto"/>
                      <w:kern w:val="2"/>
                      <w:sz w:val="21"/>
                      <w:szCs w:val="21"/>
                      <w:highlight w:val="none"/>
                    </w:rPr>
                  </w:pPr>
                  <w:r>
                    <w:rPr>
                      <w:rFonts w:ascii="Times New Roman" w:hAnsi="Times New Roman"/>
                      <w:color w:val="auto"/>
                      <w:kern w:val="2"/>
                      <w:sz w:val="21"/>
                      <w:szCs w:val="21"/>
                      <w:highlight w:val="none"/>
                    </w:rPr>
                    <w:t>速冻果蔬汁</w:t>
                  </w:r>
                </w:p>
              </w:tc>
              <w:tc>
                <w:tcPr>
                  <w:tcW w:w="1177" w:type="pct"/>
                  <w:noWrap w:val="0"/>
                  <w:vAlign w:val="center"/>
                </w:tcPr>
                <w:p w14:paraId="54633E0D">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ascii="Times New Roman" w:hAnsi="Times New Roman"/>
                      <w:color w:val="auto"/>
                      <w:kern w:val="2"/>
                      <w:sz w:val="21"/>
                      <w:szCs w:val="21"/>
                      <w:highlight w:val="none"/>
                    </w:rPr>
                  </w:pPr>
                  <w:r>
                    <w:rPr>
                      <w:rFonts w:hint="eastAsia" w:ascii="Times New Roman" w:hAnsi="Times New Roman"/>
                      <w:color w:val="auto"/>
                      <w:kern w:val="2"/>
                      <w:sz w:val="21"/>
                      <w:szCs w:val="21"/>
                      <w:highlight w:val="none"/>
                      <w:lang w:val="en-US" w:eastAsia="zh-CN"/>
                    </w:rPr>
                    <w:t>芒果原汁</w:t>
                  </w:r>
                </w:p>
              </w:tc>
              <w:tc>
                <w:tcPr>
                  <w:tcW w:w="973" w:type="pct"/>
                  <w:noWrap w:val="0"/>
                  <w:vAlign w:val="center"/>
                </w:tcPr>
                <w:p w14:paraId="1DDDDCBA">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kern w:val="2"/>
                      <w:sz w:val="21"/>
                      <w:szCs w:val="21"/>
                      <w:highlight w:val="none"/>
                      <w:lang w:val="en-US" w:eastAsia="zh-CN"/>
                    </w:rPr>
                  </w:pPr>
                  <w:r>
                    <w:rPr>
                      <w:rFonts w:hint="eastAsia" w:ascii="Times New Roman" w:hAnsi="Times New Roman"/>
                      <w:color w:val="auto"/>
                      <w:kern w:val="2"/>
                      <w:sz w:val="21"/>
                      <w:szCs w:val="21"/>
                      <w:highlight w:val="none"/>
                      <w:lang w:val="en-US" w:eastAsia="zh-CN"/>
                    </w:rPr>
                    <w:t>1600</w:t>
                  </w:r>
                </w:p>
              </w:tc>
              <w:tc>
                <w:tcPr>
                  <w:tcW w:w="798" w:type="pct"/>
                  <w:vMerge w:val="restart"/>
                  <w:noWrap w:val="0"/>
                  <w:vAlign w:val="center"/>
                </w:tcPr>
                <w:p w14:paraId="1C02F8FA">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ascii="Times New Roman" w:hAnsi="Times New Roman"/>
                      <w:color w:val="auto"/>
                      <w:kern w:val="2"/>
                      <w:sz w:val="21"/>
                      <w:szCs w:val="21"/>
                      <w:highlight w:val="none"/>
                    </w:rPr>
                  </w:pPr>
                  <w:r>
                    <w:rPr>
                      <w:rFonts w:ascii="Times New Roman" w:hAnsi="Times New Roman"/>
                      <w:color w:val="auto"/>
                      <w:kern w:val="2"/>
                      <w:sz w:val="21"/>
                      <w:szCs w:val="21"/>
                      <w:highlight w:val="none"/>
                    </w:rPr>
                    <w:t>20kg/袋（内包装）</w:t>
                  </w:r>
                </w:p>
              </w:tc>
              <w:tc>
                <w:tcPr>
                  <w:tcW w:w="1430" w:type="pct"/>
                  <w:noWrap w:val="0"/>
                  <w:vAlign w:val="center"/>
                </w:tcPr>
                <w:p w14:paraId="56011A05">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eastAsia" w:ascii="Times New Roman" w:hAnsi="Times New Roman" w:eastAsia="宋体"/>
                      <w:color w:val="auto"/>
                      <w:kern w:val="2"/>
                      <w:sz w:val="21"/>
                      <w:szCs w:val="21"/>
                      <w:highlight w:val="none"/>
                      <w:lang w:val="en-US" w:eastAsia="zh-CN"/>
                    </w:rPr>
                  </w:pPr>
                  <w:r>
                    <w:rPr>
                      <w:rFonts w:hint="eastAsia" w:ascii="Times New Roman" w:hAnsi="Times New Roman"/>
                      <w:color w:val="auto"/>
                      <w:kern w:val="2"/>
                      <w:sz w:val="21"/>
                      <w:szCs w:val="21"/>
                      <w:highlight w:val="none"/>
                      <w:lang w:val="en-US" w:eastAsia="zh-CN"/>
                    </w:rPr>
                    <w:t>需进行高温蒸汽灭菌处理</w:t>
                  </w:r>
                </w:p>
              </w:tc>
            </w:tr>
            <w:tr w14:paraId="312A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19" w:type="pct"/>
                  <w:vMerge w:val="continue"/>
                  <w:noWrap w:val="0"/>
                  <w:vAlign w:val="center"/>
                </w:tcPr>
                <w:p w14:paraId="0AF86F7E">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ascii="Times New Roman" w:hAnsi="Times New Roman"/>
                      <w:color w:val="auto"/>
                      <w:kern w:val="2"/>
                      <w:sz w:val="21"/>
                      <w:szCs w:val="21"/>
                      <w:highlight w:val="none"/>
                    </w:rPr>
                  </w:pPr>
                </w:p>
              </w:tc>
              <w:tc>
                <w:tcPr>
                  <w:tcW w:w="1177" w:type="pct"/>
                  <w:noWrap w:val="0"/>
                  <w:vAlign w:val="center"/>
                </w:tcPr>
                <w:p w14:paraId="64845F4F">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ascii="Times New Roman" w:hAnsi="Times New Roman"/>
                      <w:color w:val="auto"/>
                      <w:kern w:val="2"/>
                      <w:sz w:val="21"/>
                      <w:szCs w:val="21"/>
                      <w:highlight w:val="none"/>
                    </w:rPr>
                  </w:pPr>
                  <w:r>
                    <w:rPr>
                      <w:rFonts w:hint="eastAsia" w:ascii="Times New Roman" w:hAnsi="Times New Roman"/>
                      <w:color w:val="auto"/>
                      <w:kern w:val="2"/>
                      <w:sz w:val="21"/>
                      <w:szCs w:val="21"/>
                      <w:highlight w:val="none"/>
                      <w:lang w:val="en-US" w:eastAsia="zh-CN"/>
                    </w:rPr>
                    <w:t>其他</w:t>
                  </w:r>
                  <w:r>
                    <w:rPr>
                      <w:rFonts w:ascii="Times New Roman" w:hAnsi="Times New Roman"/>
                      <w:color w:val="auto"/>
                      <w:kern w:val="2"/>
                      <w:sz w:val="21"/>
                      <w:szCs w:val="21"/>
                      <w:highlight w:val="none"/>
                    </w:rPr>
                    <w:t>速冻果蔬汁</w:t>
                  </w:r>
                </w:p>
              </w:tc>
              <w:tc>
                <w:tcPr>
                  <w:tcW w:w="973" w:type="pct"/>
                  <w:noWrap w:val="0"/>
                  <w:vAlign w:val="center"/>
                </w:tcPr>
                <w:p w14:paraId="2B61070F">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kern w:val="2"/>
                      <w:sz w:val="21"/>
                      <w:szCs w:val="21"/>
                      <w:highlight w:val="none"/>
                      <w:lang w:val="en-US" w:eastAsia="zh-CN"/>
                    </w:rPr>
                  </w:pPr>
                  <w:r>
                    <w:rPr>
                      <w:rFonts w:hint="eastAsia" w:ascii="Times New Roman" w:hAnsi="Times New Roman"/>
                      <w:color w:val="auto"/>
                      <w:kern w:val="2"/>
                      <w:sz w:val="21"/>
                      <w:szCs w:val="21"/>
                      <w:highlight w:val="none"/>
                      <w:lang w:val="en-US" w:eastAsia="zh-CN"/>
                    </w:rPr>
                    <w:t>6400</w:t>
                  </w:r>
                </w:p>
              </w:tc>
              <w:tc>
                <w:tcPr>
                  <w:tcW w:w="798" w:type="pct"/>
                  <w:vMerge w:val="continue"/>
                  <w:noWrap w:val="0"/>
                  <w:vAlign w:val="center"/>
                </w:tcPr>
                <w:p w14:paraId="684CE6F4">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ascii="Times New Roman" w:hAnsi="Times New Roman"/>
                      <w:color w:val="auto"/>
                      <w:kern w:val="2"/>
                      <w:sz w:val="21"/>
                      <w:szCs w:val="21"/>
                      <w:highlight w:val="none"/>
                    </w:rPr>
                  </w:pPr>
                </w:p>
              </w:tc>
              <w:tc>
                <w:tcPr>
                  <w:tcW w:w="1430" w:type="pct"/>
                  <w:noWrap w:val="0"/>
                  <w:vAlign w:val="center"/>
                </w:tcPr>
                <w:p w14:paraId="3EFF4183">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kern w:val="2"/>
                      <w:sz w:val="21"/>
                      <w:szCs w:val="21"/>
                      <w:highlight w:val="none"/>
                      <w:lang w:val="en-US" w:eastAsia="zh-CN"/>
                    </w:rPr>
                  </w:pPr>
                  <w:r>
                    <w:rPr>
                      <w:rFonts w:hint="eastAsia" w:ascii="Times New Roman" w:hAnsi="Times New Roman"/>
                      <w:color w:val="auto"/>
                      <w:kern w:val="2"/>
                      <w:sz w:val="21"/>
                      <w:szCs w:val="21"/>
                      <w:highlight w:val="none"/>
                      <w:lang w:val="en-US" w:eastAsia="zh-CN"/>
                    </w:rPr>
                    <w:t>/</w:t>
                  </w:r>
                </w:p>
              </w:tc>
            </w:tr>
            <w:tr w14:paraId="4F81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96" w:type="pct"/>
                  <w:gridSpan w:val="2"/>
                  <w:noWrap w:val="0"/>
                  <w:vAlign w:val="center"/>
                </w:tcPr>
                <w:p w14:paraId="47872A39">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eastAsia" w:ascii="Times New Roman" w:hAnsi="Times New Roman" w:eastAsia="宋体"/>
                      <w:color w:val="auto"/>
                      <w:kern w:val="2"/>
                      <w:sz w:val="21"/>
                      <w:szCs w:val="21"/>
                      <w:highlight w:val="none"/>
                      <w:lang w:val="en-US" w:eastAsia="zh-CN"/>
                    </w:rPr>
                  </w:pPr>
                  <w:r>
                    <w:rPr>
                      <w:rFonts w:hint="eastAsia" w:ascii="Times New Roman" w:hAnsi="Times New Roman"/>
                      <w:color w:val="auto"/>
                      <w:kern w:val="2"/>
                      <w:sz w:val="21"/>
                      <w:szCs w:val="21"/>
                      <w:highlight w:val="none"/>
                      <w:lang w:val="en-US" w:eastAsia="zh-CN"/>
                    </w:rPr>
                    <w:t>合计</w:t>
                  </w:r>
                </w:p>
              </w:tc>
              <w:tc>
                <w:tcPr>
                  <w:tcW w:w="973" w:type="pct"/>
                  <w:noWrap w:val="0"/>
                  <w:vAlign w:val="center"/>
                </w:tcPr>
                <w:p w14:paraId="3A8667C0">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kern w:val="2"/>
                      <w:sz w:val="21"/>
                      <w:szCs w:val="21"/>
                      <w:highlight w:val="none"/>
                      <w:lang w:val="en-US" w:eastAsia="zh-CN"/>
                    </w:rPr>
                  </w:pPr>
                  <w:r>
                    <w:rPr>
                      <w:rFonts w:hint="eastAsia"/>
                      <w:color w:val="auto"/>
                      <w:kern w:val="2"/>
                      <w:sz w:val="21"/>
                      <w:szCs w:val="21"/>
                      <w:highlight w:val="none"/>
                      <w:lang w:val="en-US" w:eastAsia="zh-CN"/>
                    </w:rPr>
                    <w:t>8000</w:t>
                  </w:r>
                </w:p>
              </w:tc>
              <w:tc>
                <w:tcPr>
                  <w:tcW w:w="798" w:type="pct"/>
                  <w:noWrap w:val="0"/>
                  <w:vAlign w:val="center"/>
                </w:tcPr>
                <w:p w14:paraId="63460E26">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eastAsia" w:ascii="Times New Roman" w:hAnsi="Times New Roman" w:eastAsia="宋体"/>
                      <w:color w:val="auto"/>
                      <w:kern w:val="2"/>
                      <w:sz w:val="21"/>
                      <w:szCs w:val="21"/>
                      <w:highlight w:val="none"/>
                      <w:lang w:val="en-US" w:eastAsia="zh-CN"/>
                    </w:rPr>
                  </w:pPr>
                  <w:r>
                    <w:rPr>
                      <w:rFonts w:hint="eastAsia" w:ascii="Times New Roman" w:hAnsi="Times New Roman"/>
                      <w:color w:val="auto"/>
                      <w:kern w:val="2"/>
                      <w:sz w:val="21"/>
                      <w:szCs w:val="21"/>
                      <w:highlight w:val="none"/>
                      <w:lang w:val="en-US" w:eastAsia="zh-CN"/>
                    </w:rPr>
                    <w:t>/</w:t>
                  </w:r>
                </w:p>
              </w:tc>
              <w:tc>
                <w:tcPr>
                  <w:tcW w:w="1430" w:type="pct"/>
                  <w:noWrap w:val="0"/>
                  <w:vAlign w:val="center"/>
                </w:tcPr>
                <w:p w14:paraId="66797DEE">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eastAsia" w:ascii="Times New Roman" w:hAnsi="Times New Roman" w:eastAsia="宋体"/>
                      <w:color w:val="auto"/>
                      <w:kern w:val="2"/>
                      <w:sz w:val="21"/>
                      <w:szCs w:val="21"/>
                      <w:highlight w:val="none"/>
                      <w:lang w:val="en-US" w:eastAsia="zh-CN"/>
                    </w:rPr>
                  </w:pPr>
                  <w:r>
                    <w:rPr>
                      <w:rFonts w:hint="eastAsia" w:ascii="Times New Roman" w:hAnsi="Times New Roman"/>
                      <w:color w:val="auto"/>
                      <w:kern w:val="2"/>
                      <w:sz w:val="21"/>
                      <w:szCs w:val="21"/>
                      <w:highlight w:val="none"/>
                      <w:lang w:val="en-US" w:eastAsia="zh-CN"/>
                    </w:rPr>
                    <w:t>/</w:t>
                  </w:r>
                </w:p>
              </w:tc>
            </w:tr>
          </w:tbl>
          <w:p w14:paraId="7EDF9660">
            <w:pPr>
              <w:spacing w:line="360" w:lineRule="auto"/>
              <w:ind w:firstLine="482" w:firstLineChars="200"/>
              <w:rPr>
                <w:rFonts w:hint="default" w:ascii="Times New Roman" w:hAnsi="Times New Roman" w:eastAsia="宋体"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3</w:t>
            </w:r>
            <w:r>
              <w:rPr>
                <w:rFonts w:hint="default" w:ascii="Times New Roman" w:hAnsi="Times New Roman" w:cs="Times New Roman"/>
                <w:b/>
                <w:color w:val="auto"/>
                <w:kern w:val="0"/>
                <w:sz w:val="24"/>
                <w:szCs w:val="24"/>
                <w:highlight w:val="none"/>
              </w:rPr>
              <w:t>、</w:t>
            </w:r>
            <w:r>
              <w:rPr>
                <w:rFonts w:hint="eastAsia" w:cs="Times New Roman"/>
                <w:b/>
                <w:color w:val="auto"/>
                <w:kern w:val="0"/>
                <w:sz w:val="24"/>
                <w:szCs w:val="24"/>
                <w:highlight w:val="none"/>
                <w:lang w:val="en-US" w:eastAsia="zh-CN"/>
              </w:rPr>
              <w:t>现有项目原辅材料消耗情况</w:t>
            </w:r>
          </w:p>
          <w:p w14:paraId="7819EA3D">
            <w:pPr>
              <w:spacing w:line="360" w:lineRule="auto"/>
              <w:ind w:firstLine="482"/>
              <w:jc w:val="left"/>
              <w:rPr>
                <w:rFonts w:hint="default" w:ascii="Times New Roman" w:hAnsi="Times New Roman" w:cs="Times New Roman"/>
                <w:b/>
                <w:color w:val="auto"/>
                <w:sz w:val="24"/>
                <w:szCs w:val="24"/>
                <w:highlight w:val="none"/>
              </w:rPr>
            </w:pPr>
            <w:r>
              <w:rPr>
                <w:rFonts w:hint="eastAsia" w:cs="Times New Roman"/>
                <w:color w:val="auto"/>
                <w:sz w:val="24"/>
                <w:szCs w:val="24"/>
                <w:highlight w:val="none"/>
                <w:lang w:val="en-US" w:eastAsia="zh-CN"/>
              </w:rPr>
              <w:t>现有</w:t>
            </w:r>
            <w:r>
              <w:rPr>
                <w:rFonts w:hint="default" w:ascii="Times New Roman" w:hAnsi="Times New Roman" w:eastAsia="宋体" w:cs="Times New Roman"/>
                <w:color w:val="auto"/>
                <w:sz w:val="24"/>
                <w:szCs w:val="24"/>
                <w:highlight w:val="none"/>
              </w:rPr>
              <w:t>项目</w:t>
            </w:r>
            <w:r>
              <w:rPr>
                <w:rFonts w:hint="default" w:ascii="Times New Roman" w:hAnsi="Times New Roman" w:cs="Times New Roman"/>
                <w:color w:val="auto"/>
                <w:sz w:val="24"/>
                <w:szCs w:val="24"/>
                <w:highlight w:val="none"/>
              </w:rPr>
              <w:t>原辅材料及用量见</w:t>
            </w:r>
            <w:r>
              <w:rPr>
                <w:rFonts w:hint="eastAsia" w:cs="Times New Roman"/>
                <w:color w:val="auto"/>
                <w:sz w:val="24"/>
                <w:szCs w:val="24"/>
                <w:highlight w:val="none"/>
                <w:lang w:val="en-US" w:eastAsia="zh-CN"/>
              </w:rPr>
              <w:t>下表</w:t>
            </w:r>
            <w:r>
              <w:rPr>
                <w:rFonts w:hint="default" w:ascii="Times New Roman" w:hAnsi="Times New Roman" w:cs="Times New Roman"/>
                <w:color w:val="auto"/>
                <w:sz w:val="24"/>
                <w:szCs w:val="24"/>
                <w:highlight w:val="none"/>
              </w:rPr>
              <w:t>。</w:t>
            </w:r>
          </w:p>
          <w:p w14:paraId="07528A7B">
            <w:pPr>
              <w:ind w:firstLine="482"/>
              <w:jc w:val="center"/>
              <w:rPr>
                <w:rFonts w:hint="eastAsia"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rPr>
              <w:t>表2</w:t>
            </w:r>
            <w:r>
              <w:rPr>
                <w:rFonts w:hint="default" w:ascii="Times New Roman" w:hAnsi="Times New Roman" w:cs="Times New Roman"/>
                <w:b/>
                <w:color w:val="auto"/>
                <w:sz w:val="21"/>
                <w:szCs w:val="21"/>
                <w:highlight w:val="none"/>
                <w:lang w:val="en-US" w:eastAsia="zh-CN"/>
              </w:rPr>
              <w:t>-</w:t>
            </w:r>
            <w:r>
              <w:rPr>
                <w:rFonts w:hint="eastAsia" w:cs="Times New Roman"/>
                <w:b/>
                <w:color w:val="auto"/>
                <w:sz w:val="21"/>
                <w:szCs w:val="21"/>
                <w:highlight w:val="none"/>
                <w:lang w:val="en-US" w:eastAsia="zh-CN"/>
              </w:rPr>
              <w:t>17</w:t>
            </w:r>
            <w:r>
              <w:rPr>
                <w:rFonts w:hint="default" w:ascii="Times New Roman" w:hAnsi="Times New Roman" w:cs="Times New Roman"/>
                <w:b/>
                <w:color w:val="auto"/>
                <w:sz w:val="21"/>
                <w:szCs w:val="21"/>
                <w:highlight w:val="none"/>
              </w:rPr>
              <w:t xml:space="preserve"> </w:t>
            </w:r>
            <w:r>
              <w:rPr>
                <w:rFonts w:hint="eastAsia" w:cs="Times New Roman"/>
                <w:b/>
                <w:color w:val="auto"/>
                <w:sz w:val="21"/>
                <w:szCs w:val="21"/>
                <w:highlight w:val="none"/>
                <w:lang w:val="en-US" w:eastAsia="zh-CN"/>
              </w:rPr>
              <w:t>现有项目</w:t>
            </w:r>
            <w:r>
              <w:rPr>
                <w:rFonts w:hint="default" w:ascii="Times New Roman" w:hAnsi="Times New Roman" w:cs="Times New Roman"/>
                <w:b/>
                <w:color w:val="auto"/>
                <w:sz w:val="21"/>
                <w:szCs w:val="21"/>
                <w:highlight w:val="none"/>
              </w:rPr>
              <w:t>主要原辅材料用量</w:t>
            </w:r>
            <w:r>
              <w:rPr>
                <w:rFonts w:hint="eastAsia" w:cs="Times New Roman"/>
                <w:b/>
                <w:color w:val="auto"/>
                <w:sz w:val="21"/>
                <w:szCs w:val="21"/>
                <w:highlight w:val="none"/>
                <w:lang w:val="en-US" w:eastAsia="zh-CN"/>
              </w:rPr>
              <w:t>一览表</w:t>
            </w:r>
          </w:p>
          <w:tbl>
            <w:tblPr>
              <w:tblStyle w:val="22"/>
              <w:tblW w:w="49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2"/>
              <w:gridCol w:w="4006"/>
              <w:gridCol w:w="2790"/>
              <w:gridCol w:w="14"/>
            </w:tblGrid>
            <w:tr w14:paraId="3E47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6C303E9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2514" w:type="pct"/>
                  <w:gridSpan w:val="2"/>
                  <w:noWrap w:val="0"/>
                  <w:vAlign w:val="center"/>
                </w:tcPr>
                <w:p w14:paraId="47B9BDA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lang w:val="en-US" w:eastAsia="zh-CN"/>
                    </w:rPr>
                    <w:t>原辅</w:t>
                  </w:r>
                  <w:r>
                    <w:rPr>
                      <w:rFonts w:ascii="Times New Roman" w:hAnsi="Times New Roman"/>
                      <w:b/>
                      <w:bCs/>
                      <w:color w:val="auto"/>
                      <w:sz w:val="21"/>
                      <w:szCs w:val="21"/>
                      <w:highlight w:val="none"/>
                    </w:rPr>
                    <w:t>材料名称</w:t>
                  </w:r>
                </w:p>
              </w:tc>
              <w:tc>
                <w:tcPr>
                  <w:tcW w:w="1749" w:type="pct"/>
                  <w:noWrap w:val="0"/>
                  <w:vAlign w:val="center"/>
                </w:tcPr>
                <w:p w14:paraId="4840D47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年消耗量（t/a）</w:t>
                  </w:r>
                </w:p>
              </w:tc>
            </w:tr>
            <w:tr w14:paraId="6233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27" w:type="pct"/>
                  <w:gridSpan w:val="2"/>
                  <w:noWrap w:val="0"/>
                  <w:vAlign w:val="center"/>
                </w:tcPr>
                <w:p w14:paraId="27B8309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b/>
                      <w:bCs/>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一</w:t>
                  </w:r>
                </w:p>
              </w:tc>
              <w:tc>
                <w:tcPr>
                  <w:tcW w:w="4272" w:type="pct"/>
                  <w:gridSpan w:val="3"/>
                  <w:noWrap w:val="0"/>
                  <w:vAlign w:val="center"/>
                </w:tcPr>
                <w:p w14:paraId="55A5DCF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原料</w:t>
                  </w:r>
                </w:p>
              </w:tc>
            </w:tr>
            <w:tr w14:paraId="4C8D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3D0904C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2514" w:type="pct"/>
                  <w:gridSpan w:val="2"/>
                  <w:noWrap w:val="0"/>
                  <w:vAlign w:val="center"/>
                </w:tcPr>
                <w:p w14:paraId="2F12B2F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葡萄</w:t>
                  </w:r>
                </w:p>
              </w:tc>
              <w:tc>
                <w:tcPr>
                  <w:tcW w:w="1749" w:type="pct"/>
                  <w:noWrap w:val="0"/>
                  <w:vAlign w:val="center"/>
                </w:tcPr>
                <w:p w14:paraId="009AAB3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2000</w:t>
                  </w:r>
                </w:p>
              </w:tc>
            </w:tr>
            <w:tr w14:paraId="11E4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3BF9180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2</w:t>
                  </w:r>
                </w:p>
              </w:tc>
              <w:tc>
                <w:tcPr>
                  <w:tcW w:w="2514" w:type="pct"/>
                  <w:gridSpan w:val="2"/>
                  <w:noWrap w:val="0"/>
                  <w:vAlign w:val="center"/>
                </w:tcPr>
                <w:p w14:paraId="60149D7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芒果</w:t>
                  </w:r>
                </w:p>
              </w:tc>
              <w:tc>
                <w:tcPr>
                  <w:tcW w:w="1749" w:type="pct"/>
                  <w:noWrap w:val="0"/>
                  <w:vAlign w:val="center"/>
                </w:tcPr>
                <w:p w14:paraId="75F090C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3760</w:t>
                  </w:r>
                </w:p>
              </w:tc>
            </w:tr>
            <w:tr w14:paraId="53F1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47BE310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3</w:t>
                  </w:r>
                </w:p>
              </w:tc>
              <w:tc>
                <w:tcPr>
                  <w:tcW w:w="2514" w:type="pct"/>
                  <w:gridSpan w:val="2"/>
                  <w:noWrap w:val="0"/>
                  <w:vAlign w:val="center"/>
                </w:tcPr>
                <w:p w14:paraId="5F35020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eastAsia="宋体" w:cs="Arial"/>
                      <w:i w:val="0"/>
                      <w:iCs w:val="0"/>
                      <w:caps w:val="0"/>
                      <w:color w:val="auto"/>
                      <w:spacing w:val="0"/>
                      <w:sz w:val="21"/>
                      <w:szCs w:val="21"/>
                      <w:highlight w:val="none"/>
                      <w:shd w:val="clear" w:color="auto" w:fill="FFFFFF"/>
                    </w:rPr>
                    <w:t>油柑</w:t>
                  </w:r>
                </w:p>
              </w:tc>
              <w:tc>
                <w:tcPr>
                  <w:tcW w:w="1749" w:type="pct"/>
                  <w:noWrap w:val="0"/>
                  <w:vAlign w:val="center"/>
                </w:tcPr>
                <w:p w14:paraId="1148E5F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1500</w:t>
                  </w:r>
                </w:p>
              </w:tc>
            </w:tr>
            <w:tr w14:paraId="624E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4AF15EA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4</w:t>
                  </w:r>
                </w:p>
              </w:tc>
              <w:tc>
                <w:tcPr>
                  <w:tcW w:w="2514" w:type="pct"/>
                  <w:gridSpan w:val="2"/>
                  <w:noWrap w:val="0"/>
                  <w:vAlign w:val="center"/>
                </w:tcPr>
                <w:p w14:paraId="21F809C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柠檬</w:t>
                  </w:r>
                </w:p>
              </w:tc>
              <w:tc>
                <w:tcPr>
                  <w:tcW w:w="1749" w:type="pct"/>
                  <w:noWrap w:val="0"/>
                  <w:vAlign w:val="center"/>
                </w:tcPr>
                <w:p w14:paraId="6132AB0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4000</w:t>
                  </w:r>
                </w:p>
              </w:tc>
            </w:tr>
            <w:tr w14:paraId="13F3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5759436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5</w:t>
                  </w:r>
                </w:p>
              </w:tc>
              <w:tc>
                <w:tcPr>
                  <w:tcW w:w="2514" w:type="pct"/>
                  <w:gridSpan w:val="2"/>
                  <w:noWrap w:val="0"/>
                  <w:vAlign w:val="center"/>
                </w:tcPr>
                <w:p w14:paraId="3C22B60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草莓</w:t>
                  </w:r>
                </w:p>
              </w:tc>
              <w:tc>
                <w:tcPr>
                  <w:tcW w:w="1749" w:type="pct"/>
                  <w:noWrap w:val="0"/>
                  <w:vAlign w:val="center"/>
                </w:tcPr>
                <w:p w14:paraId="2487EB8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2000</w:t>
                  </w:r>
                </w:p>
              </w:tc>
            </w:tr>
            <w:tr w14:paraId="07A4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4D3C945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6</w:t>
                  </w:r>
                </w:p>
              </w:tc>
              <w:tc>
                <w:tcPr>
                  <w:tcW w:w="2514" w:type="pct"/>
                  <w:gridSpan w:val="2"/>
                  <w:noWrap w:val="0"/>
                  <w:vAlign w:val="center"/>
                </w:tcPr>
                <w:p w14:paraId="1EB7197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桃</w:t>
                  </w:r>
                </w:p>
              </w:tc>
              <w:tc>
                <w:tcPr>
                  <w:tcW w:w="1749" w:type="pct"/>
                  <w:noWrap w:val="0"/>
                  <w:vAlign w:val="center"/>
                </w:tcPr>
                <w:p w14:paraId="68D93B9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1880</w:t>
                  </w:r>
                </w:p>
              </w:tc>
            </w:tr>
            <w:tr w14:paraId="76F54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3C31943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7</w:t>
                  </w:r>
                </w:p>
              </w:tc>
              <w:tc>
                <w:tcPr>
                  <w:tcW w:w="2514" w:type="pct"/>
                  <w:gridSpan w:val="2"/>
                  <w:noWrap w:val="0"/>
                  <w:vAlign w:val="center"/>
                </w:tcPr>
                <w:p w14:paraId="12470B0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杨梅</w:t>
                  </w:r>
                </w:p>
              </w:tc>
              <w:tc>
                <w:tcPr>
                  <w:tcW w:w="1749" w:type="pct"/>
                  <w:noWrap w:val="0"/>
                  <w:vAlign w:val="center"/>
                </w:tcPr>
                <w:p w14:paraId="6934776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1000</w:t>
                  </w:r>
                </w:p>
              </w:tc>
            </w:tr>
            <w:tr w14:paraId="4F63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208ADC4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8</w:t>
                  </w:r>
                </w:p>
              </w:tc>
              <w:tc>
                <w:tcPr>
                  <w:tcW w:w="2514" w:type="pct"/>
                  <w:gridSpan w:val="2"/>
                  <w:noWrap w:val="0"/>
                  <w:vAlign w:val="center"/>
                </w:tcPr>
                <w:p w14:paraId="2478EE2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其它水果</w:t>
                  </w:r>
                </w:p>
              </w:tc>
              <w:tc>
                <w:tcPr>
                  <w:tcW w:w="1749" w:type="pct"/>
                  <w:noWrap w:val="0"/>
                  <w:vAlign w:val="center"/>
                </w:tcPr>
                <w:p w14:paraId="041A0B8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3290</w:t>
                  </w:r>
                </w:p>
              </w:tc>
            </w:tr>
            <w:tr w14:paraId="7AE5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27" w:type="pct"/>
                  <w:gridSpan w:val="2"/>
                  <w:noWrap w:val="0"/>
                  <w:vAlign w:val="center"/>
                </w:tcPr>
                <w:p w14:paraId="73D11BC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二</w:t>
                  </w:r>
                </w:p>
              </w:tc>
              <w:tc>
                <w:tcPr>
                  <w:tcW w:w="4272" w:type="pct"/>
                  <w:gridSpan w:val="3"/>
                  <w:noWrap w:val="0"/>
                  <w:vAlign w:val="center"/>
                </w:tcPr>
                <w:p w14:paraId="3BF7D92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辅料</w:t>
                  </w:r>
                </w:p>
              </w:tc>
            </w:tr>
            <w:tr w14:paraId="4A98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3C7A574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w:t>
                  </w:r>
                </w:p>
              </w:tc>
              <w:tc>
                <w:tcPr>
                  <w:tcW w:w="2514" w:type="pct"/>
                  <w:gridSpan w:val="2"/>
                  <w:noWrap w:val="0"/>
                  <w:vAlign w:val="center"/>
                </w:tcPr>
                <w:p w14:paraId="242DF48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制冷剂R507</w:t>
                  </w:r>
                </w:p>
              </w:tc>
              <w:tc>
                <w:tcPr>
                  <w:tcW w:w="1749" w:type="pct"/>
                  <w:noWrap w:val="0"/>
                  <w:vAlign w:val="center"/>
                </w:tcPr>
                <w:p w14:paraId="11FCEAF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一次加注800公斤</w:t>
                  </w:r>
                </w:p>
              </w:tc>
            </w:tr>
            <w:tr w14:paraId="7B82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5DD7889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w:t>
                  </w:r>
                </w:p>
              </w:tc>
              <w:tc>
                <w:tcPr>
                  <w:tcW w:w="2514" w:type="pct"/>
                  <w:gridSpan w:val="2"/>
                  <w:noWrap w:val="0"/>
                  <w:vAlign w:val="center"/>
                </w:tcPr>
                <w:p w14:paraId="5149F3F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碱性剂（2%的NaOH）</w:t>
                  </w:r>
                </w:p>
              </w:tc>
              <w:tc>
                <w:tcPr>
                  <w:tcW w:w="1749" w:type="pct"/>
                  <w:noWrap w:val="0"/>
                  <w:vAlign w:val="center"/>
                </w:tcPr>
                <w:p w14:paraId="7786A65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10000</w:t>
                  </w:r>
                  <w:r>
                    <w:rPr>
                      <w:rFonts w:ascii="Times New Roman" w:hAnsi="Times New Roman"/>
                      <w:color w:val="auto"/>
                      <w:sz w:val="21"/>
                      <w:szCs w:val="21"/>
                      <w:highlight w:val="none"/>
                    </w:rPr>
                    <w:t>L</w:t>
                  </w:r>
                </w:p>
              </w:tc>
            </w:tr>
            <w:tr w14:paraId="4D88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66DD21A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w:t>
                  </w:r>
                </w:p>
              </w:tc>
              <w:tc>
                <w:tcPr>
                  <w:tcW w:w="2514" w:type="pct"/>
                  <w:gridSpan w:val="2"/>
                  <w:noWrap w:val="0"/>
                  <w:vAlign w:val="center"/>
                </w:tcPr>
                <w:p w14:paraId="3BBF750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酸性剂清洗液（1%~2%的硝酸溶液）</w:t>
                  </w:r>
                </w:p>
              </w:tc>
              <w:tc>
                <w:tcPr>
                  <w:tcW w:w="1749" w:type="pct"/>
                  <w:noWrap w:val="0"/>
                  <w:vAlign w:val="center"/>
                </w:tcPr>
                <w:p w14:paraId="44F3C78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3000L</w:t>
                  </w:r>
                </w:p>
              </w:tc>
            </w:tr>
            <w:tr w14:paraId="38F7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46DCC3F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w:t>
                  </w:r>
                </w:p>
              </w:tc>
              <w:tc>
                <w:tcPr>
                  <w:tcW w:w="2514" w:type="pct"/>
                  <w:gridSpan w:val="2"/>
                  <w:noWrap w:val="0"/>
                  <w:vAlign w:val="center"/>
                </w:tcPr>
                <w:p w14:paraId="574FC25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eastAsia="zh-CN"/>
                    </w:rPr>
                  </w:pPr>
                  <w:r>
                    <w:rPr>
                      <w:rFonts w:ascii="Times New Roman" w:hAnsi="Times New Roman"/>
                      <w:color w:val="auto"/>
                      <w:sz w:val="21"/>
                      <w:szCs w:val="21"/>
                      <w:highlight w:val="none"/>
                    </w:rPr>
                    <w:t>苏纳米100</w:t>
                  </w:r>
                </w:p>
              </w:tc>
              <w:tc>
                <w:tcPr>
                  <w:tcW w:w="1749" w:type="pct"/>
                  <w:noWrap w:val="0"/>
                  <w:vAlign w:val="center"/>
                </w:tcPr>
                <w:p w14:paraId="76FB338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w:t>
                  </w:r>
                </w:p>
              </w:tc>
            </w:tr>
            <w:tr w14:paraId="38EE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5264F14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5</w:t>
                  </w:r>
                </w:p>
              </w:tc>
              <w:tc>
                <w:tcPr>
                  <w:tcW w:w="2514" w:type="pct"/>
                  <w:gridSpan w:val="2"/>
                  <w:noWrap w:val="0"/>
                  <w:vAlign w:val="center"/>
                </w:tcPr>
                <w:p w14:paraId="1208038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内包装材料（尼龙袋）</w:t>
                  </w:r>
                </w:p>
              </w:tc>
              <w:tc>
                <w:tcPr>
                  <w:tcW w:w="1749" w:type="pct"/>
                  <w:noWrap w:val="0"/>
                  <w:vAlign w:val="center"/>
                </w:tcPr>
                <w:p w14:paraId="34949BE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40万个</w:t>
                  </w:r>
                </w:p>
              </w:tc>
            </w:tr>
            <w:tr w14:paraId="085B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59E298C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6</w:t>
                  </w:r>
                </w:p>
              </w:tc>
              <w:tc>
                <w:tcPr>
                  <w:tcW w:w="2514" w:type="pct"/>
                  <w:gridSpan w:val="2"/>
                  <w:noWrap w:val="0"/>
                  <w:vAlign w:val="center"/>
                </w:tcPr>
                <w:p w14:paraId="3C77413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外包装材料（塑料框）</w:t>
                  </w:r>
                </w:p>
              </w:tc>
              <w:tc>
                <w:tcPr>
                  <w:tcW w:w="1749" w:type="pct"/>
                  <w:noWrap w:val="0"/>
                  <w:vAlign w:val="center"/>
                </w:tcPr>
                <w:p w14:paraId="65009E7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40万个</w:t>
                  </w:r>
                </w:p>
              </w:tc>
            </w:tr>
            <w:tr w14:paraId="7D8FF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5E4AAF9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7</w:t>
                  </w:r>
                </w:p>
              </w:tc>
              <w:tc>
                <w:tcPr>
                  <w:tcW w:w="2514" w:type="pct"/>
                  <w:gridSpan w:val="2"/>
                  <w:noWrap w:val="0"/>
                  <w:vAlign w:val="center"/>
                </w:tcPr>
                <w:p w14:paraId="41BF78E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过氧乙酸</w:t>
                  </w:r>
                </w:p>
              </w:tc>
              <w:tc>
                <w:tcPr>
                  <w:tcW w:w="1749" w:type="pct"/>
                  <w:noWrap w:val="0"/>
                  <w:vAlign w:val="center"/>
                </w:tcPr>
                <w:p w14:paraId="50B9581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3000</w:t>
                  </w:r>
                  <w:r>
                    <w:rPr>
                      <w:rFonts w:ascii="Times New Roman" w:hAnsi="Times New Roman"/>
                      <w:color w:val="auto"/>
                      <w:sz w:val="21"/>
                      <w:szCs w:val="21"/>
                      <w:highlight w:val="none"/>
                    </w:rPr>
                    <w:t>L</w:t>
                  </w:r>
                </w:p>
              </w:tc>
            </w:tr>
            <w:tr w14:paraId="72672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27" w:type="pct"/>
                  <w:gridSpan w:val="2"/>
                  <w:noWrap w:val="0"/>
                  <w:vAlign w:val="center"/>
                </w:tcPr>
                <w:p w14:paraId="5BE479D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color w:val="auto"/>
                      <w:sz w:val="21"/>
                      <w:szCs w:val="21"/>
                      <w:highlight w:val="none"/>
                      <w:lang w:val="en-US" w:eastAsia="zh-CN"/>
                    </w:rPr>
                    <w:t>三</w:t>
                  </w:r>
                </w:p>
              </w:tc>
              <w:tc>
                <w:tcPr>
                  <w:tcW w:w="4272" w:type="pct"/>
                  <w:gridSpan w:val="3"/>
                  <w:noWrap w:val="0"/>
                  <w:vAlign w:val="center"/>
                </w:tcPr>
                <w:p w14:paraId="6CD3A1C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b/>
                      <w:bCs/>
                      <w:color w:val="auto"/>
                      <w:sz w:val="21"/>
                      <w:szCs w:val="21"/>
                      <w:highlight w:val="none"/>
                      <w:lang w:val="en-US" w:eastAsia="zh-CN"/>
                    </w:rPr>
                    <w:t>实验检测</w:t>
                  </w:r>
                </w:p>
              </w:tc>
            </w:tr>
            <w:tr w14:paraId="6E2D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581678C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w:t>
                  </w:r>
                </w:p>
              </w:tc>
              <w:tc>
                <w:tcPr>
                  <w:tcW w:w="2514" w:type="pct"/>
                  <w:gridSpan w:val="2"/>
                  <w:noWrap w:val="0"/>
                  <w:vAlign w:val="center"/>
                </w:tcPr>
                <w:p w14:paraId="2A214AC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平板计数琼脂培养基</w:t>
                  </w:r>
                </w:p>
              </w:tc>
              <w:tc>
                <w:tcPr>
                  <w:tcW w:w="1749" w:type="pct"/>
                  <w:noWrap w:val="0"/>
                  <w:vAlign w:val="center"/>
                </w:tcPr>
                <w:p w14:paraId="60B1AC2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ascii="Times New Roman" w:hAnsi="Times New Roman"/>
                      <w:color w:val="auto"/>
                      <w:sz w:val="21"/>
                      <w:szCs w:val="21"/>
                      <w:highlight w:val="none"/>
                    </w:rPr>
                    <w:t>10kg</w:t>
                  </w:r>
                  <w:r>
                    <w:rPr>
                      <w:rFonts w:hint="eastAsia" w:ascii="Times New Roman" w:hAnsi="Times New Roman"/>
                      <w:color w:val="auto"/>
                      <w:sz w:val="21"/>
                      <w:szCs w:val="21"/>
                      <w:highlight w:val="none"/>
                      <w:lang w:val="en-US" w:eastAsia="zh-CN"/>
                    </w:rPr>
                    <w:t>/a</w:t>
                  </w:r>
                </w:p>
              </w:tc>
            </w:tr>
            <w:tr w14:paraId="6C22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50AD6E2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w:t>
                  </w:r>
                </w:p>
              </w:tc>
              <w:tc>
                <w:tcPr>
                  <w:tcW w:w="2514" w:type="pct"/>
                  <w:gridSpan w:val="2"/>
                  <w:noWrap w:val="0"/>
                  <w:vAlign w:val="center"/>
                </w:tcPr>
                <w:p w14:paraId="1E8F340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kern w:val="0"/>
                      <w:sz w:val="21"/>
                      <w:szCs w:val="21"/>
                      <w:highlight w:val="none"/>
                    </w:rPr>
                    <w:t>月桂基硫酸盐胰蛋白胨肉汤</w:t>
                  </w:r>
                </w:p>
              </w:tc>
              <w:tc>
                <w:tcPr>
                  <w:tcW w:w="1749" w:type="pct"/>
                  <w:noWrap w:val="0"/>
                  <w:vAlign w:val="center"/>
                </w:tcPr>
                <w:p w14:paraId="6D009A0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2kg</w:t>
                  </w:r>
                  <w:r>
                    <w:rPr>
                      <w:rFonts w:hint="eastAsia" w:ascii="Times New Roman" w:hAnsi="Times New Roman"/>
                      <w:color w:val="auto"/>
                      <w:sz w:val="21"/>
                      <w:szCs w:val="21"/>
                      <w:highlight w:val="none"/>
                      <w:lang w:val="en-US" w:eastAsia="zh-CN"/>
                    </w:rPr>
                    <w:t>/a</w:t>
                  </w:r>
                </w:p>
              </w:tc>
            </w:tr>
            <w:tr w14:paraId="34B9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7F5B615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w:t>
                  </w:r>
                </w:p>
              </w:tc>
              <w:tc>
                <w:tcPr>
                  <w:tcW w:w="2514" w:type="pct"/>
                  <w:gridSpan w:val="2"/>
                  <w:noWrap w:val="0"/>
                  <w:vAlign w:val="center"/>
                </w:tcPr>
                <w:p w14:paraId="0539C0F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kern w:val="0"/>
                      <w:sz w:val="21"/>
                      <w:szCs w:val="21"/>
                      <w:highlight w:val="none"/>
                    </w:rPr>
                    <w:t>结晶紫中性红胆盐琼脂（VRBA）</w:t>
                  </w:r>
                </w:p>
              </w:tc>
              <w:tc>
                <w:tcPr>
                  <w:tcW w:w="1749" w:type="pct"/>
                  <w:noWrap w:val="0"/>
                  <w:vAlign w:val="center"/>
                </w:tcPr>
                <w:p w14:paraId="5042B7E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2kg</w:t>
                  </w:r>
                  <w:r>
                    <w:rPr>
                      <w:rFonts w:hint="eastAsia" w:ascii="Times New Roman" w:hAnsi="Times New Roman"/>
                      <w:color w:val="auto"/>
                      <w:sz w:val="21"/>
                      <w:szCs w:val="21"/>
                      <w:highlight w:val="none"/>
                      <w:lang w:val="en-US" w:eastAsia="zh-CN"/>
                    </w:rPr>
                    <w:t>/a</w:t>
                  </w:r>
                </w:p>
              </w:tc>
            </w:tr>
            <w:tr w14:paraId="7AC6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06042B5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w:t>
                  </w:r>
                </w:p>
              </w:tc>
              <w:tc>
                <w:tcPr>
                  <w:tcW w:w="2514" w:type="pct"/>
                  <w:gridSpan w:val="2"/>
                  <w:noWrap w:val="0"/>
                  <w:vAlign w:val="center"/>
                </w:tcPr>
                <w:p w14:paraId="3FC8B5F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kern w:val="0"/>
                      <w:sz w:val="21"/>
                      <w:szCs w:val="21"/>
                      <w:highlight w:val="none"/>
                    </w:rPr>
                    <w:t>煌绿乳糖胆盐肉汤培养基(BGLB)</w:t>
                  </w:r>
                </w:p>
              </w:tc>
              <w:tc>
                <w:tcPr>
                  <w:tcW w:w="1749" w:type="pct"/>
                  <w:noWrap w:val="0"/>
                  <w:vAlign w:val="center"/>
                </w:tcPr>
                <w:p w14:paraId="7D5329B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2kg</w:t>
                  </w:r>
                  <w:r>
                    <w:rPr>
                      <w:rFonts w:hint="eastAsia" w:ascii="Times New Roman" w:hAnsi="Times New Roman"/>
                      <w:color w:val="auto"/>
                      <w:sz w:val="21"/>
                      <w:szCs w:val="21"/>
                      <w:highlight w:val="none"/>
                      <w:lang w:val="en-US" w:eastAsia="zh-CN"/>
                    </w:rPr>
                    <w:t>/a</w:t>
                  </w:r>
                </w:p>
              </w:tc>
            </w:tr>
            <w:tr w14:paraId="134F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5139343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5</w:t>
                  </w:r>
                </w:p>
              </w:tc>
              <w:tc>
                <w:tcPr>
                  <w:tcW w:w="2514" w:type="pct"/>
                  <w:gridSpan w:val="2"/>
                  <w:noWrap w:val="0"/>
                  <w:vAlign w:val="center"/>
                </w:tcPr>
                <w:p w14:paraId="5B1BC1B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马玲薯葡萄糖琼脂</w:t>
                  </w:r>
                </w:p>
              </w:tc>
              <w:tc>
                <w:tcPr>
                  <w:tcW w:w="1749" w:type="pct"/>
                  <w:noWrap w:val="0"/>
                  <w:vAlign w:val="center"/>
                </w:tcPr>
                <w:p w14:paraId="38BB05C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5kg</w:t>
                  </w:r>
                  <w:r>
                    <w:rPr>
                      <w:rFonts w:hint="eastAsia" w:ascii="Times New Roman" w:hAnsi="Times New Roman"/>
                      <w:color w:val="auto"/>
                      <w:sz w:val="21"/>
                      <w:szCs w:val="21"/>
                      <w:highlight w:val="none"/>
                      <w:lang w:val="en-US" w:eastAsia="zh-CN"/>
                    </w:rPr>
                    <w:t>/a</w:t>
                  </w:r>
                </w:p>
              </w:tc>
            </w:tr>
            <w:tr w14:paraId="41F7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5E057DB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6</w:t>
                  </w:r>
                </w:p>
              </w:tc>
              <w:tc>
                <w:tcPr>
                  <w:tcW w:w="2514" w:type="pct"/>
                  <w:gridSpan w:val="2"/>
                  <w:noWrap w:val="0"/>
                  <w:vAlign w:val="center"/>
                </w:tcPr>
                <w:p w14:paraId="2EBA4EC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孟加拉红</w:t>
                  </w:r>
                </w:p>
              </w:tc>
              <w:tc>
                <w:tcPr>
                  <w:tcW w:w="1749" w:type="pct"/>
                  <w:noWrap w:val="0"/>
                  <w:vAlign w:val="center"/>
                </w:tcPr>
                <w:p w14:paraId="2770C9F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5kg</w:t>
                  </w:r>
                  <w:r>
                    <w:rPr>
                      <w:rFonts w:hint="eastAsia" w:ascii="Times New Roman" w:hAnsi="Times New Roman"/>
                      <w:color w:val="auto"/>
                      <w:sz w:val="21"/>
                      <w:szCs w:val="21"/>
                      <w:highlight w:val="none"/>
                      <w:lang w:val="en-US" w:eastAsia="zh-CN"/>
                    </w:rPr>
                    <w:t>/a</w:t>
                  </w:r>
                </w:p>
              </w:tc>
            </w:tr>
            <w:tr w14:paraId="6C837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774FFFB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7</w:t>
                  </w:r>
                </w:p>
              </w:tc>
              <w:tc>
                <w:tcPr>
                  <w:tcW w:w="2514" w:type="pct"/>
                  <w:gridSpan w:val="2"/>
                  <w:noWrap w:val="0"/>
                  <w:vAlign w:val="center"/>
                </w:tcPr>
                <w:p w14:paraId="2519A6C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0.1mol/LNaOH标液</w:t>
                  </w:r>
                </w:p>
              </w:tc>
              <w:tc>
                <w:tcPr>
                  <w:tcW w:w="1749" w:type="pct"/>
                  <w:noWrap w:val="0"/>
                  <w:vAlign w:val="center"/>
                </w:tcPr>
                <w:p w14:paraId="2EB50E3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20L</w:t>
                  </w:r>
                </w:p>
              </w:tc>
            </w:tr>
            <w:tr w14:paraId="5DF7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63" w:hRule="atLeast"/>
                <w:jc w:val="center"/>
              </w:trPr>
              <w:tc>
                <w:tcPr>
                  <w:tcW w:w="726" w:type="pct"/>
                  <w:noWrap w:val="0"/>
                  <w:vAlign w:val="center"/>
                </w:tcPr>
                <w:p w14:paraId="5B27D27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8</w:t>
                  </w:r>
                </w:p>
              </w:tc>
              <w:tc>
                <w:tcPr>
                  <w:tcW w:w="2514" w:type="pct"/>
                  <w:gridSpan w:val="2"/>
                  <w:noWrap w:val="0"/>
                  <w:vAlign w:val="center"/>
                </w:tcPr>
                <w:p w14:paraId="6DE908B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0.1mol/L盐酸标液</w:t>
                  </w:r>
                </w:p>
              </w:tc>
              <w:tc>
                <w:tcPr>
                  <w:tcW w:w="1749" w:type="pct"/>
                  <w:noWrap w:val="0"/>
                  <w:vAlign w:val="center"/>
                </w:tcPr>
                <w:p w14:paraId="787B642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5kg/a</w:t>
                  </w:r>
                </w:p>
              </w:tc>
            </w:tr>
            <w:tr w14:paraId="52BB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27" w:type="pct"/>
                  <w:gridSpan w:val="2"/>
                  <w:noWrap w:val="0"/>
                  <w:vAlign w:val="center"/>
                </w:tcPr>
                <w:p w14:paraId="4655988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四</w:t>
                  </w:r>
                </w:p>
              </w:tc>
              <w:tc>
                <w:tcPr>
                  <w:tcW w:w="4272" w:type="pct"/>
                  <w:gridSpan w:val="3"/>
                  <w:noWrap w:val="0"/>
                  <w:vAlign w:val="center"/>
                </w:tcPr>
                <w:p w14:paraId="04791ED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能源消耗</w:t>
                  </w:r>
                </w:p>
              </w:tc>
            </w:tr>
            <w:tr w14:paraId="49D5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82" w:hRule="atLeast"/>
                <w:jc w:val="center"/>
              </w:trPr>
              <w:tc>
                <w:tcPr>
                  <w:tcW w:w="726" w:type="pct"/>
                  <w:noWrap w:val="0"/>
                  <w:vAlign w:val="center"/>
                </w:tcPr>
                <w:p w14:paraId="3D6302A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color w:val="auto"/>
                      <w:sz w:val="21"/>
                      <w:szCs w:val="21"/>
                      <w:highlight w:val="none"/>
                      <w:lang w:val="en-US" w:eastAsia="zh-CN"/>
                    </w:rPr>
                    <w:t>1</w:t>
                  </w:r>
                </w:p>
              </w:tc>
              <w:tc>
                <w:tcPr>
                  <w:tcW w:w="2514" w:type="pct"/>
                  <w:gridSpan w:val="2"/>
                  <w:noWrap w:val="0"/>
                  <w:vAlign w:val="center"/>
                </w:tcPr>
                <w:p w14:paraId="5629648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生物质燃料</w:t>
                  </w:r>
                </w:p>
              </w:tc>
              <w:tc>
                <w:tcPr>
                  <w:tcW w:w="1749" w:type="pct"/>
                  <w:noWrap w:val="0"/>
                  <w:vAlign w:val="center"/>
                </w:tcPr>
                <w:p w14:paraId="556F1F6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150t</w:t>
                  </w:r>
                </w:p>
              </w:tc>
            </w:tr>
          </w:tbl>
          <w:p w14:paraId="6402823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eastAsia="宋体"/>
                <w:b/>
                <w:bCs/>
                <w:color w:val="auto"/>
                <w:sz w:val="24"/>
                <w:lang w:val="en-US" w:eastAsia="zh-CN"/>
              </w:rPr>
            </w:pPr>
            <w:r>
              <w:rPr>
                <w:rFonts w:hint="eastAsia"/>
                <w:b/>
                <w:bCs/>
                <w:color w:val="auto"/>
                <w:sz w:val="24"/>
                <w:lang w:val="en-US" w:eastAsia="zh-CN"/>
              </w:rPr>
              <w:t>4、现有项目主要生产设备</w:t>
            </w:r>
          </w:p>
          <w:p w14:paraId="1ED3A2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color w:val="auto"/>
                <w:sz w:val="24"/>
                <w:lang w:val="en-US" w:eastAsia="zh-CN"/>
              </w:rPr>
            </w:pPr>
            <w:r>
              <w:rPr>
                <w:rFonts w:hint="eastAsia"/>
                <w:color w:val="auto"/>
                <w:sz w:val="24"/>
                <w:lang w:val="en-US" w:eastAsia="zh-CN"/>
              </w:rPr>
              <w:t>现有项目主要生产设备及实验检测设备详见下表。</w:t>
            </w:r>
          </w:p>
          <w:p w14:paraId="08FB3438">
            <w:pPr>
              <w:autoSpaceDE w:val="0"/>
              <w:autoSpaceDN w:val="0"/>
              <w:ind w:firstLine="422" w:firstLineChars="20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表2-</w:t>
            </w:r>
            <w:r>
              <w:rPr>
                <w:rFonts w:hint="eastAsia" w:cs="Times New Roman"/>
                <w:b/>
                <w:color w:val="auto"/>
                <w:kern w:val="0"/>
                <w:sz w:val="21"/>
                <w:szCs w:val="21"/>
                <w:highlight w:val="none"/>
                <w:lang w:val="en-US" w:eastAsia="zh-CN"/>
              </w:rPr>
              <w:t>18</w:t>
            </w:r>
            <w:r>
              <w:rPr>
                <w:rFonts w:hint="default" w:ascii="Times New Roman" w:hAnsi="Times New Roman" w:cs="Times New Roman"/>
                <w:b/>
                <w:color w:val="auto"/>
                <w:kern w:val="0"/>
                <w:sz w:val="21"/>
                <w:szCs w:val="21"/>
                <w:highlight w:val="none"/>
              </w:rPr>
              <w:t xml:space="preserve"> </w:t>
            </w:r>
            <w:r>
              <w:rPr>
                <w:rFonts w:hint="eastAsia" w:cs="Times New Roman"/>
                <w:b/>
                <w:color w:val="auto"/>
                <w:kern w:val="0"/>
                <w:sz w:val="21"/>
                <w:szCs w:val="21"/>
                <w:highlight w:val="none"/>
                <w:lang w:val="en-US" w:eastAsia="zh-CN"/>
              </w:rPr>
              <w:t>现有项目</w:t>
            </w:r>
            <w:r>
              <w:rPr>
                <w:rFonts w:hint="default" w:ascii="Times New Roman" w:hAnsi="Times New Roman" w:cs="Times New Roman"/>
                <w:b/>
                <w:color w:val="auto"/>
                <w:kern w:val="0"/>
                <w:sz w:val="21"/>
                <w:szCs w:val="21"/>
                <w:highlight w:val="none"/>
              </w:rPr>
              <w:t>主要生产设备一览表</w:t>
            </w:r>
          </w:p>
          <w:tbl>
            <w:tblPr>
              <w:tblStyle w:val="22"/>
              <w:tblW w:w="7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460"/>
              <w:gridCol w:w="1917"/>
              <w:gridCol w:w="1576"/>
              <w:gridCol w:w="917"/>
              <w:gridCol w:w="1139"/>
            </w:tblGrid>
            <w:tr w14:paraId="38320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73" w:type="pct"/>
                  <w:shd w:val="clear" w:color="000000" w:fill="auto"/>
                  <w:noWrap w:val="0"/>
                  <w:vAlign w:val="center"/>
                </w:tcPr>
                <w:p w14:paraId="0C5394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922" w:type="pct"/>
                  <w:shd w:val="clear" w:color="000000" w:fill="auto"/>
                  <w:noWrap/>
                  <w:vAlign w:val="center"/>
                </w:tcPr>
                <w:p w14:paraId="093511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车间</w:t>
                  </w:r>
                </w:p>
              </w:tc>
              <w:tc>
                <w:tcPr>
                  <w:tcW w:w="1210" w:type="pct"/>
                  <w:shd w:val="clear" w:color="000000" w:fill="auto"/>
                  <w:noWrap/>
                  <w:vAlign w:val="center"/>
                </w:tcPr>
                <w:p w14:paraId="62A2E9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rPr>
                    <w:t>设备名称</w:t>
                  </w:r>
                </w:p>
              </w:tc>
              <w:tc>
                <w:tcPr>
                  <w:tcW w:w="995" w:type="pct"/>
                  <w:shd w:val="clear" w:color="000000" w:fill="auto"/>
                  <w:noWrap/>
                  <w:vAlign w:val="center"/>
                </w:tcPr>
                <w:p w14:paraId="755D7B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规格</w:t>
                  </w:r>
                </w:p>
              </w:tc>
              <w:tc>
                <w:tcPr>
                  <w:tcW w:w="579" w:type="pct"/>
                  <w:shd w:val="clear" w:color="000000" w:fill="auto"/>
                  <w:noWrap/>
                  <w:vAlign w:val="center"/>
                </w:tcPr>
                <w:p w14:paraId="7C5482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单位</w:t>
                  </w:r>
                </w:p>
              </w:tc>
              <w:tc>
                <w:tcPr>
                  <w:tcW w:w="719" w:type="pct"/>
                  <w:shd w:val="clear" w:color="000000" w:fill="auto"/>
                  <w:noWrap w:val="0"/>
                  <w:vAlign w:val="center"/>
                </w:tcPr>
                <w:p w14:paraId="316F6D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数量</w:t>
                  </w:r>
                </w:p>
              </w:tc>
            </w:tr>
            <w:tr w14:paraId="0109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4B53BC97">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1</w:t>
                  </w:r>
                </w:p>
              </w:tc>
              <w:tc>
                <w:tcPr>
                  <w:tcW w:w="922" w:type="pct"/>
                  <w:vMerge w:val="restart"/>
                  <w:noWrap/>
                  <w:vAlign w:val="center"/>
                </w:tcPr>
                <w:p w14:paraId="65EEF2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提升、拣选、清洗、除核操作间</w:t>
                  </w:r>
                </w:p>
                <w:p w14:paraId="485648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p>
              </w:tc>
              <w:tc>
                <w:tcPr>
                  <w:tcW w:w="1210" w:type="pct"/>
                  <w:noWrap/>
                  <w:vAlign w:val="center"/>
                </w:tcPr>
                <w:p w14:paraId="290E11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滚杠拣选机</w:t>
                  </w:r>
                </w:p>
              </w:tc>
              <w:tc>
                <w:tcPr>
                  <w:tcW w:w="995" w:type="pct"/>
                  <w:noWrap/>
                  <w:vAlign w:val="center"/>
                </w:tcPr>
                <w:p w14:paraId="00BD6A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10t/h</w:t>
                  </w:r>
                </w:p>
              </w:tc>
              <w:tc>
                <w:tcPr>
                  <w:tcW w:w="579" w:type="pct"/>
                  <w:noWrap/>
                  <w:vAlign w:val="center"/>
                </w:tcPr>
                <w:p w14:paraId="24AC0E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台</w:t>
                  </w:r>
                </w:p>
              </w:tc>
              <w:tc>
                <w:tcPr>
                  <w:tcW w:w="719" w:type="pct"/>
                  <w:noWrap w:val="0"/>
                  <w:vAlign w:val="center"/>
                </w:tcPr>
                <w:p w14:paraId="0B13E6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3</w:t>
                  </w:r>
                </w:p>
              </w:tc>
            </w:tr>
            <w:tr w14:paraId="53FC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02756E9A">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2</w:t>
                  </w:r>
                </w:p>
              </w:tc>
              <w:tc>
                <w:tcPr>
                  <w:tcW w:w="922" w:type="pct"/>
                  <w:vMerge w:val="continue"/>
                  <w:noWrap/>
                  <w:vAlign w:val="center"/>
                </w:tcPr>
                <w:p w14:paraId="43D592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p>
              </w:tc>
              <w:tc>
                <w:tcPr>
                  <w:tcW w:w="1210" w:type="pct"/>
                  <w:noWrap/>
                  <w:vAlign w:val="center"/>
                </w:tcPr>
                <w:p w14:paraId="1D2B2F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鼓泡清洗机</w:t>
                  </w:r>
                </w:p>
              </w:tc>
              <w:tc>
                <w:tcPr>
                  <w:tcW w:w="995" w:type="pct"/>
                  <w:noWrap/>
                  <w:vAlign w:val="center"/>
                </w:tcPr>
                <w:p w14:paraId="372637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10t/h</w:t>
                  </w:r>
                </w:p>
              </w:tc>
              <w:tc>
                <w:tcPr>
                  <w:tcW w:w="579" w:type="pct"/>
                  <w:noWrap/>
                  <w:vAlign w:val="center"/>
                </w:tcPr>
                <w:p w14:paraId="13A34B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台</w:t>
                  </w:r>
                </w:p>
              </w:tc>
              <w:tc>
                <w:tcPr>
                  <w:tcW w:w="719" w:type="pct"/>
                  <w:noWrap w:val="0"/>
                  <w:vAlign w:val="center"/>
                </w:tcPr>
                <w:p w14:paraId="6C0984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9</w:t>
                  </w:r>
                </w:p>
              </w:tc>
            </w:tr>
            <w:tr w14:paraId="29A5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3D5FB612">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3</w:t>
                  </w:r>
                </w:p>
              </w:tc>
              <w:tc>
                <w:tcPr>
                  <w:tcW w:w="922" w:type="pct"/>
                  <w:vMerge w:val="continue"/>
                  <w:noWrap/>
                  <w:vAlign w:val="center"/>
                </w:tcPr>
                <w:p w14:paraId="7EFE14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p>
              </w:tc>
              <w:tc>
                <w:tcPr>
                  <w:tcW w:w="1210" w:type="pct"/>
                  <w:noWrap/>
                  <w:vAlign w:val="center"/>
                </w:tcPr>
                <w:p w14:paraId="19AD42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毛刷清洗机</w:t>
                  </w:r>
                </w:p>
              </w:tc>
              <w:tc>
                <w:tcPr>
                  <w:tcW w:w="995" w:type="pct"/>
                  <w:noWrap/>
                  <w:vAlign w:val="center"/>
                </w:tcPr>
                <w:p w14:paraId="70EFCD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579" w:type="pct"/>
                  <w:noWrap/>
                  <w:vAlign w:val="center"/>
                </w:tcPr>
                <w:p w14:paraId="01CE71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台</w:t>
                  </w:r>
                </w:p>
              </w:tc>
              <w:tc>
                <w:tcPr>
                  <w:tcW w:w="719" w:type="pct"/>
                  <w:noWrap w:val="0"/>
                  <w:vAlign w:val="center"/>
                </w:tcPr>
                <w:p w14:paraId="677891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3</w:t>
                  </w:r>
                </w:p>
              </w:tc>
            </w:tr>
            <w:tr w14:paraId="3C2E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10C96FE0">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4</w:t>
                  </w:r>
                </w:p>
              </w:tc>
              <w:tc>
                <w:tcPr>
                  <w:tcW w:w="922" w:type="pct"/>
                  <w:vMerge w:val="continue"/>
                  <w:noWrap/>
                  <w:vAlign w:val="center"/>
                </w:tcPr>
                <w:p w14:paraId="147F7F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p>
              </w:tc>
              <w:tc>
                <w:tcPr>
                  <w:tcW w:w="1210" w:type="pct"/>
                  <w:noWrap/>
                  <w:vAlign w:val="center"/>
                </w:tcPr>
                <w:p w14:paraId="07C6D8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隔板提升机</w:t>
                  </w:r>
                </w:p>
              </w:tc>
              <w:tc>
                <w:tcPr>
                  <w:tcW w:w="995" w:type="pct"/>
                  <w:noWrap/>
                  <w:vAlign w:val="center"/>
                </w:tcPr>
                <w:p w14:paraId="42C707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579" w:type="pct"/>
                  <w:noWrap/>
                  <w:vAlign w:val="center"/>
                </w:tcPr>
                <w:p w14:paraId="10313B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台</w:t>
                  </w:r>
                </w:p>
              </w:tc>
              <w:tc>
                <w:tcPr>
                  <w:tcW w:w="719" w:type="pct"/>
                  <w:noWrap w:val="0"/>
                  <w:vAlign w:val="center"/>
                </w:tcPr>
                <w:p w14:paraId="58C63E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12</w:t>
                  </w:r>
                </w:p>
              </w:tc>
            </w:tr>
            <w:tr w14:paraId="5ECE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1CB3F991">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5</w:t>
                  </w:r>
                </w:p>
              </w:tc>
              <w:tc>
                <w:tcPr>
                  <w:tcW w:w="922" w:type="pct"/>
                  <w:vMerge w:val="continue"/>
                  <w:noWrap/>
                  <w:vAlign w:val="center"/>
                </w:tcPr>
                <w:p w14:paraId="3325BE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p>
              </w:tc>
              <w:tc>
                <w:tcPr>
                  <w:tcW w:w="1210" w:type="pct"/>
                  <w:noWrap/>
                  <w:vAlign w:val="center"/>
                </w:tcPr>
                <w:p w14:paraId="506C9E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皮带输送机</w:t>
                  </w:r>
                </w:p>
              </w:tc>
              <w:tc>
                <w:tcPr>
                  <w:tcW w:w="995" w:type="pct"/>
                  <w:noWrap/>
                  <w:vAlign w:val="center"/>
                </w:tcPr>
                <w:p w14:paraId="0EB4DC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10t/h</w:t>
                  </w:r>
                </w:p>
              </w:tc>
              <w:tc>
                <w:tcPr>
                  <w:tcW w:w="579" w:type="pct"/>
                  <w:noWrap/>
                  <w:vAlign w:val="center"/>
                </w:tcPr>
                <w:p w14:paraId="405F31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台</w:t>
                  </w:r>
                </w:p>
              </w:tc>
              <w:tc>
                <w:tcPr>
                  <w:tcW w:w="719" w:type="pct"/>
                  <w:noWrap w:val="0"/>
                  <w:vAlign w:val="center"/>
                </w:tcPr>
                <w:p w14:paraId="0059C1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9</w:t>
                  </w:r>
                </w:p>
              </w:tc>
            </w:tr>
            <w:tr w14:paraId="0597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2F4B34EA">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6</w:t>
                  </w:r>
                </w:p>
              </w:tc>
              <w:tc>
                <w:tcPr>
                  <w:tcW w:w="922" w:type="pct"/>
                  <w:vMerge w:val="continue"/>
                  <w:noWrap/>
                  <w:vAlign w:val="center"/>
                </w:tcPr>
                <w:p w14:paraId="49DD8A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p>
              </w:tc>
              <w:tc>
                <w:tcPr>
                  <w:tcW w:w="1210" w:type="pct"/>
                  <w:noWrap/>
                  <w:vAlign w:val="center"/>
                </w:tcPr>
                <w:p w14:paraId="3E557F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链板输送机</w:t>
                  </w:r>
                </w:p>
              </w:tc>
              <w:tc>
                <w:tcPr>
                  <w:tcW w:w="995" w:type="pct"/>
                  <w:noWrap/>
                  <w:vAlign w:val="center"/>
                </w:tcPr>
                <w:p w14:paraId="787672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5T/H</w:t>
                  </w:r>
                </w:p>
              </w:tc>
              <w:tc>
                <w:tcPr>
                  <w:tcW w:w="579" w:type="pct"/>
                  <w:noWrap/>
                  <w:vAlign w:val="center"/>
                </w:tcPr>
                <w:p w14:paraId="66A50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台</w:t>
                  </w:r>
                </w:p>
              </w:tc>
              <w:tc>
                <w:tcPr>
                  <w:tcW w:w="719" w:type="pct"/>
                  <w:noWrap w:val="0"/>
                  <w:vAlign w:val="center"/>
                </w:tcPr>
                <w:p w14:paraId="19D82F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3</w:t>
                  </w:r>
                </w:p>
              </w:tc>
            </w:tr>
            <w:tr w14:paraId="48C53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6220023C">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7</w:t>
                  </w:r>
                </w:p>
              </w:tc>
              <w:tc>
                <w:tcPr>
                  <w:tcW w:w="922" w:type="pct"/>
                  <w:vMerge w:val="continue"/>
                  <w:noWrap/>
                  <w:vAlign w:val="center"/>
                </w:tcPr>
                <w:p w14:paraId="7F4A08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p>
              </w:tc>
              <w:tc>
                <w:tcPr>
                  <w:tcW w:w="1210" w:type="pct"/>
                  <w:noWrap/>
                  <w:vAlign w:val="center"/>
                </w:tcPr>
                <w:p w14:paraId="654003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除核机</w:t>
                  </w:r>
                </w:p>
              </w:tc>
              <w:tc>
                <w:tcPr>
                  <w:tcW w:w="995" w:type="pct"/>
                  <w:noWrap/>
                  <w:vAlign w:val="center"/>
                </w:tcPr>
                <w:p w14:paraId="274832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4T/H</w:t>
                  </w:r>
                </w:p>
              </w:tc>
              <w:tc>
                <w:tcPr>
                  <w:tcW w:w="579" w:type="pct"/>
                  <w:noWrap/>
                  <w:vAlign w:val="center"/>
                </w:tcPr>
                <w:p w14:paraId="1E95E1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台</w:t>
                  </w:r>
                </w:p>
              </w:tc>
              <w:tc>
                <w:tcPr>
                  <w:tcW w:w="719" w:type="pct"/>
                  <w:noWrap w:val="0"/>
                  <w:vAlign w:val="center"/>
                </w:tcPr>
                <w:p w14:paraId="24B0D0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3</w:t>
                  </w:r>
                </w:p>
              </w:tc>
            </w:tr>
            <w:tr w14:paraId="3D7C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48BBC124">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8</w:t>
                  </w:r>
                </w:p>
              </w:tc>
              <w:tc>
                <w:tcPr>
                  <w:tcW w:w="922" w:type="pct"/>
                  <w:vMerge w:val="continue"/>
                  <w:noWrap/>
                  <w:vAlign w:val="center"/>
                </w:tcPr>
                <w:p w14:paraId="79C3CE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p>
              </w:tc>
              <w:tc>
                <w:tcPr>
                  <w:tcW w:w="1210" w:type="pct"/>
                  <w:noWrap/>
                  <w:vAlign w:val="center"/>
                </w:tcPr>
                <w:p w14:paraId="3607D8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出渣滑道</w:t>
                  </w:r>
                </w:p>
              </w:tc>
              <w:tc>
                <w:tcPr>
                  <w:tcW w:w="995" w:type="pct"/>
                  <w:noWrap/>
                  <w:vAlign w:val="center"/>
                </w:tcPr>
                <w:p w14:paraId="45E77B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1T/H</w:t>
                  </w:r>
                </w:p>
              </w:tc>
              <w:tc>
                <w:tcPr>
                  <w:tcW w:w="579" w:type="pct"/>
                  <w:noWrap/>
                  <w:vAlign w:val="center"/>
                </w:tcPr>
                <w:p w14:paraId="7C78F0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台</w:t>
                  </w:r>
                </w:p>
              </w:tc>
              <w:tc>
                <w:tcPr>
                  <w:tcW w:w="719" w:type="pct"/>
                  <w:noWrap w:val="0"/>
                  <w:vAlign w:val="center"/>
                </w:tcPr>
                <w:p w14:paraId="065E53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3</w:t>
                  </w:r>
                </w:p>
              </w:tc>
            </w:tr>
            <w:tr w14:paraId="6A53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6C380066">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9</w:t>
                  </w:r>
                </w:p>
              </w:tc>
              <w:tc>
                <w:tcPr>
                  <w:tcW w:w="922" w:type="pct"/>
                  <w:vMerge w:val="continue"/>
                  <w:noWrap/>
                  <w:vAlign w:val="center"/>
                </w:tcPr>
                <w:p w14:paraId="6BF4FE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p>
              </w:tc>
              <w:tc>
                <w:tcPr>
                  <w:tcW w:w="1210" w:type="pct"/>
                  <w:noWrap/>
                  <w:vAlign w:val="center"/>
                </w:tcPr>
                <w:p w14:paraId="14D056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进料分斗</w:t>
                  </w:r>
                </w:p>
              </w:tc>
              <w:tc>
                <w:tcPr>
                  <w:tcW w:w="995" w:type="pct"/>
                  <w:noWrap/>
                  <w:vAlign w:val="center"/>
                </w:tcPr>
                <w:p w14:paraId="6C7DD3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579" w:type="pct"/>
                  <w:noWrap/>
                  <w:vAlign w:val="center"/>
                </w:tcPr>
                <w:p w14:paraId="05B68F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台</w:t>
                  </w:r>
                </w:p>
              </w:tc>
              <w:tc>
                <w:tcPr>
                  <w:tcW w:w="719" w:type="pct"/>
                  <w:noWrap w:val="0"/>
                  <w:vAlign w:val="center"/>
                </w:tcPr>
                <w:p w14:paraId="19CA84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3</w:t>
                  </w:r>
                </w:p>
              </w:tc>
            </w:tr>
            <w:tr w14:paraId="43CD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30E2B6CB">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10</w:t>
                  </w:r>
                </w:p>
              </w:tc>
              <w:tc>
                <w:tcPr>
                  <w:tcW w:w="922" w:type="pct"/>
                  <w:vMerge w:val="restart"/>
                  <w:noWrap/>
                  <w:vAlign w:val="center"/>
                </w:tcPr>
                <w:p w14:paraId="25CDE2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洗核机、打浆、装入缓冲罐、冷却操作间</w:t>
                  </w:r>
                </w:p>
              </w:tc>
              <w:tc>
                <w:tcPr>
                  <w:tcW w:w="1210" w:type="pct"/>
                  <w:noWrap/>
                  <w:vAlign w:val="center"/>
                </w:tcPr>
                <w:p w14:paraId="00C839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洗核机</w:t>
                  </w:r>
                </w:p>
              </w:tc>
              <w:tc>
                <w:tcPr>
                  <w:tcW w:w="995" w:type="pct"/>
                  <w:noWrap/>
                  <w:vAlign w:val="center"/>
                </w:tcPr>
                <w:p w14:paraId="3EA372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w:t>
                  </w:r>
                </w:p>
              </w:tc>
              <w:tc>
                <w:tcPr>
                  <w:tcW w:w="579" w:type="pct"/>
                  <w:noWrap/>
                  <w:vAlign w:val="center"/>
                </w:tcPr>
                <w:p w14:paraId="57ECFA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台</w:t>
                  </w:r>
                </w:p>
              </w:tc>
              <w:tc>
                <w:tcPr>
                  <w:tcW w:w="719" w:type="pct"/>
                  <w:noWrap w:val="0"/>
                  <w:vAlign w:val="center"/>
                </w:tcPr>
                <w:p w14:paraId="4B6D55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3</w:t>
                  </w:r>
                </w:p>
              </w:tc>
            </w:tr>
            <w:tr w14:paraId="32DD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73" w:type="pct"/>
                  <w:noWrap w:val="0"/>
                  <w:vAlign w:val="center"/>
                </w:tcPr>
                <w:p w14:paraId="561006B9">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11</w:t>
                  </w:r>
                </w:p>
              </w:tc>
              <w:tc>
                <w:tcPr>
                  <w:tcW w:w="922" w:type="pct"/>
                  <w:vMerge w:val="continue"/>
                  <w:noWrap/>
                  <w:vAlign w:val="center"/>
                </w:tcPr>
                <w:p w14:paraId="30D0BC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p>
              </w:tc>
              <w:tc>
                <w:tcPr>
                  <w:tcW w:w="1210" w:type="pct"/>
                  <w:noWrap/>
                  <w:vAlign w:val="center"/>
                </w:tcPr>
                <w:p w14:paraId="4A4391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高速双道打浆机</w:t>
                  </w:r>
                </w:p>
              </w:tc>
              <w:tc>
                <w:tcPr>
                  <w:tcW w:w="995" w:type="pct"/>
                  <w:noWrap/>
                  <w:vAlign w:val="center"/>
                </w:tcPr>
                <w:p w14:paraId="5BF690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w:t>
                  </w:r>
                </w:p>
              </w:tc>
              <w:tc>
                <w:tcPr>
                  <w:tcW w:w="579" w:type="pct"/>
                  <w:noWrap/>
                  <w:vAlign w:val="center"/>
                </w:tcPr>
                <w:p w14:paraId="5E7F80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套</w:t>
                  </w:r>
                </w:p>
              </w:tc>
              <w:tc>
                <w:tcPr>
                  <w:tcW w:w="719" w:type="pct"/>
                  <w:noWrap w:val="0"/>
                  <w:vAlign w:val="center"/>
                </w:tcPr>
                <w:p w14:paraId="09626C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1</w:t>
                  </w:r>
                </w:p>
              </w:tc>
            </w:tr>
            <w:tr w14:paraId="2F75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56B0987F">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12</w:t>
                  </w:r>
                </w:p>
              </w:tc>
              <w:tc>
                <w:tcPr>
                  <w:tcW w:w="922" w:type="pct"/>
                  <w:vMerge w:val="continue"/>
                  <w:noWrap/>
                  <w:vAlign w:val="center"/>
                </w:tcPr>
                <w:p w14:paraId="3348FC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p>
              </w:tc>
              <w:tc>
                <w:tcPr>
                  <w:tcW w:w="1210" w:type="pct"/>
                  <w:noWrap/>
                  <w:vAlign w:val="center"/>
                </w:tcPr>
                <w:p w14:paraId="1A765B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打浆平台</w:t>
                  </w:r>
                </w:p>
              </w:tc>
              <w:tc>
                <w:tcPr>
                  <w:tcW w:w="995" w:type="pct"/>
                  <w:noWrap/>
                  <w:vAlign w:val="center"/>
                </w:tcPr>
                <w:p w14:paraId="42C878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w:t>
                  </w:r>
                </w:p>
              </w:tc>
              <w:tc>
                <w:tcPr>
                  <w:tcW w:w="579" w:type="pct"/>
                  <w:noWrap/>
                  <w:vAlign w:val="center"/>
                </w:tcPr>
                <w:p w14:paraId="63E9AA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套</w:t>
                  </w:r>
                </w:p>
              </w:tc>
              <w:tc>
                <w:tcPr>
                  <w:tcW w:w="719" w:type="pct"/>
                  <w:noWrap w:val="0"/>
                  <w:vAlign w:val="center"/>
                </w:tcPr>
                <w:p w14:paraId="484D35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1</w:t>
                  </w:r>
                </w:p>
              </w:tc>
            </w:tr>
            <w:tr w14:paraId="3939D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58F839E7">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13</w:t>
                  </w:r>
                </w:p>
              </w:tc>
              <w:tc>
                <w:tcPr>
                  <w:tcW w:w="922" w:type="pct"/>
                  <w:vMerge w:val="continue"/>
                  <w:noWrap/>
                  <w:vAlign w:val="center"/>
                </w:tcPr>
                <w:p w14:paraId="311CDA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p>
              </w:tc>
              <w:tc>
                <w:tcPr>
                  <w:tcW w:w="1210" w:type="pct"/>
                  <w:noWrap/>
                  <w:vAlign w:val="center"/>
                </w:tcPr>
                <w:p w14:paraId="164300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双道打浆机</w:t>
                  </w:r>
                </w:p>
              </w:tc>
              <w:tc>
                <w:tcPr>
                  <w:tcW w:w="995" w:type="pct"/>
                  <w:noWrap/>
                  <w:vAlign w:val="center"/>
                </w:tcPr>
                <w:p w14:paraId="479122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6-8T/H</w:t>
                  </w:r>
                </w:p>
              </w:tc>
              <w:tc>
                <w:tcPr>
                  <w:tcW w:w="579" w:type="pct"/>
                  <w:noWrap/>
                  <w:vAlign w:val="center"/>
                </w:tcPr>
                <w:p w14:paraId="1561ED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套</w:t>
                  </w:r>
                </w:p>
              </w:tc>
              <w:tc>
                <w:tcPr>
                  <w:tcW w:w="719" w:type="pct"/>
                  <w:noWrap w:val="0"/>
                  <w:vAlign w:val="center"/>
                </w:tcPr>
                <w:p w14:paraId="160E9E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w:t>
                  </w:r>
                </w:p>
              </w:tc>
            </w:tr>
            <w:tr w14:paraId="13D5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703809B6">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14</w:t>
                  </w:r>
                </w:p>
              </w:tc>
              <w:tc>
                <w:tcPr>
                  <w:tcW w:w="922" w:type="pct"/>
                  <w:vMerge w:val="continue"/>
                  <w:noWrap/>
                  <w:vAlign w:val="center"/>
                </w:tcPr>
                <w:p w14:paraId="7086BF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p>
              </w:tc>
              <w:tc>
                <w:tcPr>
                  <w:tcW w:w="1210" w:type="pct"/>
                  <w:noWrap/>
                  <w:vAlign w:val="center"/>
                </w:tcPr>
                <w:p w14:paraId="3D1A0C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螺旋输送机</w:t>
                  </w:r>
                </w:p>
              </w:tc>
              <w:tc>
                <w:tcPr>
                  <w:tcW w:w="995" w:type="pct"/>
                  <w:noWrap/>
                  <w:vAlign w:val="center"/>
                </w:tcPr>
                <w:p w14:paraId="57A1E3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579" w:type="pct"/>
                  <w:noWrap/>
                  <w:vAlign w:val="center"/>
                </w:tcPr>
                <w:p w14:paraId="63F723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套</w:t>
                  </w:r>
                </w:p>
              </w:tc>
              <w:tc>
                <w:tcPr>
                  <w:tcW w:w="719" w:type="pct"/>
                  <w:noWrap w:val="0"/>
                  <w:vAlign w:val="center"/>
                </w:tcPr>
                <w:p w14:paraId="0500A9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2</w:t>
                  </w:r>
                </w:p>
              </w:tc>
            </w:tr>
            <w:tr w14:paraId="71E7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07F47BBC">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15</w:t>
                  </w:r>
                </w:p>
              </w:tc>
              <w:tc>
                <w:tcPr>
                  <w:tcW w:w="922" w:type="pct"/>
                  <w:vMerge w:val="continue"/>
                  <w:noWrap/>
                  <w:vAlign w:val="center"/>
                </w:tcPr>
                <w:p w14:paraId="3E47C1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p>
              </w:tc>
              <w:tc>
                <w:tcPr>
                  <w:tcW w:w="1210" w:type="pct"/>
                  <w:noWrap/>
                  <w:vAlign w:val="center"/>
                </w:tcPr>
                <w:p w14:paraId="671832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缓冲罐</w:t>
                  </w:r>
                </w:p>
              </w:tc>
              <w:tc>
                <w:tcPr>
                  <w:tcW w:w="995" w:type="pct"/>
                  <w:noWrap/>
                  <w:vAlign w:val="center"/>
                </w:tcPr>
                <w:p w14:paraId="4F2710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1000L</w:t>
                  </w:r>
                </w:p>
              </w:tc>
              <w:tc>
                <w:tcPr>
                  <w:tcW w:w="579" w:type="pct"/>
                  <w:noWrap/>
                  <w:vAlign w:val="center"/>
                </w:tcPr>
                <w:p w14:paraId="2D40F4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个</w:t>
                  </w:r>
                </w:p>
              </w:tc>
              <w:tc>
                <w:tcPr>
                  <w:tcW w:w="719" w:type="pct"/>
                  <w:noWrap w:val="0"/>
                  <w:vAlign w:val="center"/>
                </w:tcPr>
                <w:p w14:paraId="4A9C04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4</w:t>
                  </w:r>
                </w:p>
              </w:tc>
            </w:tr>
            <w:tr w14:paraId="0B87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7BF5584D">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16</w:t>
                  </w:r>
                </w:p>
              </w:tc>
              <w:tc>
                <w:tcPr>
                  <w:tcW w:w="922" w:type="pct"/>
                  <w:vMerge w:val="continue"/>
                  <w:noWrap/>
                  <w:vAlign w:val="center"/>
                </w:tcPr>
                <w:p w14:paraId="20F291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p>
              </w:tc>
              <w:tc>
                <w:tcPr>
                  <w:tcW w:w="1210" w:type="pct"/>
                  <w:noWrap/>
                  <w:vAlign w:val="center"/>
                </w:tcPr>
                <w:p w14:paraId="6BF442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管式冷却器</w:t>
                  </w:r>
                </w:p>
              </w:tc>
              <w:tc>
                <w:tcPr>
                  <w:tcW w:w="995" w:type="pct"/>
                  <w:noWrap/>
                  <w:vAlign w:val="center"/>
                </w:tcPr>
                <w:p w14:paraId="667724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579" w:type="pct"/>
                  <w:noWrap/>
                  <w:vAlign w:val="center"/>
                </w:tcPr>
                <w:p w14:paraId="2336EB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套</w:t>
                  </w:r>
                </w:p>
              </w:tc>
              <w:tc>
                <w:tcPr>
                  <w:tcW w:w="719" w:type="pct"/>
                  <w:noWrap w:val="0"/>
                  <w:vAlign w:val="center"/>
                </w:tcPr>
                <w:p w14:paraId="6E45C1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w:t>
                  </w:r>
                </w:p>
              </w:tc>
            </w:tr>
            <w:tr w14:paraId="0FEF5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59008317">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17</w:t>
                  </w:r>
                </w:p>
              </w:tc>
              <w:tc>
                <w:tcPr>
                  <w:tcW w:w="922" w:type="pct"/>
                  <w:vMerge w:val="continue"/>
                  <w:noWrap w:val="0"/>
                  <w:vAlign w:val="center"/>
                </w:tcPr>
                <w:p w14:paraId="7DFC6A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p>
              </w:tc>
              <w:tc>
                <w:tcPr>
                  <w:tcW w:w="1210" w:type="pct"/>
                  <w:noWrap w:val="0"/>
                  <w:vAlign w:val="center"/>
                </w:tcPr>
                <w:p w14:paraId="516D4C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配料罐</w:t>
                  </w:r>
                </w:p>
              </w:tc>
              <w:tc>
                <w:tcPr>
                  <w:tcW w:w="995" w:type="pct"/>
                  <w:noWrap w:val="0"/>
                  <w:vAlign w:val="center"/>
                </w:tcPr>
                <w:p w14:paraId="45E399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8000L</w:t>
                  </w:r>
                </w:p>
              </w:tc>
              <w:tc>
                <w:tcPr>
                  <w:tcW w:w="579" w:type="pct"/>
                  <w:noWrap w:val="0"/>
                  <w:vAlign w:val="center"/>
                </w:tcPr>
                <w:p w14:paraId="5EF7C7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个</w:t>
                  </w:r>
                </w:p>
              </w:tc>
              <w:tc>
                <w:tcPr>
                  <w:tcW w:w="719" w:type="pct"/>
                  <w:noWrap w:val="0"/>
                  <w:vAlign w:val="center"/>
                </w:tcPr>
                <w:p w14:paraId="3C7EC0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6</w:t>
                  </w:r>
                </w:p>
              </w:tc>
            </w:tr>
            <w:tr w14:paraId="1573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6EE4D077">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18</w:t>
                  </w:r>
                </w:p>
              </w:tc>
              <w:tc>
                <w:tcPr>
                  <w:tcW w:w="922" w:type="pct"/>
                  <w:vMerge w:val="continue"/>
                  <w:noWrap w:val="0"/>
                  <w:vAlign w:val="center"/>
                </w:tcPr>
                <w:p w14:paraId="6432A8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p>
              </w:tc>
              <w:tc>
                <w:tcPr>
                  <w:tcW w:w="1210" w:type="pct"/>
                  <w:noWrap w:val="0"/>
                  <w:vAlign w:val="center"/>
                </w:tcPr>
                <w:p w14:paraId="7F4A90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调配单元电柜</w:t>
                  </w:r>
                </w:p>
              </w:tc>
              <w:tc>
                <w:tcPr>
                  <w:tcW w:w="995" w:type="pct"/>
                  <w:noWrap w:val="0"/>
                  <w:vAlign w:val="center"/>
                </w:tcPr>
                <w:p w14:paraId="165672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579" w:type="pct"/>
                  <w:noWrap w:val="0"/>
                  <w:vAlign w:val="center"/>
                </w:tcPr>
                <w:p w14:paraId="4578C4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台</w:t>
                  </w:r>
                </w:p>
              </w:tc>
              <w:tc>
                <w:tcPr>
                  <w:tcW w:w="719" w:type="pct"/>
                  <w:noWrap w:val="0"/>
                  <w:vAlign w:val="center"/>
                </w:tcPr>
                <w:p w14:paraId="5434B4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w:t>
                  </w:r>
                </w:p>
              </w:tc>
            </w:tr>
            <w:tr w14:paraId="6629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28BB1F89">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19</w:t>
                  </w:r>
                </w:p>
              </w:tc>
              <w:tc>
                <w:tcPr>
                  <w:tcW w:w="922" w:type="pct"/>
                  <w:vMerge w:val="continue"/>
                  <w:noWrap w:val="0"/>
                  <w:vAlign w:val="center"/>
                </w:tcPr>
                <w:p w14:paraId="09523B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p>
              </w:tc>
              <w:tc>
                <w:tcPr>
                  <w:tcW w:w="1210" w:type="pct"/>
                  <w:noWrap w:val="0"/>
                  <w:vAlign w:val="center"/>
                </w:tcPr>
                <w:p w14:paraId="5A213B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调料平台</w:t>
                  </w:r>
                </w:p>
              </w:tc>
              <w:tc>
                <w:tcPr>
                  <w:tcW w:w="995" w:type="pct"/>
                  <w:noWrap w:val="0"/>
                  <w:vAlign w:val="center"/>
                </w:tcPr>
                <w:p w14:paraId="41E6F3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579" w:type="pct"/>
                  <w:noWrap w:val="0"/>
                  <w:vAlign w:val="center"/>
                </w:tcPr>
                <w:p w14:paraId="234153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套</w:t>
                  </w:r>
                </w:p>
              </w:tc>
              <w:tc>
                <w:tcPr>
                  <w:tcW w:w="719" w:type="pct"/>
                  <w:noWrap w:val="0"/>
                  <w:vAlign w:val="center"/>
                </w:tcPr>
                <w:p w14:paraId="3A87FE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w:t>
                  </w:r>
                </w:p>
              </w:tc>
            </w:tr>
            <w:tr w14:paraId="65B1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69FA785C">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20</w:t>
                  </w:r>
                </w:p>
              </w:tc>
              <w:tc>
                <w:tcPr>
                  <w:tcW w:w="922" w:type="pct"/>
                  <w:vMerge w:val="continue"/>
                  <w:noWrap w:val="0"/>
                  <w:vAlign w:val="center"/>
                </w:tcPr>
                <w:p w14:paraId="649685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p>
              </w:tc>
              <w:tc>
                <w:tcPr>
                  <w:tcW w:w="1210" w:type="pct"/>
                  <w:noWrap w:val="0"/>
                  <w:vAlign w:val="center"/>
                </w:tcPr>
                <w:p w14:paraId="5DA20C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杀菌机</w:t>
                  </w:r>
                </w:p>
              </w:tc>
              <w:tc>
                <w:tcPr>
                  <w:tcW w:w="995" w:type="pct"/>
                  <w:noWrap w:val="0"/>
                  <w:vAlign w:val="center"/>
                </w:tcPr>
                <w:p w14:paraId="4245DC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579" w:type="pct"/>
                  <w:noWrap w:val="0"/>
                  <w:vAlign w:val="center"/>
                </w:tcPr>
                <w:p w14:paraId="25BCC9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台</w:t>
                  </w:r>
                </w:p>
              </w:tc>
              <w:tc>
                <w:tcPr>
                  <w:tcW w:w="719" w:type="pct"/>
                  <w:noWrap w:val="0"/>
                  <w:vAlign w:val="center"/>
                </w:tcPr>
                <w:p w14:paraId="602E2A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w:t>
                  </w:r>
                </w:p>
              </w:tc>
            </w:tr>
            <w:tr w14:paraId="5D03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73" w:type="pct"/>
                  <w:noWrap w:val="0"/>
                  <w:vAlign w:val="center"/>
                </w:tcPr>
                <w:p w14:paraId="138511AE">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21</w:t>
                  </w:r>
                </w:p>
              </w:tc>
              <w:tc>
                <w:tcPr>
                  <w:tcW w:w="922" w:type="pct"/>
                  <w:vMerge w:val="continue"/>
                  <w:noWrap w:val="0"/>
                  <w:vAlign w:val="center"/>
                </w:tcPr>
                <w:p w14:paraId="3EB101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p>
              </w:tc>
              <w:tc>
                <w:tcPr>
                  <w:tcW w:w="1210" w:type="pct"/>
                  <w:noWrap w:val="0"/>
                  <w:vAlign w:val="center"/>
                </w:tcPr>
                <w:p w14:paraId="007521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芒果去皮、去核机</w:t>
                  </w:r>
                </w:p>
              </w:tc>
              <w:tc>
                <w:tcPr>
                  <w:tcW w:w="995" w:type="pct"/>
                  <w:noWrap w:val="0"/>
                  <w:vAlign w:val="center"/>
                </w:tcPr>
                <w:p w14:paraId="291426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4T/H</w:t>
                  </w:r>
                </w:p>
              </w:tc>
              <w:tc>
                <w:tcPr>
                  <w:tcW w:w="579" w:type="pct"/>
                  <w:noWrap w:val="0"/>
                  <w:vAlign w:val="center"/>
                </w:tcPr>
                <w:p w14:paraId="6E5FCF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台</w:t>
                  </w:r>
                </w:p>
              </w:tc>
              <w:tc>
                <w:tcPr>
                  <w:tcW w:w="719" w:type="pct"/>
                  <w:noWrap w:val="0"/>
                  <w:vAlign w:val="center"/>
                </w:tcPr>
                <w:p w14:paraId="4ACF3F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3</w:t>
                  </w:r>
                </w:p>
              </w:tc>
            </w:tr>
            <w:tr w14:paraId="52F8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10167019">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22</w:t>
                  </w:r>
                </w:p>
              </w:tc>
              <w:tc>
                <w:tcPr>
                  <w:tcW w:w="922" w:type="pct"/>
                  <w:vMerge w:val="continue"/>
                  <w:noWrap w:val="0"/>
                  <w:vAlign w:val="center"/>
                </w:tcPr>
                <w:p w14:paraId="0D89A8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p>
              </w:tc>
              <w:tc>
                <w:tcPr>
                  <w:tcW w:w="1210" w:type="pct"/>
                  <w:noWrap w:val="0"/>
                  <w:vAlign w:val="center"/>
                </w:tcPr>
                <w:p w14:paraId="73EF99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磁性过滤器</w:t>
                  </w:r>
                </w:p>
              </w:tc>
              <w:tc>
                <w:tcPr>
                  <w:tcW w:w="995" w:type="pct"/>
                  <w:noWrap w:val="0"/>
                  <w:vAlign w:val="center"/>
                </w:tcPr>
                <w:p w14:paraId="6B006A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15T/H</w:t>
                  </w:r>
                </w:p>
              </w:tc>
              <w:tc>
                <w:tcPr>
                  <w:tcW w:w="579" w:type="pct"/>
                  <w:noWrap w:val="0"/>
                  <w:vAlign w:val="center"/>
                </w:tcPr>
                <w:p w14:paraId="361B2C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台</w:t>
                  </w:r>
                </w:p>
              </w:tc>
              <w:tc>
                <w:tcPr>
                  <w:tcW w:w="719" w:type="pct"/>
                  <w:noWrap w:val="0"/>
                  <w:vAlign w:val="center"/>
                </w:tcPr>
                <w:p w14:paraId="7F492E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w:t>
                  </w:r>
                </w:p>
              </w:tc>
            </w:tr>
            <w:tr w14:paraId="4FC6B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33AFB588">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23</w:t>
                  </w:r>
                </w:p>
              </w:tc>
              <w:tc>
                <w:tcPr>
                  <w:tcW w:w="922" w:type="pct"/>
                  <w:noWrap w:val="0"/>
                  <w:vAlign w:val="center"/>
                </w:tcPr>
                <w:p w14:paraId="419B4F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CIP间</w:t>
                  </w:r>
                </w:p>
              </w:tc>
              <w:tc>
                <w:tcPr>
                  <w:tcW w:w="1210" w:type="pct"/>
                  <w:noWrap w:val="0"/>
                  <w:vAlign w:val="center"/>
                </w:tcPr>
                <w:p w14:paraId="33350F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清洗系统</w:t>
                  </w:r>
                </w:p>
              </w:tc>
              <w:tc>
                <w:tcPr>
                  <w:tcW w:w="995" w:type="pct"/>
                  <w:noWrap w:val="0"/>
                  <w:vAlign w:val="center"/>
                </w:tcPr>
                <w:p w14:paraId="3D0D22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579" w:type="pct"/>
                  <w:noWrap w:val="0"/>
                  <w:vAlign w:val="center"/>
                </w:tcPr>
                <w:p w14:paraId="5D201B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套</w:t>
                  </w:r>
                </w:p>
              </w:tc>
              <w:tc>
                <w:tcPr>
                  <w:tcW w:w="719" w:type="pct"/>
                  <w:noWrap w:val="0"/>
                  <w:vAlign w:val="center"/>
                </w:tcPr>
                <w:p w14:paraId="67F503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w:t>
                  </w:r>
                </w:p>
              </w:tc>
            </w:tr>
            <w:tr w14:paraId="627D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573" w:type="pct"/>
                  <w:noWrap w:val="0"/>
                  <w:vAlign w:val="center"/>
                </w:tcPr>
                <w:p w14:paraId="3B0EB016">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24</w:t>
                  </w:r>
                </w:p>
              </w:tc>
              <w:tc>
                <w:tcPr>
                  <w:tcW w:w="922" w:type="pct"/>
                  <w:noWrap w:val="0"/>
                  <w:vAlign w:val="center"/>
                </w:tcPr>
                <w:p w14:paraId="7DE7F3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水处理车间</w:t>
                  </w:r>
                </w:p>
              </w:tc>
              <w:tc>
                <w:tcPr>
                  <w:tcW w:w="1210" w:type="pct"/>
                  <w:noWrap w:val="0"/>
                  <w:vAlign w:val="center"/>
                </w:tcPr>
                <w:p w14:paraId="2C0801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纯水制备系统</w:t>
                  </w:r>
                </w:p>
              </w:tc>
              <w:tc>
                <w:tcPr>
                  <w:tcW w:w="995" w:type="pct"/>
                  <w:noWrap w:val="0"/>
                  <w:vAlign w:val="center"/>
                </w:tcPr>
                <w:p w14:paraId="6B6385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10t/h</w:t>
                  </w:r>
                </w:p>
              </w:tc>
              <w:tc>
                <w:tcPr>
                  <w:tcW w:w="579" w:type="pct"/>
                  <w:noWrap w:val="0"/>
                  <w:vAlign w:val="center"/>
                </w:tcPr>
                <w:p w14:paraId="444BA5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套</w:t>
                  </w:r>
                </w:p>
              </w:tc>
              <w:tc>
                <w:tcPr>
                  <w:tcW w:w="719" w:type="pct"/>
                  <w:noWrap w:val="0"/>
                  <w:vAlign w:val="center"/>
                </w:tcPr>
                <w:p w14:paraId="57908B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w:t>
                  </w:r>
                </w:p>
              </w:tc>
            </w:tr>
            <w:tr w14:paraId="35B7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2DB56058">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25</w:t>
                  </w:r>
                </w:p>
              </w:tc>
              <w:tc>
                <w:tcPr>
                  <w:tcW w:w="922" w:type="pct"/>
                  <w:vMerge w:val="restart"/>
                  <w:noWrap w:val="0"/>
                  <w:vAlign w:val="center"/>
                </w:tcPr>
                <w:p w14:paraId="70784D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速冻车间</w:t>
                  </w:r>
                </w:p>
              </w:tc>
              <w:tc>
                <w:tcPr>
                  <w:tcW w:w="1210" w:type="pct"/>
                  <w:noWrap w:val="0"/>
                  <w:vAlign w:val="center"/>
                </w:tcPr>
                <w:p w14:paraId="0B7232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空压机</w:t>
                  </w:r>
                </w:p>
              </w:tc>
              <w:tc>
                <w:tcPr>
                  <w:tcW w:w="995" w:type="pct"/>
                  <w:noWrap w:val="0"/>
                  <w:vAlign w:val="center"/>
                </w:tcPr>
                <w:p w14:paraId="435144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579" w:type="pct"/>
                  <w:noWrap w:val="0"/>
                  <w:vAlign w:val="center"/>
                </w:tcPr>
                <w:p w14:paraId="1ADD61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套</w:t>
                  </w:r>
                </w:p>
              </w:tc>
              <w:tc>
                <w:tcPr>
                  <w:tcW w:w="719" w:type="pct"/>
                  <w:noWrap w:val="0"/>
                  <w:vAlign w:val="center"/>
                </w:tcPr>
                <w:p w14:paraId="17886F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w:t>
                  </w:r>
                </w:p>
              </w:tc>
            </w:tr>
            <w:tr w14:paraId="55EA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15F52ACF">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26</w:t>
                  </w:r>
                </w:p>
              </w:tc>
              <w:tc>
                <w:tcPr>
                  <w:tcW w:w="922" w:type="pct"/>
                  <w:vMerge w:val="continue"/>
                  <w:noWrap w:val="0"/>
                  <w:vAlign w:val="center"/>
                </w:tcPr>
                <w:p w14:paraId="09166F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p>
              </w:tc>
              <w:tc>
                <w:tcPr>
                  <w:tcW w:w="1210" w:type="pct"/>
                  <w:noWrap w:val="0"/>
                  <w:vAlign w:val="center"/>
                </w:tcPr>
                <w:p w14:paraId="5B46F0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速冻系统</w:t>
                  </w:r>
                </w:p>
              </w:tc>
              <w:tc>
                <w:tcPr>
                  <w:tcW w:w="995" w:type="pct"/>
                  <w:noWrap w:val="0"/>
                  <w:vAlign w:val="center"/>
                </w:tcPr>
                <w:p w14:paraId="7D3C9B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579" w:type="pct"/>
                  <w:noWrap w:val="0"/>
                  <w:vAlign w:val="center"/>
                </w:tcPr>
                <w:p w14:paraId="094D85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间</w:t>
                  </w:r>
                </w:p>
              </w:tc>
              <w:tc>
                <w:tcPr>
                  <w:tcW w:w="719" w:type="pct"/>
                  <w:noWrap w:val="0"/>
                  <w:vAlign w:val="center"/>
                </w:tcPr>
                <w:p w14:paraId="627CEB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5</w:t>
                  </w:r>
                </w:p>
              </w:tc>
            </w:tr>
            <w:tr w14:paraId="40FD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1A1F119C">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27</w:t>
                  </w:r>
                </w:p>
              </w:tc>
              <w:tc>
                <w:tcPr>
                  <w:tcW w:w="922" w:type="pct"/>
                  <w:vMerge w:val="continue"/>
                  <w:noWrap w:val="0"/>
                  <w:vAlign w:val="center"/>
                </w:tcPr>
                <w:p w14:paraId="189EF1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21"/>
                      <w:highlight w:val="none"/>
                    </w:rPr>
                  </w:pPr>
                </w:p>
              </w:tc>
              <w:tc>
                <w:tcPr>
                  <w:tcW w:w="1210" w:type="pct"/>
                  <w:noWrap w:val="0"/>
                  <w:vAlign w:val="center"/>
                </w:tcPr>
                <w:p w14:paraId="0B3C27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压缩机</w:t>
                  </w:r>
                </w:p>
              </w:tc>
              <w:tc>
                <w:tcPr>
                  <w:tcW w:w="995" w:type="pct"/>
                  <w:noWrap w:val="0"/>
                  <w:vAlign w:val="center"/>
                </w:tcPr>
                <w:p w14:paraId="3EEC22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579" w:type="pct"/>
                  <w:noWrap w:val="0"/>
                  <w:vAlign w:val="center"/>
                </w:tcPr>
                <w:p w14:paraId="49F489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台</w:t>
                  </w:r>
                </w:p>
              </w:tc>
              <w:tc>
                <w:tcPr>
                  <w:tcW w:w="719" w:type="pct"/>
                  <w:noWrap w:val="0"/>
                  <w:vAlign w:val="center"/>
                </w:tcPr>
                <w:p w14:paraId="4511A5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4</w:t>
                  </w:r>
                </w:p>
              </w:tc>
            </w:tr>
            <w:tr w14:paraId="05D8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3" w:type="pct"/>
                  <w:noWrap w:val="0"/>
                  <w:vAlign w:val="center"/>
                </w:tcPr>
                <w:p w14:paraId="77F23342">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28</w:t>
                  </w:r>
                </w:p>
              </w:tc>
              <w:tc>
                <w:tcPr>
                  <w:tcW w:w="922" w:type="pct"/>
                  <w:noWrap w:val="0"/>
                  <w:vAlign w:val="center"/>
                </w:tcPr>
                <w:p w14:paraId="52DB72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21"/>
                      <w:highlight w:val="none"/>
                    </w:rPr>
                  </w:pPr>
                  <w:r>
                    <w:rPr>
                      <w:rFonts w:ascii="Times New Roman" w:hAnsi="Times New Roman"/>
                      <w:color w:val="auto"/>
                      <w:sz w:val="21"/>
                      <w:szCs w:val="21"/>
                      <w:highlight w:val="none"/>
                    </w:rPr>
                    <w:t>灌装间</w:t>
                  </w:r>
                </w:p>
              </w:tc>
              <w:tc>
                <w:tcPr>
                  <w:tcW w:w="1210" w:type="pct"/>
                  <w:noWrap w:val="0"/>
                  <w:vAlign w:val="center"/>
                </w:tcPr>
                <w:p w14:paraId="41880C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离心泵</w:t>
                  </w:r>
                </w:p>
              </w:tc>
              <w:tc>
                <w:tcPr>
                  <w:tcW w:w="995" w:type="pct"/>
                  <w:noWrap w:val="0"/>
                  <w:vAlign w:val="center"/>
                </w:tcPr>
                <w:p w14:paraId="06E238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579" w:type="pct"/>
                  <w:noWrap w:val="0"/>
                  <w:vAlign w:val="center"/>
                </w:tcPr>
                <w:p w14:paraId="0F34C5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台</w:t>
                  </w:r>
                </w:p>
              </w:tc>
              <w:tc>
                <w:tcPr>
                  <w:tcW w:w="719" w:type="pct"/>
                  <w:noWrap w:val="0"/>
                  <w:vAlign w:val="center"/>
                </w:tcPr>
                <w:p w14:paraId="22BB59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1</w:t>
                  </w:r>
                </w:p>
              </w:tc>
            </w:tr>
            <w:tr w14:paraId="04A3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573" w:type="pct"/>
                  <w:noWrap w:val="0"/>
                  <w:vAlign w:val="center"/>
                </w:tcPr>
                <w:p w14:paraId="394CD8AA">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29</w:t>
                  </w:r>
                </w:p>
              </w:tc>
              <w:tc>
                <w:tcPr>
                  <w:tcW w:w="922" w:type="pct"/>
                  <w:noWrap w:val="0"/>
                  <w:vAlign w:val="center"/>
                </w:tcPr>
                <w:p w14:paraId="642A51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锅炉房</w:t>
                  </w:r>
                </w:p>
              </w:tc>
              <w:tc>
                <w:tcPr>
                  <w:tcW w:w="1210" w:type="pct"/>
                  <w:noWrap w:val="0"/>
                  <w:vAlign w:val="center"/>
                </w:tcPr>
                <w:p w14:paraId="7FE11B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生物质锅炉</w:t>
                  </w:r>
                </w:p>
              </w:tc>
              <w:tc>
                <w:tcPr>
                  <w:tcW w:w="995" w:type="pct"/>
                  <w:noWrap w:val="0"/>
                  <w:vAlign w:val="center"/>
                </w:tcPr>
                <w:p w14:paraId="5E061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型号：Y5-48-6.3C，全压：5441Pa，功率：2-185KW</w:t>
                  </w:r>
                </w:p>
              </w:tc>
              <w:tc>
                <w:tcPr>
                  <w:tcW w:w="579" w:type="pct"/>
                  <w:noWrap w:val="0"/>
                  <w:vAlign w:val="center"/>
                </w:tcPr>
                <w:p w14:paraId="06DA1E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台</w:t>
                  </w:r>
                </w:p>
              </w:tc>
              <w:tc>
                <w:tcPr>
                  <w:tcW w:w="719" w:type="pct"/>
                  <w:noWrap w:val="0"/>
                  <w:vAlign w:val="center"/>
                </w:tcPr>
                <w:p w14:paraId="6F3644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w:t>
                  </w:r>
                </w:p>
              </w:tc>
            </w:tr>
          </w:tbl>
          <w:p w14:paraId="60D08FFE">
            <w:pPr>
              <w:adjustRightInd w:val="0"/>
              <w:snapToGrid w:val="0"/>
              <w:spacing w:line="240" w:lineRule="auto"/>
              <w:jc w:val="center"/>
              <w:rPr>
                <w:rFonts w:ascii="Times New Roman" w:hAnsi="Times New Roman"/>
                <w:b/>
                <w:bCs/>
                <w:color w:val="auto"/>
                <w:sz w:val="21"/>
                <w:szCs w:val="21"/>
                <w:highlight w:val="none"/>
              </w:rPr>
            </w:pPr>
          </w:p>
          <w:p w14:paraId="410E881C">
            <w:pPr>
              <w:adjustRightInd w:val="0"/>
              <w:snapToGrid w:val="0"/>
              <w:spacing w:line="240" w:lineRule="auto"/>
              <w:jc w:val="center"/>
              <w:rPr>
                <w:rFonts w:hint="eastAsia"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rPr>
              <w:t>表2-</w:t>
            </w:r>
            <w:r>
              <w:rPr>
                <w:rFonts w:hint="eastAsia"/>
                <w:b/>
                <w:bCs/>
                <w:color w:val="auto"/>
                <w:sz w:val="21"/>
                <w:szCs w:val="21"/>
                <w:highlight w:val="none"/>
                <w:lang w:val="en-US" w:eastAsia="zh-CN"/>
              </w:rPr>
              <w:t>19</w:t>
            </w:r>
            <w:r>
              <w:rPr>
                <w:rFonts w:hint="eastAsia" w:ascii="Times New Roman" w:hAnsi="Times New Roman"/>
                <w:b/>
                <w:bCs/>
                <w:color w:val="auto"/>
                <w:sz w:val="21"/>
                <w:szCs w:val="21"/>
                <w:highlight w:val="none"/>
                <w:lang w:val="en-US" w:eastAsia="zh-CN"/>
              </w:rPr>
              <w:t xml:space="preserve">  </w:t>
            </w:r>
            <w:r>
              <w:rPr>
                <w:rFonts w:hint="eastAsia"/>
                <w:b/>
                <w:bCs/>
                <w:color w:val="auto"/>
                <w:sz w:val="21"/>
                <w:szCs w:val="21"/>
                <w:highlight w:val="none"/>
                <w:lang w:val="en-US" w:eastAsia="zh-CN"/>
              </w:rPr>
              <w:t>现有项目</w:t>
            </w:r>
            <w:r>
              <w:rPr>
                <w:rFonts w:ascii="Times New Roman" w:hAnsi="Times New Roman"/>
                <w:b/>
                <w:bCs/>
                <w:color w:val="auto"/>
                <w:sz w:val="21"/>
                <w:szCs w:val="21"/>
                <w:highlight w:val="none"/>
              </w:rPr>
              <w:t>实验室设备表</w:t>
            </w:r>
          </w:p>
          <w:tbl>
            <w:tblPr>
              <w:tblStyle w:val="22"/>
              <w:tblW w:w="7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3656"/>
              <w:gridCol w:w="2266"/>
            </w:tblGrid>
            <w:tr w14:paraId="1EB1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3633446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序号</w:t>
                  </w:r>
                </w:p>
              </w:tc>
              <w:tc>
                <w:tcPr>
                  <w:tcW w:w="2308" w:type="pct"/>
                  <w:tcBorders>
                    <w:bottom w:val="single" w:color="auto" w:sz="4" w:space="0"/>
                  </w:tcBorders>
                  <w:noWrap w:val="0"/>
                  <w:vAlign w:val="center"/>
                </w:tcPr>
                <w:p w14:paraId="4739569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名   称</w:t>
                  </w:r>
                </w:p>
              </w:tc>
              <w:tc>
                <w:tcPr>
                  <w:tcW w:w="1430" w:type="pct"/>
                  <w:noWrap w:val="0"/>
                  <w:vAlign w:val="center"/>
                </w:tcPr>
                <w:p w14:paraId="601555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数量</w:t>
                  </w:r>
                </w:p>
              </w:tc>
            </w:tr>
            <w:tr w14:paraId="6D47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226D33C8">
                  <w:pPr>
                    <w:keepNext w:val="0"/>
                    <w:keepLines w:val="0"/>
                    <w:pageBreakBefore w:val="0"/>
                    <w:kinsoku/>
                    <w:wordWrap/>
                    <w:overflowPunct/>
                    <w:topLinePunct w:val="0"/>
                    <w:autoSpaceDE/>
                    <w:autoSpaceDN/>
                    <w:bidi w:val="0"/>
                    <w:adjustRightInd/>
                    <w:snapToGrid/>
                    <w:spacing w:line="240" w:lineRule="auto"/>
                    <w:ind w:right="-107" w:rightChars="-51"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1</w:t>
                  </w:r>
                </w:p>
              </w:tc>
              <w:tc>
                <w:tcPr>
                  <w:tcW w:w="2308" w:type="pct"/>
                  <w:tcBorders>
                    <w:bottom w:val="single" w:color="auto" w:sz="4" w:space="0"/>
                  </w:tcBorders>
                  <w:noWrap w:val="0"/>
                  <w:vAlign w:val="center"/>
                </w:tcPr>
                <w:p w14:paraId="28CC8E0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超净工作台</w:t>
                  </w:r>
                </w:p>
              </w:tc>
              <w:tc>
                <w:tcPr>
                  <w:tcW w:w="1430" w:type="pct"/>
                  <w:noWrap w:val="0"/>
                  <w:vAlign w:val="center"/>
                </w:tcPr>
                <w:p w14:paraId="3B3200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1台</w:t>
                  </w:r>
                </w:p>
              </w:tc>
            </w:tr>
            <w:tr w14:paraId="212A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7D3B49D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2</w:t>
                  </w:r>
                </w:p>
              </w:tc>
              <w:tc>
                <w:tcPr>
                  <w:tcW w:w="2308" w:type="pct"/>
                  <w:tcBorders>
                    <w:bottom w:val="single" w:color="auto" w:sz="4" w:space="0"/>
                  </w:tcBorders>
                  <w:noWrap w:val="0"/>
                  <w:vAlign w:val="center"/>
                </w:tcPr>
                <w:p w14:paraId="6123A51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恒温培养箱</w:t>
                  </w:r>
                </w:p>
              </w:tc>
              <w:tc>
                <w:tcPr>
                  <w:tcW w:w="1430" w:type="pct"/>
                  <w:noWrap w:val="0"/>
                  <w:vAlign w:val="center"/>
                </w:tcPr>
                <w:p w14:paraId="18AA76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1台</w:t>
                  </w:r>
                </w:p>
              </w:tc>
            </w:tr>
            <w:tr w14:paraId="0710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3C74B51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3</w:t>
                  </w:r>
                </w:p>
              </w:tc>
              <w:tc>
                <w:tcPr>
                  <w:tcW w:w="2308" w:type="pct"/>
                  <w:tcBorders>
                    <w:bottom w:val="single" w:color="auto" w:sz="4" w:space="0"/>
                  </w:tcBorders>
                  <w:noWrap w:val="0"/>
                  <w:vAlign w:val="center"/>
                </w:tcPr>
                <w:p w14:paraId="632ACBB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生化培养箱</w:t>
                  </w:r>
                </w:p>
              </w:tc>
              <w:tc>
                <w:tcPr>
                  <w:tcW w:w="1430" w:type="pct"/>
                  <w:noWrap w:val="0"/>
                  <w:vAlign w:val="center"/>
                </w:tcPr>
                <w:p w14:paraId="0A0858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1台</w:t>
                  </w:r>
                </w:p>
              </w:tc>
            </w:tr>
            <w:tr w14:paraId="2D4E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112401D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4</w:t>
                  </w:r>
                </w:p>
              </w:tc>
              <w:tc>
                <w:tcPr>
                  <w:tcW w:w="2308" w:type="pct"/>
                  <w:tcBorders>
                    <w:bottom w:val="single" w:color="auto" w:sz="4" w:space="0"/>
                  </w:tcBorders>
                  <w:noWrap w:val="0"/>
                  <w:vAlign w:val="center"/>
                </w:tcPr>
                <w:p w14:paraId="1193C9B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蒸汽灭菌锅</w:t>
                  </w:r>
                </w:p>
              </w:tc>
              <w:tc>
                <w:tcPr>
                  <w:tcW w:w="1430" w:type="pct"/>
                  <w:noWrap w:val="0"/>
                  <w:vAlign w:val="center"/>
                </w:tcPr>
                <w:p w14:paraId="035BC8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1台</w:t>
                  </w:r>
                </w:p>
              </w:tc>
            </w:tr>
            <w:tr w14:paraId="2A35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6228AD3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5</w:t>
                  </w:r>
                </w:p>
              </w:tc>
              <w:tc>
                <w:tcPr>
                  <w:tcW w:w="2308" w:type="pct"/>
                  <w:tcBorders>
                    <w:bottom w:val="single" w:color="auto" w:sz="4" w:space="0"/>
                  </w:tcBorders>
                  <w:noWrap w:val="0"/>
                  <w:vAlign w:val="center"/>
                </w:tcPr>
                <w:p w14:paraId="31EB272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恒温水浴锅</w:t>
                  </w:r>
                </w:p>
              </w:tc>
              <w:tc>
                <w:tcPr>
                  <w:tcW w:w="1430" w:type="pct"/>
                  <w:noWrap w:val="0"/>
                  <w:vAlign w:val="center"/>
                </w:tcPr>
                <w:p w14:paraId="0C2D5D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1台</w:t>
                  </w:r>
                </w:p>
              </w:tc>
            </w:tr>
            <w:tr w14:paraId="52A9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186CA83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6</w:t>
                  </w:r>
                </w:p>
              </w:tc>
              <w:tc>
                <w:tcPr>
                  <w:tcW w:w="2308" w:type="pct"/>
                  <w:tcBorders>
                    <w:bottom w:val="single" w:color="auto" w:sz="4" w:space="0"/>
                  </w:tcBorders>
                  <w:noWrap w:val="0"/>
                  <w:vAlign w:val="center"/>
                </w:tcPr>
                <w:p w14:paraId="5CEFA7F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精密智能热风循环干燥箱</w:t>
                  </w:r>
                </w:p>
              </w:tc>
              <w:tc>
                <w:tcPr>
                  <w:tcW w:w="1430" w:type="pct"/>
                  <w:noWrap w:val="0"/>
                  <w:vAlign w:val="center"/>
                </w:tcPr>
                <w:p w14:paraId="0FB7E8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1台</w:t>
                  </w:r>
                </w:p>
              </w:tc>
            </w:tr>
            <w:tr w14:paraId="07C2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6555BCB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7</w:t>
                  </w:r>
                </w:p>
              </w:tc>
              <w:tc>
                <w:tcPr>
                  <w:tcW w:w="2308" w:type="pct"/>
                  <w:tcBorders>
                    <w:bottom w:val="single" w:color="auto" w:sz="4" w:space="0"/>
                  </w:tcBorders>
                  <w:noWrap w:val="0"/>
                  <w:vAlign w:val="center"/>
                </w:tcPr>
                <w:p w14:paraId="593D4EE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电子分析天平</w:t>
                  </w:r>
                </w:p>
              </w:tc>
              <w:tc>
                <w:tcPr>
                  <w:tcW w:w="1430" w:type="pct"/>
                  <w:noWrap w:val="0"/>
                  <w:vAlign w:val="center"/>
                </w:tcPr>
                <w:p w14:paraId="67E2C4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1台</w:t>
                  </w:r>
                </w:p>
              </w:tc>
            </w:tr>
            <w:tr w14:paraId="1B7E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23D2C91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8</w:t>
                  </w:r>
                </w:p>
              </w:tc>
              <w:tc>
                <w:tcPr>
                  <w:tcW w:w="2308" w:type="pct"/>
                  <w:tcBorders>
                    <w:bottom w:val="single" w:color="auto" w:sz="4" w:space="0"/>
                  </w:tcBorders>
                  <w:noWrap w:val="0"/>
                  <w:vAlign w:val="center"/>
                </w:tcPr>
                <w:p w14:paraId="419787B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电子天平</w:t>
                  </w:r>
                </w:p>
              </w:tc>
              <w:tc>
                <w:tcPr>
                  <w:tcW w:w="1430" w:type="pct"/>
                  <w:noWrap w:val="0"/>
                  <w:vAlign w:val="center"/>
                </w:tcPr>
                <w:p w14:paraId="062EB0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2台</w:t>
                  </w:r>
                </w:p>
              </w:tc>
            </w:tr>
            <w:tr w14:paraId="7E7F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105FDAD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9</w:t>
                  </w:r>
                </w:p>
              </w:tc>
              <w:tc>
                <w:tcPr>
                  <w:tcW w:w="2308" w:type="pct"/>
                  <w:tcBorders>
                    <w:bottom w:val="single" w:color="auto" w:sz="4" w:space="0"/>
                  </w:tcBorders>
                  <w:noWrap w:val="0"/>
                  <w:vAlign w:val="center"/>
                </w:tcPr>
                <w:p w14:paraId="06C9862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数字阿贝折射仪</w:t>
                  </w:r>
                </w:p>
              </w:tc>
              <w:tc>
                <w:tcPr>
                  <w:tcW w:w="1430" w:type="pct"/>
                  <w:noWrap w:val="0"/>
                  <w:vAlign w:val="center"/>
                </w:tcPr>
                <w:p w14:paraId="12D477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1台</w:t>
                  </w:r>
                </w:p>
              </w:tc>
            </w:tr>
            <w:tr w14:paraId="0E21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7BA2424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10</w:t>
                  </w:r>
                </w:p>
              </w:tc>
              <w:tc>
                <w:tcPr>
                  <w:tcW w:w="2308" w:type="pct"/>
                  <w:tcBorders>
                    <w:bottom w:val="single" w:color="auto" w:sz="4" w:space="0"/>
                  </w:tcBorders>
                  <w:noWrap w:val="0"/>
                  <w:vAlign w:val="center"/>
                </w:tcPr>
                <w:p w14:paraId="49B62E0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酸度计</w:t>
                  </w:r>
                </w:p>
              </w:tc>
              <w:tc>
                <w:tcPr>
                  <w:tcW w:w="1430" w:type="pct"/>
                  <w:noWrap w:val="0"/>
                  <w:vAlign w:val="center"/>
                </w:tcPr>
                <w:p w14:paraId="02B643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1台</w:t>
                  </w:r>
                </w:p>
              </w:tc>
            </w:tr>
            <w:tr w14:paraId="7E66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0D5032B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11</w:t>
                  </w:r>
                </w:p>
              </w:tc>
              <w:tc>
                <w:tcPr>
                  <w:tcW w:w="2308" w:type="pct"/>
                  <w:tcBorders>
                    <w:bottom w:val="single" w:color="auto" w:sz="4" w:space="0"/>
                  </w:tcBorders>
                  <w:noWrap w:val="0"/>
                  <w:vAlign w:val="center"/>
                </w:tcPr>
                <w:p w14:paraId="29D32CB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电导率仪</w:t>
                  </w:r>
                </w:p>
              </w:tc>
              <w:tc>
                <w:tcPr>
                  <w:tcW w:w="1430" w:type="pct"/>
                  <w:noWrap w:val="0"/>
                  <w:vAlign w:val="center"/>
                </w:tcPr>
                <w:p w14:paraId="1363FE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1台</w:t>
                  </w:r>
                </w:p>
              </w:tc>
            </w:tr>
            <w:tr w14:paraId="6002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65F1E65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12</w:t>
                  </w:r>
                </w:p>
              </w:tc>
              <w:tc>
                <w:tcPr>
                  <w:tcW w:w="2308" w:type="pct"/>
                  <w:tcBorders>
                    <w:bottom w:val="single" w:color="auto" w:sz="4" w:space="0"/>
                  </w:tcBorders>
                  <w:noWrap w:val="0"/>
                  <w:vAlign w:val="center"/>
                </w:tcPr>
                <w:p w14:paraId="4537B1B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烧杯</w:t>
                  </w:r>
                </w:p>
              </w:tc>
              <w:tc>
                <w:tcPr>
                  <w:tcW w:w="1430" w:type="pct"/>
                  <w:noWrap w:val="0"/>
                  <w:vAlign w:val="center"/>
                </w:tcPr>
                <w:p w14:paraId="6E3CB5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30个</w:t>
                  </w:r>
                </w:p>
              </w:tc>
            </w:tr>
            <w:tr w14:paraId="5E4A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5E25F25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13</w:t>
                  </w:r>
                </w:p>
              </w:tc>
              <w:tc>
                <w:tcPr>
                  <w:tcW w:w="2308" w:type="pct"/>
                  <w:tcBorders>
                    <w:bottom w:val="single" w:color="auto" w:sz="4" w:space="0"/>
                  </w:tcBorders>
                  <w:noWrap w:val="0"/>
                  <w:vAlign w:val="center"/>
                </w:tcPr>
                <w:p w14:paraId="39C8DBE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容量瓶</w:t>
                  </w:r>
                </w:p>
              </w:tc>
              <w:tc>
                <w:tcPr>
                  <w:tcW w:w="1430" w:type="pct"/>
                  <w:noWrap w:val="0"/>
                  <w:vAlign w:val="center"/>
                </w:tcPr>
                <w:p w14:paraId="3B8E50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10个</w:t>
                  </w:r>
                </w:p>
              </w:tc>
            </w:tr>
            <w:tr w14:paraId="61DA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76397B9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14</w:t>
                  </w:r>
                </w:p>
              </w:tc>
              <w:tc>
                <w:tcPr>
                  <w:tcW w:w="2308" w:type="pct"/>
                  <w:tcBorders>
                    <w:bottom w:val="single" w:color="auto" w:sz="4" w:space="0"/>
                  </w:tcBorders>
                  <w:noWrap w:val="0"/>
                  <w:vAlign w:val="center"/>
                </w:tcPr>
                <w:p w14:paraId="3932E98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激光尘埃粒子计数器</w:t>
                  </w:r>
                </w:p>
              </w:tc>
              <w:tc>
                <w:tcPr>
                  <w:tcW w:w="1430" w:type="pct"/>
                  <w:noWrap w:val="0"/>
                  <w:vAlign w:val="center"/>
                </w:tcPr>
                <w:p w14:paraId="3D9CC4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1台</w:t>
                  </w:r>
                </w:p>
              </w:tc>
            </w:tr>
            <w:tr w14:paraId="7A77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13AE638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15</w:t>
                  </w:r>
                </w:p>
              </w:tc>
              <w:tc>
                <w:tcPr>
                  <w:tcW w:w="2308" w:type="pct"/>
                  <w:tcBorders>
                    <w:bottom w:val="single" w:color="auto" w:sz="4" w:space="0"/>
                  </w:tcBorders>
                  <w:noWrap w:val="0"/>
                  <w:vAlign w:val="center"/>
                </w:tcPr>
                <w:p w14:paraId="618F52B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双目生物显微镜</w:t>
                  </w:r>
                </w:p>
              </w:tc>
              <w:tc>
                <w:tcPr>
                  <w:tcW w:w="1430" w:type="pct"/>
                  <w:noWrap w:val="0"/>
                  <w:vAlign w:val="center"/>
                </w:tcPr>
                <w:p w14:paraId="194BC2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1台</w:t>
                  </w:r>
                </w:p>
              </w:tc>
            </w:tr>
            <w:tr w14:paraId="7AE7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7702378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16</w:t>
                  </w:r>
                </w:p>
              </w:tc>
              <w:tc>
                <w:tcPr>
                  <w:tcW w:w="2308" w:type="pct"/>
                  <w:tcBorders>
                    <w:bottom w:val="single" w:color="auto" w:sz="4" w:space="0"/>
                  </w:tcBorders>
                  <w:noWrap w:val="0"/>
                  <w:vAlign w:val="center"/>
                </w:tcPr>
                <w:p w14:paraId="2207F3B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数显游标卡尺</w:t>
                  </w:r>
                </w:p>
              </w:tc>
              <w:tc>
                <w:tcPr>
                  <w:tcW w:w="1430" w:type="pct"/>
                  <w:noWrap w:val="0"/>
                  <w:vAlign w:val="center"/>
                </w:tcPr>
                <w:p w14:paraId="3C1AB0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1把</w:t>
                  </w:r>
                </w:p>
              </w:tc>
            </w:tr>
            <w:tr w14:paraId="2B30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1A56555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17</w:t>
                  </w:r>
                </w:p>
              </w:tc>
              <w:tc>
                <w:tcPr>
                  <w:tcW w:w="2308" w:type="pct"/>
                  <w:tcBorders>
                    <w:bottom w:val="single" w:color="auto" w:sz="4" w:space="0"/>
                  </w:tcBorders>
                  <w:noWrap w:val="0"/>
                  <w:vAlign w:val="center"/>
                </w:tcPr>
                <w:p w14:paraId="3791FBC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量筒</w:t>
                  </w:r>
                </w:p>
              </w:tc>
              <w:tc>
                <w:tcPr>
                  <w:tcW w:w="1430" w:type="pct"/>
                  <w:noWrap w:val="0"/>
                  <w:vAlign w:val="center"/>
                </w:tcPr>
                <w:p w14:paraId="25A63D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4个</w:t>
                  </w:r>
                </w:p>
              </w:tc>
            </w:tr>
            <w:tr w14:paraId="21A0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0C20EE2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18</w:t>
                  </w:r>
                </w:p>
              </w:tc>
              <w:tc>
                <w:tcPr>
                  <w:tcW w:w="2308" w:type="pct"/>
                  <w:tcBorders>
                    <w:bottom w:val="single" w:color="auto" w:sz="4" w:space="0"/>
                  </w:tcBorders>
                  <w:noWrap w:val="0"/>
                  <w:vAlign w:val="center"/>
                </w:tcPr>
                <w:p w14:paraId="6FA47F3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台称</w:t>
                  </w:r>
                </w:p>
              </w:tc>
              <w:tc>
                <w:tcPr>
                  <w:tcW w:w="1430" w:type="pct"/>
                  <w:noWrap w:val="0"/>
                  <w:vAlign w:val="center"/>
                </w:tcPr>
                <w:p w14:paraId="0C3D64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3台</w:t>
                  </w:r>
                </w:p>
              </w:tc>
            </w:tr>
            <w:tr w14:paraId="7D73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16EA031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19</w:t>
                  </w:r>
                </w:p>
              </w:tc>
              <w:tc>
                <w:tcPr>
                  <w:tcW w:w="2308" w:type="pct"/>
                  <w:tcBorders>
                    <w:bottom w:val="single" w:color="auto" w:sz="4" w:space="0"/>
                  </w:tcBorders>
                  <w:noWrap w:val="0"/>
                  <w:vAlign w:val="center"/>
                </w:tcPr>
                <w:p w14:paraId="390D430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红水温度计</w:t>
                  </w:r>
                </w:p>
              </w:tc>
              <w:tc>
                <w:tcPr>
                  <w:tcW w:w="1430" w:type="pct"/>
                  <w:noWrap w:val="0"/>
                  <w:vAlign w:val="center"/>
                </w:tcPr>
                <w:p w14:paraId="59E36A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10支</w:t>
                  </w:r>
                </w:p>
              </w:tc>
            </w:tr>
            <w:tr w14:paraId="78D7C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tcBorders>
                    <w:bottom w:val="single" w:color="auto" w:sz="4" w:space="0"/>
                  </w:tcBorders>
                  <w:noWrap w:val="0"/>
                  <w:vAlign w:val="center"/>
                </w:tcPr>
                <w:p w14:paraId="689FE51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20</w:t>
                  </w:r>
                </w:p>
              </w:tc>
              <w:tc>
                <w:tcPr>
                  <w:tcW w:w="2308" w:type="pct"/>
                  <w:tcBorders>
                    <w:bottom w:val="single" w:color="auto" w:sz="4" w:space="0"/>
                  </w:tcBorders>
                  <w:noWrap w:val="0"/>
                  <w:vAlign w:val="center"/>
                </w:tcPr>
                <w:p w14:paraId="2512548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酸碱两用滴定管</w:t>
                  </w:r>
                </w:p>
              </w:tc>
              <w:tc>
                <w:tcPr>
                  <w:tcW w:w="1430" w:type="pct"/>
                  <w:noWrap w:val="0"/>
                  <w:vAlign w:val="center"/>
                </w:tcPr>
                <w:p w14:paraId="79B153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8支</w:t>
                  </w:r>
                </w:p>
              </w:tc>
            </w:tr>
            <w:tr w14:paraId="172D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noWrap w:val="0"/>
                  <w:vAlign w:val="center"/>
                </w:tcPr>
                <w:p w14:paraId="52597D7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21</w:t>
                  </w:r>
                </w:p>
              </w:tc>
              <w:tc>
                <w:tcPr>
                  <w:tcW w:w="2308" w:type="pct"/>
                  <w:noWrap w:val="0"/>
                  <w:vAlign w:val="center"/>
                </w:tcPr>
                <w:p w14:paraId="0E293AF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离心机</w:t>
                  </w:r>
                </w:p>
              </w:tc>
              <w:tc>
                <w:tcPr>
                  <w:tcW w:w="1430" w:type="pct"/>
                  <w:noWrap w:val="0"/>
                  <w:vAlign w:val="center"/>
                </w:tcPr>
                <w:p w14:paraId="496FCB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1台</w:t>
                  </w:r>
                </w:p>
              </w:tc>
            </w:tr>
            <w:tr w14:paraId="34C1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noWrap w:val="0"/>
                  <w:vAlign w:val="center"/>
                </w:tcPr>
                <w:p w14:paraId="449D776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22</w:t>
                  </w:r>
                </w:p>
              </w:tc>
              <w:tc>
                <w:tcPr>
                  <w:tcW w:w="2308" w:type="pct"/>
                  <w:noWrap w:val="0"/>
                  <w:vAlign w:val="center"/>
                </w:tcPr>
                <w:p w14:paraId="3744D7E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数显糖度计</w:t>
                  </w:r>
                </w:p>
              </w:tc>
              <w:tc>
                <w:tcPr>
                  <w:tcW w:w="1430" w:type="pct"/>
                  <w:noWrap w:val="0"/>
                  <w:vAlign w:val="center"/>
                </w:tcPr>
                <w:p w14:paraId="154827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4台</w:t>
                  </w:r>
                </w:p>
              </w:tc>
            </w:tr>
            <w:tr w14:paraId="5DEA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noWrap w:val="0"/>
                  <w:vAlign w:val="center"/>
                </w:tcPr>
                <w:p w14:paraId="64AFD53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23</w:t>
                  </w:r>
                </w:p>
              </w:tc>
              <w:tc>
                <w:tcPr>
                  <w:tcW w:w="2308" w:type="pct"/>
                  <w:noWrap w:val="0"/>
                  <w:vAlign w:val="center"/>
                </w:tcPr>
                <w:p w14:paraId="5A62C56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培养皿</w:t>
                  </w:r>
                </w:p>
              </w:tc>
              <w:tc>
                <w:tcPr>
                  <w:tcW w:w="1430" w:type="pct"/>
                  <w:noWrap w:val="0"/>
                  <w:vAlign w:val="center"/>
                </w:tcPr>
                <w:p w14:paraId="01FECE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240套</w:t>
                  </w:r>
                </w:p>
              </w:tc>
            </w:tr>
            <w:tr w14:paraId="2AC4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noWrap w:val="0"/>
                  <w:vAlign w:val="center"/>
                </w:tcPr>
                <w:p w14:paraId="1F49FCB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24</w:t>
                  </w:r>
                </w:p>
              </w:tc>
              <w:tc>
                <w:tcPr>
                  <w:tcW w:w="2308" w:type="pct"/>
                  <w:noWrap w:val="0"/>
                  <w:vAlign w:val="center"/>
                </w:tcPr>
                <w:p w14:paraId="0BC1E3F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highlight w:val="none"/>
                    </w:rPr>
                  </w:pPr>
                  <w:r>
                    <w:rPr>
                      <w:rFonts w:ascii="Times New Roman" w:hAnsi="Times New Roman"/>
                      <w:color w:val="auto"/>
                      <w:kern w:val="0"/>
                      <w:sz w:val="21"/>
                      <w:szCs w:val="21"/>
                      <w:highlight w:val="none"/>
                    </w:rPr>
                    <w:t>三角瓶</w:t>
                  </w:r>
                </w:p>
              </w:tc>
              <w:tc>
                <w:tcPr>
                  <w:tcW w:w="1430" w:type="pct"/>
                  <w:noWrap w:val="0"/>
                  <w:vAlign w:val="center"/>
                </w:tcPr>
                <w:p w14:paraId="117CE1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20个</w:t>
                  </w:r>
                </w:p>
              </w:tc>
            </w:tr>
          </w:tbl>
          <w:p w14:paraId="1980DE8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eastAsia="宋体"/>
                <w:b/>
                <w:bCs/>
                <w:color w:val="auto"/>
                <w:sz w:val="24"/>
                <w:lang w:val="en-US" w:eastAsia="zh-CN"/>
              </w:rPr>
            </w:pPr>
            <w:r>
              <w:rPr>
                <w:rFonts w:hint="eastAsia"/>
                <w:b/>
                <w:bCs/>
                <w:color w:val="auto"/>
                <w:sz w:val="24"/>
                <w:lang w:val="en-US" w:eastAsia="zh-CN"/>
              </w:rPr>
              <w:t>5、现有项目工作制度及劳动定员</w:t>
            </w:r>
          </w:p>
          <w:p w14:paraId="0550FE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auto"/>
                <w:sz w:val="24"/>
                <w:szCs w:val="24"/>
              </w:rPr>
            </w:pPr>
            <w:r>
              <w:rPr>
                <w:rFonts w:hint="eastAsia"/>
                <w:color w:val="auto"/>
                <w:sz w:val="24"/>
                <w:szCs w:val="24"/>
                <w:highlight w:val="none"/>
                <w:lang w:val="en-US" w:eastAsia="zh-CN"/>
              </w:rPr>
              <w:t>现有</w:t>
            </w:r>
            <w:r>
              <w:rPr>
                <w:rFonts w:ascii="Times New Roman" w:hAnsi="Times New Roman"/>
                <w:color w:val="auto"/>
                <w:sz w:val="24"/>
                <w:szCs w:val="24"/>
                <w:highlight w:val="none"/>
              </w:rPr>
              <w:t>项目共有员工30人</w:t>
            </w:r>
            <w:r>
              <w:rPr>
                <w:rFonts w:hint="eastAsia"/>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年生产200天</w:t>
            </w:r>
            <w:r>
              <w:rPr>
                <w:rFonts w:hint="eastAsia" w:cs="Times New Roman"/>
                <w:b w:val="0"/>
                <w:bCs w:val="0"/>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芒果</w:t>
            </w:r>
            <w:r>
              <w:rPr>
                <w:rFonts w:hint="eastAsia" w:ascii="Times New Roman" w:hAnsi="Times New Roman" w:cs="Times New Roman"/>
                <w:b w:val="0"/>
                <w:bCs w:val="0"/>
                <w:color w:val="auto"/>
                <w:sz w:val="24"/>
                <w:szCs w:val="24"/>
                <w:highlight w:val="none"/>
                <w:lang w:val="en-US" w:eastAsia="zh-CN"/>
              </w:rPr>
              <w:t>原汁仅在芒果盛产期6~7月生产，生产时间为40天，故锅炉运行时间也为40天，实行1班制，每班运行8小时</w:t>
            </w:r>
            <w:r>
              <w:rPr>
                <w:rFonts w:hint="default" w:ascii="Times New Roman" w:hAnsi="Times New Roman" w:eastAsia="宋体" w:cs="Times New Roman"/>
                <w:smallCaps w:val="0"/>
                <w:color w:val="auto"/>
                <w:kern w:val="2"/>
                <w:sz w:val="24"/>
                <w:szCs w:val="24"/>
                <w:highlight w:val="none"/>
                <w:lang w:val="en-US" w:eastAsia="zh-CN" w:bidi="ar"/>
              </w:rPr>
              <w:t>。</w:t>
            </w:r>
          </w:p>
          <w:p w14:paraId="256710D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eastAsia="宋体"/>
                <w:b/>
                <w:bCs/>
                <w:color w:val="auto"/>
                <w:sz w:val="24"/>
                <w:lang w:val="en-US" w:eastAsia="zh-CN"/>
              </w:rPr>
            </w:pPr>
            <w:r>
              <w:rPr>
                <w:rFonts w:hint="eastAsia"/>
                <w:b/>
                <w:bCs/>
                <w:color w:val="auto"/>
                <w:sz w:val="24"/>
                <w:lang w:val="en-US" w:eastAsia="zh-CN"/>
              </w:rPr>
              <w:t>三、现有项目生产工艺及污染物产排情况</w:t>
            </w:r>
          </w:p>
          <w:p w14:paraId="33DC822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1、现有项目生产工艺</w:t>
            </w:r>
          </w:p>
          <w:p w14:paraId="7B9FFEB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（1）速冻果蔬汁生产</w:t>
            </w:r>
          </w:p>
          <w:p w14:paraId="1F6408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现有项目主要生产工艺为</w:t>
            </w:r>
            <w:r>
              <w:rPr>
                <w:rFonts w:ascii="Times New Roman" w:hAnsi="Times New Roman"/>
                <w:color w:val="auto"/>
                <w:sz w:val="24"/>
                <w:szCs w:val="24"/>
                <w:highlight w:val="none"/>
              </w:rPr>
              <w:t>鲜果入厂检验</w:t>
            </w:r>
            <w:r>
              <w:rPr>
                <w:rFonts w:hint="eastAsia"/>
                <w:color w:val="auto"/>
                <w:sz w:val="24"/>
                <w:szCs w:val="24"/>
                <w:highlight w:val="none"/>
                <w:lang w:eastAsia="zh-CN"/>
              </w:rPr>
              <w:t>、</w:t>
            </w:r>
            <w:r>
              <w:rPr>
                <w:rFonts w:ascii="Times New Roman" w:hAnsi="Times New Roman"/>
                <w:color w:val="auto"/>
                <w:sz w:val="24"/>
                <w:szCs w:val="24"/>
                <w:highlight w:val="none"/>
              </w:rPr>
              <w:t>卸果、提升输送</w:t>
            </w:r>
            <w:r>
              <w:rPr>
                <w:rFonts w:hint="eastAsia"/>
                <w:color w:val="auto"/>
                <w:sz w:val="24"/>
                <w:szCs w:val="24"/>
                <w:highlight w:val="none"/>
                <w:lang w:eastAsia="zh-CN"/>
              </w:rPr>
              <w:t>、</w:t>
            </w:r>
            <w:r>
              <w:rPr>
                <w:rFonts w:ascii="Times New Roman" w:hAnsi="Times New Roman" w:cs="Times New Roman"/>
                <w:color w:val="auto"/>
                <w:sz w:val="24"/>
                <w:szCs w:val="24"/>
                <w:highlight w:val="none"/>
              </w:rPr>
              <w:t>人工挑选</w:t>
            </w:r>
            <w:r>
              <w:rPr>
                <w:rFonts w:hint="eastAsia" w:cs="Times New Roman"/>
                <w:color w:val="auto"/>
                <w:sz w:val="24"/>
                <w:szCs w:val="24"/>
                <w:highlight w:val="none"/>
                <w:lang w:eastAsia="zh-CN"/>
              </w:rPr>
              <w:t>、</w:t>
            </w:r>
            <w:r>
              <w:rPr>
                <w:rFonts w:hint="eastAsia" w:ascii="Times New Roman" w:hAnsi="Times New Roman"/>
                <w:color w:val="auto"/>
                <w:sz w:val="24"/>
                <w:szCs w:val="24"/>
                <w:highlight w:val="none"/>
                <w:lang w:val="en-US" w:eastAsia="zh-CN"/>
              </w:rPr>
              <w:t>第一道鼓泡清洗</w:t>
            </w:r>
            <w:r>
              <w:rPr>
                <w:rFonts w:hint="eastAsia"/>
                <w:color w:val="auto"/>
                <w:sz w:val="24"/>
                <w:szCs w:val="24"/>
                <w:highlight w:val="none"/>
                <w:lang w:val="en-US" w:eastAsia="zh-CN"/>
              </w:rPr>
              <w:t>、</w:t>
            </w:r>
            <w:r>
              <w:rPr>
                <w:rFonts w:hint="eastAsia" w:ascii="Times New Roman" w:hAnsi="Times New Roman"/>
                <w:color w:val="auto"/>
                <w:sz w:val="24"/>
                <w:szCs w:val="24"/>
                <w:highlight w:val="none"/>
                <w:lang w:val="en-US" w:eastAsia="zh-CN"/>
              </w:rPr>
              <w:t>第二道毛刷清洗</w:t>
            </w:r>
            <w:r>
              <w:rPr>
                <w:rFonts w:hint="eastAsia"/>
                <w:color w:val="auto"/>
                <w:sz w:val="24"/>
                <w:szCs w:val="24"/>
                <w:highlight w:val="none"/>
                <w:lang w:val="en-US" w:eastAsia="zh-CN"/>
              </w:rPr>
              <w:t>、</w:t>
            </w:r>
            <w:r>
              <w:rPr>
                <w:rFonts w:hint="eastAsia" w:ascii="Times New Roman" w:hAnsi="Times New Roman"/>
                <w:color w:val="auto"/>
                <w:sz w:val="24"/>
                <w:szCs w:val="24"/>
                <w:highlight w:val="none"/>
                <w:lang w:val="en-US" w:eastAsia="zh-CN"/>
              </w:rPr>
              <w:t>第三道鼓泡消毒</w:t>
            </w:r>
            <w:r>
              <w:rPr>
                <w:rFonts w:hint="eastAsia"/>
                <w:color w:val="auto"/>
                <w:sz w:val="24"/>
                <w:szCs w:val="24"/>
                <w:highlight w:val="none"/>
                <w:lang w:val="en-US" w:eastAsia="zh-CN"/>
              </w:rPr>
              <w:t>、</w:t>
            </w:r>
            <w:r>
              <w:rPr>
                <w:rFonts w:hint="eastAsia" w:ascii="Times New Roman" w:hAnsi="Times New Roman"/>
                <w:color w:val="auto"/>
                <w:sz w:val="24"/>
                <w:szCs w:val="24"/>
                <w:highlight w:val="none"/>
                <w:lang w:val="en-US" w:eastAsia="zh-CN"/>
              </w:rPr>
              <w:t>第四道鼓泡清洗</w:t>
            </w:r>
            <w:r>
              <w:rPr>
                <w:rFonts w:hint="eastAsia"/>
                <w:color w:val="auto"/>
                <w:sz w:val="24"/>
                <w:szCs w:val="24"/>
                <w:highlight w:val="none"/>
                <w:lang w:val="en-US" w:eastAsia="zh-CN"/>
              </w:rPr>
              <w:t>、</w:t>
            </w:r>
            <w:r>
              <w:rPr>
                <w:rFonts w:ascii="Times New Roman" w:hAnsi="Times New Roman"/>
                <w:color w:val="auto"/>
                <w:sz w:val="24"/>
                <w:szCs w:val="24"/>
                <w:highlight w:val="none"/>
              </w:rPr>
              <w:t>去梗、挑选、去核、去皮</w:t>
            </w:r>
            <w:r>
              <w:rPr>
                <w:rFonts w:hint="eastAsia"/>
                <w:color w:val="auto"/>
                <w:sz w:val="24"/>
                <w:szCs w:val="24"/>
                <w:highlight w:val="none"/>
                <w:lang w:eastAsia="zh-CN"/>
              </w:rPr>
              <w:t>、</w:t>
            </w:r>
            <w:r>
              <w:rPr>
                <w:rFonts w:ascii="Times New Roman" w:hAnsi="Times New Roman"/>
                <w:color w:val="auto"/>
                <w:sz w:val="24"/>
                <w:szCs w:val="24"/>
                <w:highlight w:val="none"/>
              </w:rPr>
              <w:t>存储罐</w:t>
            </w:r>
            <w:r>
              <w:rPr>
                <w:rFonts w:hint="eastAsia"/>
                <w:color w:val="auto"/>
                <w:sz w:val="24"/>
                <w:szCs w:val="24"/>
                <w:highlight w:val="none"/>
                <w:lang w:eastAsia="zh-CN"/>
              </w:rPr>
              <w:t>、</w:t>
            </w:r>
            <w:r>
              <w:rPr>
                <w:rFonts w:ascii="Times New Roman" w:hAnsi="Times New Roman"/>
                <w:color w:val="auto"/>
                <w:sz w:val="24"/>
                <w:szCs w:val="24"/>
                <w:highlight w:val="none"/>
              </w:rPr>
              <w:t>打浆、去杂质</w:t>
            </w:r>
            <w:r>
              <w:rPr>
                <w:rFonts w:hint="eastAsia" w:ascii="Times New Roman" w:hAnsi="Times New Roman"/>
                <w:color w:val="auto"/>
                <w:sz w:val="24"/>
                <w:szCs w:val="24"/>
                <w:highlight w:val="none"/>
                <w:lang w:val="en-US" w:eastAsia="zh-CN"/>
              </w:rPr>
              <w:t>精制</w:t>
            </w:r>
            <w:r>
              <w:rPr>
                <w:rFonts w:hint="eastAsia"/>
                <w:color w:val="auto"/>
                <w:sz w:val="24"/>
                <w:szCs w:val="24"/>
                <w:highlight w:val="none"/>
                <w:lang w:val="en-US" w:eastAsia="zh-CN"/>
              </w:rPr>
              <w:t>、</w:t>
            </w:r>
            <w:r>
              <w:rPr>
                <w:rFonts w:ascii="Times New Roman" w:hAnsi="Times New Roman"/>
                <w:color w:val="auto"/>
                <w:sz w:val="24"/>
                <w:szCs w:val="24"/>
                <w:highlight w:val="none"/>
              </w:rPr>
              <w:t>存储罐、管式冷却</w:t>
            </w:r>
            <w:r>
              <w:rPr>
                <w:rFonts w:hint="eastAsia"/>
                <w:color w:val="auto"/>
                <w:sz w:val="24"/>
                <w:szCs w:val="24"/>
                <w:highlight w:val="none"/>
                <w:lang w:eastAsia="zh-CN"/>
              </w:rPr>
              <w:t>、</w:t>
            </w:r>
            <w:r>
              <w:rPr>
                <w:rFonts w:ascii="Times New Roman" w:hAnsi="Times New Roman"/>
                <w:color w:val="auto"/>
                <w:sz w:val="24"/>
                <w:szCs w:val="24"/>
                <w:highlight w:val="none"/>
              </w:rPr>
              <w:t>磁棒过滤器</w:t>
            </w:r>
            <w:r>
              <w:rPr>
                <w:rFonts w:hint="eastAsia"/>
                <w:color w:val="auto"/>
                <w:sz w:val="24"/>
                <w:szCs w:val="24"/>
                <w:highlight w:val="none"/>
                <w:lang w:eastAsia="zh-CN"/>
              </w:rPr>
              <w:t>、</w:t>
            </w:r>
            <w:r>
              <w:rPr>
                <w:rFonts w:hint="eastAsia" w:ascii="Times New Roman" w:hAnsi="Times New Roman"/>
                <w:color w:val="auto"/>
                <w:sz w:val="24"/>
                <w:szCs w:val="24"/>
                <w:highlight w:val="none"/>
                <w:lang w:val="en-US" w:eastAsia="zh-CN"/>
              </w:rPr>
              <w:t>高温蒸汽杀菌</w:t>
            </w:r>
            <w:r>
              <w:rPr>
                <w:rFonts w:hint="eastAsia"/>
                <w:color w:val="auto"/>
                <w:sz w:val="24"/>
                <w:szCs w:val="24"/>
                <w:highlight w:val="none"/>
                <w:lang w:val="en-US" w:eastAsia="zh-CN"/>
              </w:rPr>
              <w:t>、</w:t>
            </w:r>
            <w:r>
              <w:rPr>
                <w:rFonts w:ascii="Times New Roman" w:hAnsi="Times New Roman"/>
                <w:color w:val="auto"/>
                <w:sz w:val="24"/>
                <w:szCs w:val="24"/>
                <w:highlight w:val="none"/>
              </w:rPr>
              <w:t>袋装、装筐、入</w:t>
            </w:r>
            <w:r>
              <w:rPr>
                <w:rFonts w:hint="eastAsia" w:ascii="Times New Roman" w:hAnsi="Times New Roman"/>
                <w:color w:val="auto"/>
                <w:sz w:val="24"/>
                <w:szCs w:val="24"/>
                <w:highlight w:val="none"/>
                <w:lang w:val="en-US" w:eastAsia="zh-CN"/>
              </w:rPr>
              <w:t>速冻</w:t>
            </w:r>
            <w:r>
              <w:rPr>
                <w:rFonts w:ascii="Times New Roman" w:hAnsi="Times New Roman"/>
                <w:color w:val="auto"/>
                <w:sz w:val="24"/>
                <w:szCs w:val="24"/>
                <w:highlight w:val="none"/>
              </w:rPr>
              <w:t>库</w:t>
            </w:r>
            <w:r>
              <w:rPr>
                <w:rFonts w:hint="eastAsia"/>
                <w:color w:val="auto"/>
                <w:sz w:val="24"/>
                <w:szCs w:val="24"/>
                <w:highlight w:val="none"/>
                <w:lang w:eastAsia="zh-CN"/>
              </w:rPr>
              <w:t>。</w:t>
            </w:r>
            <w:r>
              <w:rPr>
                <w:rFonts w:hint="eastAsia"/>
                <w:color w:val="auto"/>
                <w:sz w:val="24"/>
                <w:szCs w:val="24"/>
                <w:highlight w:val="none"/>
                <w:lang w:val="en-US" w:eastAsia="zh-CN"/>
              </w:rPr>
              <w:t>工艺流程及产污节点详见下图。</w:t>
            </w:r>
          </w:p>
          <w:p w14:paraId="35776FB9">
            <w:pPr>
              <w:pStyle w:val="10"/>
              <w:rPr>
                <w:rFonts w:hint="default"/>
                <w:color w:val="auto"/>
                <w:lang w:val="en-US" w:eastAsia="zh-CN"/>
              </w:rPr>
            </w:pPr>
          </w:p>
          <w:p w14:paraId="7818BD7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kern w:val="0"/>
                <w:sz w:val="24"/>
                <w:highlight w:val="none"/>
                <w:lang w:val="en-US" w:eastAsia="zh-CN"/>
              </w:rPr>
            </w:pPr>
            <w:r>
              <w:rPr>
                <w:rFonts w:ascii="Times New Roman" w:hAnsi="Times New Roman"/>
                <w:color w:val="auto"/>
                <w:highlight w:val="none"/>
              </w:rPr>
              <w:object>
                <v:shape id="_x0000_i1029" o:spt="75" type="#_x0000_t75" style="height:551.85pt;width:378.85pt;" o:ole="t" filled="f" o:preferrelative="t" stroked="f" coordsize="21600,21600">
                  <v:path/>
                  <v:fill on="f" focussize="0,0"/>
                  <v:stroke on="f"/>
                  <v:imagedata r:id="rId20" o:title=""/>
                  <o:lock v:ext="edit" aspectratio="f"/>
                  <w10:wrap type="none"/>
                  <w10:anchorlock/>
                </v:shape>
                <o:OLEObject Type="Embed" ProgID="Visio.Drawing.15" ShapeID="_x0000_i1029" DrawAspect="Content" ObjectID="_1468075729" r:id="rId19">
                  <o:LockedField>false</o:LockedField>
                </o:OLEObject>
              </w:object>
            </w:r>
          </w:p>
          <w:p w14:paraId="75CD9731">
            <w:pPr>
              <w:adjustRightInd w:val="0"/>
              <w:snapToGrid w:val="0"/>
              <w:spacing w:line="360" w:lineRule="auto"/>
              <w:ind w:firstLine="422" w:firstLineChars="20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图</w:t>
            </w:r>
            <w:r>
              <w:rPr>
                <w:rFonts w:hint="eastAsia" w:ascii="Times New Roman" w:hAnsi="Times New Roman"/>
                <w:b/>
                <w:bCs/>
                <w:color w:val="auto"/>
                <w:sz w:val="21"/>
                <w:szCs w:val="21"/>
                <w:highlight w:val="none"/>
              </w:rPr>
              <w:t>2-</w:t>
            </w:r>
            <w:r>
              <w:rPr>
                <w:rFonts w:hint="eastAsia"/>
                <w:b/>
                <w:bCs/>
                <w:color w:val="auto"/>
                <w:sz w:val="21"/>
                <w:szCs w:val="21"/>
                <w:highlight w:val="none"/>
                <w:lang w:val="en-US" w:eastAsia="zh-CN"/>
              </w:rPr>
              <w:t>5</w:t>
            </w:r>
            <w:r>
              <w:rPr>
                <w:rFonts w:hint="eastAsia" w:ascii="Times New Roman" w:hAnsi="Times New Roman"/>
                <w:b/>
                <w:bCs/>
                <w:color w:val="auto"/>
                <w:sz w:val="21"/>
                <w:szCs w:val="21"/>
                <w:highlight w:val="none"/>
              </w:rPr>
              <w:t xml:space="preserve">  </w:t>
            </w:r>
            <w:r>
              <w:rPr>
                <w:rFonts w:hint="eastAsia"/>
                <w:b/>
                <w:bCs/>
                <w:color w:val="auto"/>
                <w:sz w:val="21"/>
                <w:szCs w:val="21"/>
                <w:highlight w:val="none"/>
                <w:lang w:val="en-US" w:eastAsia="zh-CN"/>
              </w:rPr>
              <w:t>现有项目</w:t>
            </w:r>
            <w:r>
              <w:rPr>
                <w:rFonts w:ascii="Times New Roman" w:hAnsi="Times New Roman"/>
                <w:b/>
                <w:bCs/>
                <w:color w:val="auto"/>
                <w:sz w:val="21"/>
                <w:szCs w:val="21"/>
                <w:highlight w:val="none"/>
              </w:rPr>
              <w:t>工艺流程</w:t>
            </w:r>
            <w:r>
              <w:rPr>
                <w:rFonts w:hint="eastAsia" w:ascii="Times New Roman" w:hAnsi="Times New Roman"/>
                <w:b/>
                <w:bCs/>
                <w:color w:val="auto"/>
                <w:sz w:val="21"/>
                <w:szCs w:val="21"/>
                <w:highlight w:val="none"/>
                <w:lang w:val="en-US" w:eastAsia="zh-CN"/>
              </w:rPr>
              <w:t>及产污节点图</w:t>
            </w:r>
          </w:p>
          <w:p w14:paraId="6B01762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（2）现有项目纯水制备工艺</w:t>
            </w:r>
          </w:p>
          <w:p w14:paraId="576F8777">
            <w:pPr>
              <w:adjustRightInd w:val="0"/>
              <w:snapToGrid w:val="0"/>
              <w:spacing w:line="360" w:lineRule="auto"/>
              <w:ind w:firstLine="480" w:firstLineChars="200"/>
              <w:rPr>
                <w:rFonts w:hint="eastAsia" w:eastAsia="宋体"/>
                <w:color w:val="auto"/>
                <w:sz w:val="24"/>
                <w:highlight w:val="none"/>
                <w:lang w:eastAsia="zh-CN"/>
              </w:rPr>
            </w:pPr>
            <w:r>
              <w:rPr>
                <w:rFonts w:hint="eastAsia"/>
                <w:color w:val="auto"/>
                <w:sz w:val="24"/>
                <w:highlight w:val="none"/>
                <w:lang w:val="en-US" w:eastAsia="zh-CN"/>
              </w:rPr>
              <w:t>现有</w:t>
            </w:r>
            <w:r>
              <w:rPr>
                <w:color w:val="auto"/>
                <w:sz w:val="24"/>
                <w:highlight w:val="none"/>
              </w:rPr>
              <w:t>项目纯水</w:t>
            </w:r>
            <w:r>
              <w:rPr>
                <w:rFonts w:hint="eastAsia"/>
                <w:color w:val="auto"/>
                <w:sz w:val="24"/>
                <w:highlight w:val="none"/>
                <w:lang w:val="en-US" w:eastAsia="zh-CN"/>
              </w:rPr>
              <w:t>制备工艺</w:t>
            </w:r>
            <w:r>
              <w:rPr>
                <w:color w:val="auto"/>
                <w:sz w:val="24"/>
                <w:highlight w:val="none"/>
              </w:rPr>
              <w:t>流程</w:t>
            </w:r>
            <w:r>
              <w:rPr>
                <w:rFonts w:hint="eastAsia"/>
                <w:color w:val="auto"/>
                <w:sz w:val="24"/>
                <w:highlight w:val="none"/>
                <w:lang w:val="en-US" w:eastAsia="zh-CN"/>
              </w:rPr>
              <w:t>及产污节点</w:t>
            </w:r>
            <w:r>
              <w:rPr>
                <w:color w:val="auto"/>
                <w:sz w:val="24"/>
                <w:highlight w:val="none"/>
              </w:rPr>
              <w:t>如下图所示</w:t>
            </w:r>
            <w:r>
              <w:rPr>
                <w:rFonts w:hint="eastAsia"/>
                <w:color w:val="auto"/>
                <w:sz w:val="24"/>
                <w:highlight w:val="none"/>
                <w:lang w:eastAsia="zh-CN"/>
              </w:rPr>
              <w:t>：</w:t>
            </w:r>
          </w:p>
          <w:p w14:paraId="683EADF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eastAsia" w:ascii="Times New Roman" w:hAnsi="Times New Roman" w:eastAsia="宋体" w:cs="Times New Roman"/>
                <w:b/>
                <w:bCs/>
                <w:color w:val="auto"/>
                <w:sz w:val="24"/>
                <w:szCs w:val="24"/>
                <w:highlight w:val="none"/>
                <w:lang w:val="en-US" w:eastAsia="zh-CN"/>
              </w:rPr>
            </w:pPr>
            <w:r>
              <w:rPr>
                <w:color w:val="auto"/>
                <w:highlight w:val="none"/>
              </w:rPr>
              <w:object>
                <v:shape id="_x0000_i1030" o:spt="75" type="#_x0000_t75" style="height:298.95pt;width:165.9pt;" o:ole="t" filled="f" o:preferrelative="t" stroked="f" coordsize="21600,21600">
                  <v:path/>
                  <v:fill on="f" focussize="0,0"/>
                  <v:stroke on="f"/>
                  <v:imagedata r:id="rId22" o:title=""/>
                  <o:lock v:ext="edit" aspectratio="f"/>
                  <w10:wrap type="none"/>
                  <w10:anchorlock/>
                </v:shape>
                <o:OLEObject Type="Embed" ProgID="Visio.Drawing.15" ShapeID="_x0000_i1030" DrawAspect="Content" ObjectID="_1468075730" r:id="rId21">
                  <o:LockedField>false</o:LockedField>
                </o:OLEObject>
              </w:object>
            </w:r>
          </w:p>
          <w:p w14:paraId="5CA04E3F">
            <w:pPr>
              <w:adjustRightInd w:val="0"/>
              <w:snapToGrid w:val="0"/>
              <w:spacing w:line="360" w:lineRule="auto"/>
              <w:jc w:val="center"/>
              <w:rPr>
                <w:b/>
                <w:bCs/>
                <w:color w:val="auto"/>
                <w:sz w:val="21"/>
                <w:szCs w:val="21"/>
                <w:highlight w:val="none"/>
              </w:rPr>
            </w:pPr>
            <w:r>
              <w:rPr>
                <w:rFonts w:hint="eastAsia"/>
                <w:b/>
                <w:bCs w:val="0"/>
                <w:color w:val="auto"/>
                <w:sz w:val="21"/>
                <w:szCs w:val="21"/>
                <w:highlight w:val="none"/>
                <w:lang w:val="en-US" w:eastAsia="zh-CN"/>
              </w:rPr>
              <w:t>图2-6  纯水制备工艺流程及产污节点图</w:t>
            </w:r>
          </w:p>
          <w:p w14:paraId="2D021E4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2、现有项目污染物产排</w:t>
            </w:r>
            <w:r>
              <w:rPr>
                <w:rFonts w:hint="eastAsia" w:cs="Times New Roman"/>
                <w:b/>
                <w:bCs/>
                <w:color w:val="auto"/>
                <w:sz w:val="24"/>
                <w:szCs w:val="24"/>
                <w:highlight w:val="none"/>
                <w:lang w:val="en-US" w:eastAsia="zh-CN"/>
              </w:rPr>
              <w:t>及达标排放情况</w:t>
            </w:r>
          </w:p>
          <w:p w14:paraId="4B13DDF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废气污染物产排</w:t>
            </w:r>
            <w:r>
              <w:rPr>
                <w:rFonts w:hint="eastAsia" w:cs="Times New Roman"/>
                <w:b/>
                <w:bCs/>
                <w:color w:val="auto"/>
                <w:sz w:val="24"/>
                <w:szCs w:val="24"/>
                <w:highlight w:val="none"/>
                <w:lang w:val="en-US" w:eastAsia="zh-CN"/>
              </w:rPr>
              <w:t>及达标排放情况</w:t>
            </w:r>
          </w:p>
          <w:p w14:paraId="624E11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有组织废气（</w:t>
            </w:r>
            <w:r>
              <w:rPr>
                <w:rFonts w:hint="default" w:ascii="Times New Roman" w:hAnsi="Times New Roman" w:eastAsia="宋体" w:cs="Times New Roman"/>
                <w:b w:val="0"/>
                <w:bCs w:val="0"/>
                <w:color w:val="auto"/>
                <w:sz w:val="24"/>
                <w:highlight w:val="none"/>
                <w:lang w:val="en-US" w:eastAsia="zh-CN"/>
              </w:rPr>
              <w:t>生物质锅炉燃烧废气</w:t>
            </w:r>
            <w:r>
              <w:rPr>
                <w:rFonts w:hint="eastAsia" w:ascii="Times New Roman" w:hAnsi="Times New Roman" w:eastAsia="宋体" w:cs="Times New Roman"/>
                <w:color w:val="auto"/>
                <w:sz w:val="24"/>
                <w:szCs w:val="24"/>
                <w:highlight w:val="none"/>
                <w:lang w:val="en-US" w:eastAsia="zh-CN"/>
              </w:rPr>
              <w:t>）</w:t>
            </w:r>
          </w:p>
          <w:p w14:paraId="74B4C755">
            <w:pPr>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cs="Times New Roman"/>
                <w:b/>
                <w:bCs/>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生物质锅炉燃烧废气污染物</w:t>
            </w:r>
            <w:r>
              <w:rPr>
                <w:rFonts w:hint="eastAsia" w:cs="Times New Roman"/>
                <w:color w:val="auto"/>
                <w:sz w:val="24"/>
                <w:highlight w:val="none"/>
                <w:lang w:val="en-US" w:eastAsia="zh-CN"/>
              </w:rPr>
              <w:t>主要</w:t>
            </w:r>
            <w:r>
              <w:rPr>
                <w:rFonts w:hint="eastAsia" w:ascii="Times New Roman" w:hAnsi="Times New Roman" w:eastAsia="宋体" w:cs="Times New Roman"/>
                <w:color w:val="auto"/>
                <w:sz w:val="24"/>
                <w:highlight w:val="none"/>
                <w:lang w:val="en-US" w:eastAsia="zh-CN"/>
              </w:rPr>
              <w:t>为颗粒物、</w:t>
            </w:r>
            <w:r>
              <w:rPr>
                <w:rFonts w:hint="default" w:ascii="Times New Roman" w:hAnsi="Times New Roman" w:eastAsia="宋体" w:cs="Times New Roman"/>
                <w:color w:val="auto"/>
                <w:sz w:val="24"/>
                <w:highlight w:val="none"/>
                <w:lang w:val="en-US" w:eastAsia="zh-CN"/>
              </w:rPr>
              <w:t>SO</w:t>
            </w:r>
            <w:r>
              <w:rPr>
                <w:rFonts w:hint="default" w:ascii="Times New Roman" w:hAnsi="Times New Roman" w:eastAsia="宋体" w:cs="Times New Roman"/>
                <w:color w:val="auto"/>
                <w:sz w:val="24"/>
                <w:highlight w:val="none"/>
                <w:vertAlign w:val="subscript"/>
                <w:lang w:val="en-US" w:eastAsia="zh-CN"/>
              </w:rPr>
              <w:t>2</w:t>
            </w:r>
            <w:r>
              <w:rPr>
                <w:rFonts w:hint="eastAsia" w:ascii="Times New Roman" w:hAnsi="Times New Roman" w:eastAsia="宋体" w:cs="Times New Roman"/>
                <w:color w:val="auto"/>
                <w:sz w:val="24"/>
                <w:highlight w:val="none"/>
                <w:vertAlign w:val="baseline"/>
                <w:lang w:val="en-US" w:eastAsia="zh-CN"/>
              </w:rPr>
              <w:t>、</w:t>
            </w:r>
            <w:r>
              <w:rPr>
                <w:rFonts w:hint="default" w:ascii="Times New Roman" w:hAnsi="Times New Roman" w:eastAsia="宋体" w:cs="Times New Roman"/>
                <w:color w:val="auto"/>
                <w:sz w:val="24"/>
                <w:highlight w:val="none"/>
                <w:lang w:val="en-US" w:eastAsia="zh-CN"/>
              </w:rPr>
              <w:t>NOx</w:t>
            </w:r>
            <w:r>
              <w:rPr>
                <w:rFonts w:hint="eastAsia" w:ascii="Times New Roman" w:hAnsi="Times New Roman" w:eastAsia="宋体" w:cs="Times New Roman"/>
                <w:color w:val="auto"/>
                <w:sz w:val="24"/>
                <w:highlight w:val="none"/>
                <w:lang w:val="en-US" w:eastAsia="zh-CN"/>
              </w:rPr>
              <w:t>，废气经</w:t>
            </w:r>
            <w:r>
              <w:rPr>
                <w:rFonts w:hint="default" w:ascii="Times New Roman" w:hAnsi="Times New Roman" w:eastAsia="宋体" w:cs="Times New Roman"/>
                <w:color w:val="auto"/>
                <w:sz w:val="24"/>
                <w:highlight w:val="none"/>
                <w:lang w:val="en-US" w:eastAsia="zh-CN"/>
              </w:rPr>
              <w:t>多管旋风除尘器+水膜除尘器</w:t>
            </w:r>
            <w:r>
              <w:rPr>
                <w:rFonts w:hint="eastAsia" w:ascii="Times New Roman" w:hAnsi="Times New Roman" w:eastAsia="宋体" w:cs="Times New Roman"/>
                <w:color w:val="auto"/>
                <w:sz w:val="24"/>
                <w:highlight w:val="none"/>
                <w:lang w:val="en-US" w:eastAsia="zh-CN"/>
              </w:rPr>
              <w:t>处理后</w:t>
            </w:r>
            <w:r>
              <w:rPr>
                <w:rFonts w:hint="default" w:ascii="Times New Roman" w:hAnsi="Times New Roman" w:eastAsia="宋体" w:cs="Times New Roman"/>
                <w:color w:val="auto"/>
                <w:sz w:val="24"/>
                <w:highlight w:val="none"/>
                <w:lang w:val="en-US" w:eastAsia="zh-CN"/>
              </w:rPr>
              <w:t>经30m高的排气筒排放</w:t>
            </w:r>
            <w:r>
              <w:rPr>
                <w:rFonts w:hint="eastAsia" w:ascii="Times New Roman" w:hAnsi="Times New Roman" w:eastAsia="宋体" w:cs="Times New Roman"/>
                <w:color w:val="auto"/>
                <w:sz w:val="24"/>
                <w:highlight w:val="none"/>
                <w:lang w:val="en-US" w:eastAsia="zh-CN"/>
              </w:rPr>
              <w:t>。</w:t>
            </w:r>
          </w:p>
          <w:p w14:paraId="59C038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auto"/>
                <w:sz w:val="24"/>
                <w:szCs w:val="24"/>
                <w:highlight w:val="none"/>
              </w:rPr>
            </w:pPr>
            <w:r>
              <w:rPr>
                <w:rFonts w:hint="eastAsia" w:ascii="Times New Roman" w:hAnsi="Times New Roman" w:cs="Times New Roman"/>
                <w:caps w:val="0"/>
                <w:smallCaps w:val="0"/>
                <w:color w:val="auto"/>
                <w:sz w:val="24"/>
                <w:szCs w:val="24"/>
                <w:highlight w:val="none"/>
                <w:lang w:val="en-US" w:eastAsia="zh-CN"/>
              </w:rPr>
              <w:t>根据</w:t>
            </w:r>
            <w:r>
              <w:rPr>
                <w:rFonts w:hint="eastAsia" w:cs="Times New Roman"/>
                <w:caps w:val="0"/>
                <w:smallCaps w:val="0"/>
                <w:color w:val="auto"/>
                <w:sz w:val="24"/>
                <w:szCs w:val="24"/>
                <w:highlight w:val="none"/>
                <w:lang w:val="en-US" w:eastAsia="zh-CN"/>
              </w:rPr>
              <w:t>2024年</w:t>
            </w:r>
            <w:r>
              <w:rPr>
                <w:rFonts w:hint="eastAsia" w:ascii="Times New Roman" w:hAnsi="Times New Roman" w:cs="Times New Roman"/>
                <w:caps w:val="0"/>
                <w:smallCaps w:val="0"/>
                <w:color w:val="auto"/>
                <w:sz w:val="24"/>
                <w:szCs w:val="24"/>
                <w:highlight w:val="none"/>
                <w:lang w:val="en-US" w:eastAsia="zh-CN"/>
              </w:rPr>
              <w:t>《云南果研社农业科技发展有限公司自行监测（第三季度）</w:t>
            </w:r>
            <w:r>
              <w:rPr>
                <w:rFonts w:hint="eastAsia" w:cs="Times New Roman"/>
                <w:caps w:val="0"/>
                <w:smallCaps w:val="0"/>
                <w:color w:val="auto"/>
                <w:sz w:val="24"/>
                <w:szCs w:val="24"/>
                <w:highlight w:val="none"/>
                <w:lang w:val="en-US" w:eastAsia="zh-CN"/>
              </w:rPr>
              <w:t>检测报告</w:t>
            </w:r>
            <w:r>
              <w:rPr>
                <w:rFonts w:hint="eastAsia" w:ascii="Times New Roman" w:hAnsi="Times New Roman" w:cs="Times New Roman"/>
                <w:caps w:val="0"/>
                <w:smallCaps w:val="0"/>
                <w:color w:val="auto"/>
                <w:sz w:val="24"/>
                <w:szCs w:val="24"/>
                <w:highlight w:val="none"/>
                <w:lang w:val="en-US" w:eastAsia="zh-CN"/>
              </w:rPr>
              <w:t>》</w:t>
            </w:r>
            <w:r>
              <w:rPr>
                <w:rFonts w:hint="eastAsia" w:cs="Times New Roman"/>
                <w:caps w:val="0"/>
                <w:smallCaps w:val="0"/>
                <w:color w:val="auto"/>
                <w:sz w:val="24"/>
                <w:szCs w:val="24"/>
                <w:highlight w:val="none"/>
                <w:lang w:val="en-US" w:eastAsia="zh-CN"/>
              </w:rPr>
              <w:t>（YNHP24080510）</w:t>
            </w:r>
            <w:r>
              <w:rPr>
                <w:rFonts w:hint="eastAsia" w:ascii="Times New Roman" w:hAnsi="Times New Roman" w:cs="Times New Roman"/>
                <w:caps w:val="0"/>
                <w:smallCaps w:val="0"/>
                <w:color w:val="auto"/>
                <w:sz w:val="24"/>
                <w:szCs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生物质锅炉燃烧废气</w:t>
            </w:r>
            <w:r>
              <w:rPr>
                <w:rFonts w:hint="eastAsia" w:ascii="Times New Roman" w:hAnsi="Times New Roman" w:cs="Times New Roman"/>
                <w:caps w:val="0"/>
                <w:smallCaps w:val="0"/>
                <w:color w:val="auto"/>
                <w:sz w:val="24"/>
                <w:szCs w:val="24"/>
                <w:highlight w:val="none"/>
                <w:lang w:val="en-US" w:eastAsia="zh-CN"/>
              </w:rPr>
              <w:t>排放口监测结果如下：</w:t>
            </w:r>
          </w:p>
          <w:p w14:paraId="4A59C509">
            <w:pPr>
              <w:widowControl/>
              <w:ind w:firstLine="422" w:firstLineChars="200"/>
              <w:jc w:val="center"/>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2-20</w:t>
            </w:r>
            <w:r>
              <w:rPr>
                <w:rFonts w:hint="default" w:ascii="Times New Roman" w:hAnsi="Times New Roman" w:cs="Times New Roman"/>
                <w:b/>
                <w:bCs/>
                <w:color w:val="auto"/>
                <w:sz w:val="21"/>
                <w:szCs w:val="21"/>
                <w:highlight w:val="none"/>
              </w:rPr>
              <w:t xml:space="preserve">  </w:t>
            </w:r>
            <w:r>
              <w:rPr>
                <w:rFonts w:hint="eastAsia" w:ascii="Times New Roman" w:hAnsi="Times New Roman" w:cs="Times New Roman"/>
                <w:b/>
                <w:bCs/>
                <w:color w:val="auto"/>
                <w:sz w:val="21"/>
                <w:szCs w:val="21"/>
                <w:highlight w:val="none"/>
                <w:lang w:val="en-US" w:eastAsia="zh-CN"/>
              </w:rPr>
              <w:t>生物质锅炉</w:t>
            </w:r>
            <w:r>
              <w:rPr>
                <w:rFonts w:hint="default" w:ascii="Times New Roman" w:hAnsi="Times New Roman" w:cs="Times New Roman"/>
                <w:b/>
                <w:bCs/>
                <w:color w:val="auto"/>
                <w:sz w:val="21"/>
                <w:szCs w:val="21"/>
                <w:highlight w:val="none"/>
              </w:rPr>
              <w:t>废气排口（DA001）检测结果</w:t>
            </w:r>
          </w:p>
          <w:tbl>
            <w:tblPr>
              <w:tblStyle w:val="22"/>
              <w:tblW w:w="498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770"/>
              <w:gridCol w:w="1039"/>
              <w:gridCol w:w="1327"/>
              <w:gridCol w:w="1469"/>
              <w:gridCol w:w="1225"/>
            </w:tblGrid>
            <w:tr w14:paraId="70989D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88" w:type="pct"/>
                  <w:gridSpan w:val="3"/>
                  <w:noWrap w:val="0"/>
                  <w:vAlign w:val="center"/>
                </w:tcPr>
                <w:p w14:paraId="2633B8C4">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检测</w:t>
                  </w:r>
                  <w:r>
                    <w:rPr>
                      <w:rFonts w:hint="eastAsia" w:ascii="Times New Roman" w:hAnsi="Times New Roman" w:eastAsia="宋体" w:cs="Times New Roman"/>
                      <w:color w:val="auto"/>
                      <w:sz w:val="21"/>
                      <w:szCs w:val="21"/>
                      <w:highlight w:val="none"/>
                      <w:lang w:val="en-US" w:eastAsia="zh-CN"/>
                    </w:rPr>
                    <w:t>单位</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生物质锅炉废气排放口（DA001）</w:t>
                  </w:r>
                </w:p>
              </w:tc>
              <w:tc>
                <w:tcPr>
                  <w:tcW w:w="2511" w:type="pct"/>
                  <w:gridSpan w:val="3"/>
                  <w:tcBorders>
                    <w:top w:val="single" w:color="auto" w:sz="4" w:space="0"/>
                    <w:bottom w:val="single" w:color="auto" w:sz="4" w:space="0"/>
                  </w:tcBorders>
                  <w:noWrap w:val="0"/>
                  <w:vAlign w:val="center"/>
                </w:tcPr>
                <w:p w14:paraId="238575B0">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排气筒截面积（m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0.0707</w:t>
                  </w:r>
                </w:p>
              </w:tc>
            </w:tr>
            <w:tr w14:paraId="1682D0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88" w:type="pct"/>
                  <w:gridSpan w:val="3"/>
                  <w:tcBorders>
                    <w:bottom w:val="single" w:color="auto" w:sz="4" w:space="0"/>
                  </w:tcBorders>
                  <w:noWrap w:val="0"/>
                  <w:vAlign w:val="center"/>
                </w:tcPr>
                <w:p w14:paraId="6E2ED19B">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净化设施：</w:t>
                  </w:r>
                  <w:r>
                    <w:rPr>
                      <w:rFonts w:hint="eastAsia" w:ascii="Times New Roman" w:hAnsi="Times New Roman" w:eastAsia="宋体" w:cs="Times New Roman"/>
                      <w:b w:val="0"/>
                      <w:bCs w:val="0"/>
                      <w:color w:val="auto"/>
                      <w:sz w:val="21"/>
                      <w:szCs w:val="21"/>
                      <w:highlight w:val="none"/>
                      <w:lang w:val="en-US" w:eastAsia="zh-CN"/>
                    </w:rPr>
                    <w:t>多管旋风除尘+水膜除尘</w:t>
                  </w:r>
                </w:p>
              </w:tc>
              <w:tc>
                <w:tcPr>
                  <w:tcW w:w="2511" w:type="pct"/>
                  <w:gridSpan w:val="3"/>
                  <w:tcBorders>
                    <w:top w:val="single" w:color="auto" w:sz="4" w:space="0"/>
                    <w:bottom w:val="single" w:color="auto" w:sz="4" w:space="0"/>
                  </w:tcBorders>
                  <w:noWrap w:val="0"/>
                  <w:vAlign w:val="center"/>
                </w:tcPr>
                <w:p w14:paraId="2D61033F">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排气筒高度（m）：</w:t>
                  </w:r>
                  <w:r>
                    <w:rPr>
                      <w:rFonts w:hint="eastAsia" w:ascii="Times New Roman" w:hAnsi="Times New Roman" w:eastAsia="宋体" w:cs="Times New Roman"/>
                      <w:color w:val="auto"/>
                      <w:sz w:val="21"/>
                      <w:szCs w:val="21"/>
                      <w:highlight w:val="none"/>
                      <w:lang w:val="en-US" w:eastAsia="zh-CN"/>
                    </w:rPr>
                    <w:t>30</w:t>
                  </w:r>
                </w:p>
              </w:tc>
            </w:tr>
            <w:tr w14:paraId="6B0358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734" w:type="pct"/>
                  <w:tcBorders>
                    <w:bottom w:val="single" w:color="auto" w:sz="4" w:space="0"/>
                  </w:tcBorders>
                  <w:noWrap w:val="0"/>
                  <w:vAlign w:val="center"/>
                </w:tcPr>
                <w:p w14:paraId="0A4BEF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2024.8.12</w:t>
                  </w:r>
                </w:p>
              </w:tc>
              <w:tc>
                <w:tcPr>
                  <w:tcW w:w="1754" w:type="pct"/>
                  <w:gridSpan w:val="2"/>
                  <w:tcBorders>
                    <w:bottom w:val="single" w:color="auto" w:sz="4" w:space="0"/>
                  </w:tcBorders>
                  <w:noWrap w:val="0"/>
                  <w:vAlign w:val="center"/>
                </w:tcPr>
                <w:p w14:paraId="7BDF76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烟气黑度（级）</w:t>
                  </w:r>
                </w:p>
              </w:tc>
              <w:tc>
                <w:tcPr>
                  <w:tcW w:w="2511" w:type="pct"/>
                  <w:gridSpan w:val="3"/>
                  <w:tcBorders>
                    <w:top w:val="single" w:color="auto" w:sz="4" w:space="0"/>
                    <w:bottom w:val="single" w:color="auto" w:sz="4" w:space="0"/>
                  </w:tcBorders>
                  <w:noWrap w:val="0"/>
                  <w:vAlign w:val="center"/>
                </w:tcPr>
                <w:p w14:paraId="6A0479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&lt;</w:t>
                  </w:r>
                  <w:r>
                    <w:rPr>
                      <w:rFonts w:hint="eastAsia" w:ascii="Times New Roman" w:hAnsi="Times New Roman" w:eastAsia="宋体" w:cs="Times New Roman"/>
                      <w:b w:val="0"/>
                      <w:bCs w:val="0"/>
                      <w:color w:val="auto"/>
                      <w:sz w:val="21"/>
                      <w:szCs w:val="21"/>
                      <w:highlight w:val="none"/>
                      <w:lang w:val="en-US" w:eastAsia="zh-CN"/>
                    </w:rPr>
                    <w:t>1</w:t>
                  </w:r>
                </w:p>
              </w:tc>
            </w:tr>
            <w:tr w14:paraId="06B39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Merge w:val="restart"/>
                  <w:tcBorders>
                    <w:top w:val="single" w:color="auto" w:sz="4" w:space="0"/>
                  </w:tcBorders>
                  <w:noWrap w:val="0"/>
                  <w:vAlign w:val="center"/>
                </w:tcPr>
                <w:p w14:paraId="40AF27A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监测</w:t>
                  </w:r>
                  <w:r>
                    <w:rPr>
                      <w:rFonts w:hint="default" w:ascii="Times New Roman" w:hAnsi="Times New Roman" w:eastAsia="宋体" w:cs="Times New Roman"/>
                      <w:bCs/>
                      <w:color w:val="auto"/>
                      <w:sz w:val="21"/>
                      <w:szCs w:val="21"/>
                      <w:highlight w:val="none"/>
                    </w:rPr>
                    <w:t>日期</w:t>
                  </w:r>
                </w:p>
              </w:tc>
              <w:tc>
                <w:tcPr>
                  <w:tcW w:w="1105" w:type="pct"/>
                  <w:vMerge w:val="restart"/>
                  <w:tcBorders>
                    <w:top w:val="single" w:color="auto" w:sz="4" w:space="0"/>
                  </w:tcBorders>
                  <w:noWrap w:val="0"/>
                  <w:vAlign w:val="center"/>
                </w:tcPr>
                <w:p w14:paraId="05409FF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样品编号</w:t>
                  </w:r>
                </w:p>
              </w:tc>
              <w:tc>
                <w:tcPr>
                  <w:tcW w:w="649" w:type="pct"/>
                  <w:vMerge w:val="restart"/>
                  <w:tcBorders>
                    <w:top w:val="single" w:color="auto" w:sz="4" w:space="0"/>
                    <w:right w:val="single" w:color="auto" w:sz="2" w:space="0"/>
                  </w:tcBorders>
                  <w:noWrap w:val="0"/>
                  <w:vAlign w:val="center"/>
                </w:tcPr>
                <w:p w14:paraId="2A598B5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标</w:t>
                  </w:r>
                  <w:r>
                    <w:rPr>
                      <w:rFonts w:hint="default" w:ascii="Times New Roman" w:hAnsi="Times New Roman" w:eastAsia="宋体" w:cs="Times New Roman"/>
                      <w:bCs/>
                      <w:color w:val="auto"/>
                      <w:sz w:val="21"/>
                      <w:szCs w:val="21"/>
                      <w:highlight w:val="none"/>
                      <w:lang w:val="en-US" w:eastAsia="zh-CN"/>
                    </w:rPr>
                    <w:t>干</w:t>
                  </w:r>
                  <w:r>
                    <w:rPr>
                      <w:rFonts w:hint="default" w:ascii="Times New Roman" w:hAnsi="Times New Roman" w:eastAsia="宋体" w:cs="Times New Roman"/>
                      <w:bCs/>
                      <w:color w:val="auto"/>
                      <w:sz w:val="21"/>
                      <w:szCs w:val="21"/>
                      <w:highlight w:val="none"/>
                    </w:rPr>
                    <w:t>流量m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p>
              </w:tc>
              <w:tc>
                <w:tcPr>
                  <w:tcW w:w="2511" w:type="pct"/>
                  <w:gridSpan w:val="3"/>
                  <w:tcBorders>
                    <w:top w:val="single" w:color="auto" w:sz="4" w:space="0"/>
                  </w:tcBorders>
                  <w:noWrap w:val="0"/>
                  <w:vAlign w:val="center"/>
                </w:tcPr>
                <w:p w14:paraId="05084A5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低浓度</w:t>
                  </w:r>
                  <w:r>
                    <w:rPr>
                      <w:rFonts w:hint="eastAsia" w:ascii="Times New Roman" w:hAnsi="Times New Roman" w:eastAsia="宋体" w:cs="Times New Roman"/>
                      <w:b/>
                      <w:bCs/>
                      <w:color w:val="auto"/>
                      <w:sz w:val="21"/>
                      <w:szCs w:val="21"/>
                      <w:highlight w:val="none"/>
                      <w:lang w:val="en-US" w:eastAsia="zh-CN"/>
                    </w:rPr>
                    <w:t>颗粒物</w:t>
                  </w:r>
                </w:p>
              </w:tc>
            </w:tr>
            <w:tr w14:paraId="40216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pct"/>
                  <w:vMerge w:val="continue"/>
                  <w:tcBorders>
                    <w:bottom w:val="single" w:color="auto" w:sz="8" w:space="0"/>
                  </w:tcBorders>
                  <w:noWrap w:val="0"/>
                  <w:vAlign w:val="center"/>
                </w:tcPr>
                <w:p w14:paraId="591F17B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textAlignment w:val="auto"/>
                    <w:rPr>
                      <w:rFonts w:hint="default" w:ascii="Times New Roman" w:hAnsi="Times New Roman" w:eastAsia="宋体" w:cs="Times New Roman"/>
                      <w:bCs/>
                      <w:color w:val="auto"/>
                      <w:sz w:val="21"/>
                      <w:szCs w:val="21"/>
                      <w:highlight w:val="none"/>
                    </w:rPr>
                  </w:pPr>
                </w:p>
              </w:tc>
              <w:tc>
                <w:tcPr>
                  <w:tcW w:w="1105" w:type="pct"/>
                  <w:vMerge w:val="continue"/>
                  <w:tcBorders>
                    <w:bottom w:val="single" w:color="auto" w:sz="8" w:space="0"/>
                  </w:tcBorders>
                  <w:noWrap w:val="0"/>
                  <w:vAlign w:val="center"/>
                </w:tcPr>
                <w:p w14:paraId="2BF17FC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textAlignment w:val="auto"/>
                    <w:rPr>
                      <w:rFonts w:hint="default" w:ascii="Times New Roman" w:hAnsi="Times New Roman" w:eastAsia="宋体" w:cs="Times New Roman"/>
                      <w:bCs/>
                      <w:color w:val="auto"/>
                      <w:sz w:val="21"/>
                      <w:szCs w:val="21"/>
                      <w:highlight w:val="none"/>
                    </w:rPr>
                  </w:pPr>
                </w:p>
              </w:tc>
              <w:tc>
                <w:tcPr>
                  <w:tcW w:w="649" w:type="pct"/>
                  <w:vMerge w:val="continue"/>
                  <w:tcBorders>
                    <w:bottom w:val="single" w:color="auto" w:sz="8" w:space="0"/>
                    <w:right w:val="single" w:color="auto" w:sz="2" w:space="0"/>
                  </w:tcBorders>
                  <w:noWrap w:val="0"/>
                  <w:vAlign w:val="center"/>
                </w:tcPr>
                <w:p w14:paraId="25A1297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p>
              </w:tc>
              <w:tc>
                <w:tcPr>
                  <w:tcW w:w="828" w:type="pct"/>
                  <w:tcBorders>
                    <w:top w:val="single" w:color="auto" w:sz="4" w:space="0"/>
                    <w:bottom w:val="single" w:color="auto" w:sz="8" w:space="0"/>
                  </w:tcBorders>
                  <w:noWrap w:val="0"/>
                  <w:vAlign w:val="center"/>
                </w:tcPr>
                <w:p w14:paraId="5EC3E2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val="0"/>
                      <w:bCs w:val="0"/>
                      <w:color w:val="auto"/>
                      <w:sz w:val="21"/>
                      <w:szCs w:val="21"/>
                      <w:highlight w:val="none"/>
                    </w:rPr>
                    <w:t>实测排放浓度（mg/m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917" w:type="pct"/>
                  <w:tcBorders>
                    <w:top w:val="single" w:color="auto" w:sz="4" w:space="0"/>
                    <w:bottom w:val="single" w:color="auto" w:sz="8" w:space="0"/>
                  </w:tcBorders>
                  <w:noWrap w:val="0"/>
                  <w:vAlign w:val="center"/>
                </w:tcPr>
                <w:p w14:paraId="13A643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val="0"/>
                      <w:bCs w:val="0"/>
                      <w:color w:val="auto"/>
                      <w:sz w:val="21"/>
                      <w:szCs w:val="21"/>
                      <w:highlight w:val="none"/>
                    </w:rPr>
                    <w:t>折算排放浓度（mg/m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764" w:type="pct"/>
                  <w:tcBorders>
                    <w:left w:val="single" w:color="auto" w:sz="2" w:space="0"/>
                    <w:bottom w:val="single" w:color="auto" w:sz="8" w:space="0"/>
                  </w:tcBorders>
                  <w:noWrap w:val="0"/>
                  <w:vAlign w:val="center"/>
                </w:tcPr>
                <w:p w14:paraId="310D3C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排放速率（kg/h）</w:t>
                  </w:r>
                </w:p>
              </w:tc>
            </w:tr>
            <w:tr w14:paraId="029CD2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Merge w:val="restart"/>
                  <w:tcBorders>
                    <w:top w:val="single" w:color="auto" w:sz="8" w:space="0"/>
                  </w:tcBorders>
                  <w:noWrap w:val="0"/>
                  <w:vAlign w:val="center"/>
                </w:tcPr>
                <w:p w14:paraId="587BD54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2024.8.12</w:t>
                  </w:r>
                </w:p>
              </w:tc>
              <w:tc>
                <w:tcPr>
                  <w:tcW w:w="1105" w:type="pct"/>
                  <w:tcBorders>
                    <w:top w:val="single" w:color="auto" w:sz="8" w:space="0"/>
                    <w:bottom w:val="single" w:color="auto" w:sz="4" w:space="0"/>
                  </w:tcBorders>
                  <w:noWrap w:val="0"/>
                  <w:vAlign w:val="center"/>
                </w:tcPr>
                <w:p w14:paraId="4CB4A1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24080510A101-2</w:t>
                  </w:r>
                </w:p>
              </w:tc>
              <w:tc>
                <w:tcPr>
                  <w:tcW w:w="649" w:type="pct"/>
                  <w:tcBorders>
                    <w:top w:val="single" w:color="auto" w:sz="8" w:space="0"/>
                    <w:bottom w:val="single" w:color="auto" w:sz="4" w:space="0"/>
                  </w:tcBorders>
                  <w:noWrap w:val="0"/>
                  <w:vAlign w:val="center"/>
                </w:tcPr>
                <w:p w14:paraId="1D32C5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3396</w:t>
                  </w:r>
                </w:p>
              </w:tc>
              <w:tc>
                <w:tcPr>
                  <w:tcW w:w="828" w:type="pct"/>
                  <w:tcBorders>
                    <w:top w:val="single" w:color="auto" w:sz="8" w:space="0"/>
                    <w:bottom w:val="single" w:color="auto" w:sz="4" w:space="0"/>
                  </w:tcBorders>
                  <w:noWrap w:val="0"/>
                  <w:vAlign w:val="center"/>
                </w:tcPr>
                <w:p w14:paraId="0BC9E5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16.1</w:t>
                  </w:r>
                </w:p>
              </w:tc>
              <w:tc>
                <w:tcPr>
                  <w:tcW w:w="917" w:type="pct"/>
                  <w:tcBorders>
                    <w:top w:val="single" w:color="auto" w:sz="8" w:space="0"/>
                    <w:bottom w:val="single" w:color="auto" w:sz="4" w:space="0"/>
                  </w:tcBorders>
                  <w:noWrap w:val="0"/>
                  <w:vAlign w:val="center"/>
                </w:tcPr>
                <w:p w14:paraId="3EB654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37.2</w:t>
                  </w:r>
                </w:p>
              </w:tc>
              <w:tc>
                <w:tcPr>
                  <w:tcW w:w="764" w:type="pct"/>
                  <w:tcBorders>
                    <w:left w:val="single" w:color="auto" w:sz="2" w:space="0"/>
                  </w:tcBorders>
                  <w:noWrap w:val="0"/>
                  <w:vAlign w:val="center"/>
                </w:tcPr>
                <w:p w14:paraId="745525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5.47</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10</w:t>
                  </w:r>
                  <w:r>
                    <w:rPr>
                      <w:rFonts w:hint="eastAsia" w:cs="Times New Roman"/>
                      <w:b w:val="0"/>
                      <w:bCs w:val="0"/>
                      <w:color w:val="auto"/>
                      <w:sz w:val="21"/>
                      <w:szCs w:val="21"/>
                      <w:highlight w:val="none"/>
                      <w:vertAlign w:val="superscript"/>
                      <w:lang w:val="en-US" w:eastAsia="zh-CN"/>
                    </w:rPr>
                    <w:t>-2</w:t>
                  </w:r>
                </w:p>
              </w:tc>
            </w:tr>
            <w:tr w14:paraId="5458B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Merge w:val="continue"/>
                  <w:noWrap w:val="0"/>
                  <w:vAlign w:val="center"/>
                </w:tcPr>
                <w:p w14:paraId="3F1B908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105" w:type="pct"/>
                  <w:tcBorders>
                    <w:top w:val="single" w:color="auto" w:sz="4" w:space="0"/>
                    <w:bottom w:val="single" w:color="auto" w:sz="4" w:space="0"/>
                  </w:tcBorders>
                  <w:noWrap w:val="0"/>
                  <w:vAlign w:val="center"/>
                </w:tcPr>
                <w:p w14:paraId="343572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24080510A102-2</w:t>
                  </w:r>
                </w:p>
              </w:tc>
              <w:tc>
                <w:tcPr>
                  <w:tcW w:w="649" w:type="pct"/>
                  <w:tcBorders>
                    <w:top w:val="single" w:color="auto" w:sz="4" w:space="0"/>
                    <w:bottom w:val="single" w:color="auto" w:sz="4" w:space="0"/>
                  </w:tcBorders>
                  <w:noWrap w:val="0"/>
                  <w:vAlign w:val="center"/>
                </w:tcPr>
                <w:p w14:paraId="3767C5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3518</w:t>
                  </w:r>
                </w:p>
              </w:tc>
              <w:tc>
                <w:tcPr>
                  <w:tcW w:w="828" w:type="pct"/>
                  <w:tcBorders>
                    <w:top w:val="single" w:color="auto" w:sz="4" w:space="0"/>
                    <w:bottom w:val="single" w:color="auto" w:sz="4" w:space="0"/>
                  </w:tcBorders>
                  <w:noWrap w:val="0"/>
                  <w:vAlign w:val="center"/>
                </w:tcPr>
                <w:p w14:paraId="5921A8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13.7</w:t>
                  </w:r>
                </w:p>
              </w:tc>
              <w:tc>
                <w:tcPr>
                  <w:tcW w:w="917" w:type="pct"/>
                  <w:tcBorders>
                    <w:top w:val="single" w:color="auto" w:sz="4" w:space="0"/>
                    <w:bottom w:val="single" w:color="auto" w:sz="4" w:space="0"/>
                  </w:tcBorders>
                  <w:noWrap w:val="0"/>
                  <w:vAlign w:val="center"/>
                </w:tcPr>
                <w:p w14:paraId="0B2966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33.6</w:t>
                  </w:r>
                </w:p>
              </w:tc>
              <w:tc>
                <w:tcPr>
                  <w:tcW w:w="764" w:type="pct"/>
                  <w:tcBorders>
                    <w:left w:val="single" w:color="auto" w:sz="2" w:space="0"/>
                  </w:tcBorders>
                  <w:noWrap w:val="0"/>
                  <w:vAlign w:val="center"/>
                </w:tcPr>
                <w:p w14:paraId="6214A1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4.82</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10</w:t>
                  </w:r>
                  <w:r>
                    <w:rPr>
                      <w:rFonts w:hint="eastAsia" w:cs="Times New Roman"/>
                      <w:b w:val="0"/>
                      <w:bCs w:val="0"/>
                      <w:color w:val="auto"/>
                      <w:sz w:val="21"/>
                      <w:szCs w:val="21"/>
                      <w:highlight w:val="none"/>
                      <w:vertAlign w:val="superscript"/>
                      <w:lang w:val="en-US" w:eastAsia="zh-CN"/>
                    </w:rPr>
                    <w:t>-2</w:t>
                  </w:r>
                </w:p>
              </w:tc>
            </w:tr>
            <w:tr w14:paraId="1344A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Merge w:val="continue"/>
                  <w:noWrap w:val="0"/>
                  <w:vAlign w:val="center"/>
                </w:tcPr>
                <w:p w14:paraId="21D75EF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105" w:type="pct"/>
                  <w:tcBorders>
                    <w:top w:val="single" w:color="auto" w:sz="4" w:space="0"/>
                    <w:bottom w:val="single" w:color="auto" w:sz="4" w:space="0"/>
                  </w:tcBorders>
                  <w:noWrap w:val="0"/>
                  <w:vAlign w:val="center"/>
                </w:tcPr>
                <w:p w14:paraId="6641E1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24080510A103-2</w:t>
                  </w:r>
                </w:p>
              </w:tc>
              <w:tc>
                <w:tcPr>
                  <w:tcW w:w="649" w:type="pct"/>
                  <w:tcBorders>
                    <w:top w:val="single" w:color="auto" w:sz="4" w:space="0"/>
                    <w:bottom w:val="single" w:color="auto" w:sz="4" w:space="0"/>
                  </w:tcBorders>
                  <w:noWrap w:val="0"/>
                  <w:vAlign w:val="center"/>
                </w:tcPr>
                <w:p w14:paraId="646800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3375</w:t>
                  </w:r>
                </w:p>
              </w:tc>
              <w:tc>
                <w:tcPr>
                  <w:tcW w:w="828" w:type="pct"/>
                  <w:tcBorders>
                    <w:top w:val="single" w:color="auto" w:sz="4" w:space="0"/>
                    <w:bottom w:val="single" w:color="auto" w:sz="4" w:space="0"/>
                  </w:tcBorders>
                  <w:noWrap w:val="0"/>
                  <w:vAlign w:val="center"/>
                </w:tcPr>
                <w:p w14:paraId="575258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15.3</w:t>
                  </w:r>
                </w:p>
              </w:tc>
              <w:tc>
                <w:tcPr>
                  <w:tcW w:w="917" w:type="pct"/>
                  <w:tcBorders>
                    <w:top w:val="single" w:color="auto" w:sz="4" w:space="0"/>
                    <w:bottom w:val="single" w:color="auto" w:sz="4" w:space="0"/>
                  </w:tcBorders>
                  <w:noWrap w:val="0"/>
                  <w:vAlign w:val="center"/>
                </w:tcPr>
                <w:p w14:paraId="24DB1E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34.6</w:t>
                  </w:r>
                </w:p>
              </w:tc>
              <w:tc>
                <w:tcPr>
                  <w:tcW w:w="764" w:type="pct"/>
                  <w:tcBorders>
                    <w:left w:val="single" w:color="auto" w:sz="2" w:space="0"/>
                  </w:tcBorders>
                  <w:noWrap w:val="0"/>
                  <w:vAlign w:val="center"/>
                </w:tcPr>
                <w:p w14:paraId="16A913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5.16</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10</w:t>
                  </w:r>
                  <w:r>
                    <w:rPr>
                      <w:rFonts w:hint="eastAsia" w:cs="Times New Roman"/>
                      <w:b w:val="0"/>
                      <w:bCs w:val="0"/>
                      <w:color w:val="auto"/>
                      <w:sz w:val="21"/>
                      <w:szCs w:val="21"/>
                      <w:highlight w:val="none"/>
                      <w:vertAlign w:val="superscript"/>
                      <w:lang w:val="en-US" w:eastAsia="zh-CN"/>
                    </w:rPr>
                    <w:t>-2</w:t>
                  </w:r>
                </w:p>
              </w:tc>
            </w:tr>
            <w:tr w14:paraId="2B8E8B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39" w:type="pct"/>
                  <w:gridSpan w:val="2"/>
                  <w:tcBorders>
                    <w:bottom w:val="single" w:color="auto" w:sz="4" w:space="0"/>
                  </w:tcBorders>
                  <w:noWrap w:val="0"/>
                  <w:vAlign w:val="center"/>
                </w:tcPr>
                <w:p w14:paraId="7D9250D1">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vertAlign w:val="baseline"/>
                      <w:lang w:val="en-US" w:eastAsia="zh-CN"/>
                    </w:rPr>
                    <w:t>平均值</w:t>
                  </w:r>
                </w:p>
              </w:tc>
              <w:tc>
                <w:tcPr>
                  <w:tcW w:w="649" w:type="pct"/>
                  <w:tcBorders>
                    <w:top w:val="single" w:color="auto" w:sz="4" w:space="0"/>
                    <w:bottom w:val="single" w:color="auto" w:sz="4" w:space="0"/>
                  </w:tcBorders>
                  <w:noWrap w:val="0"/>
                  <w:vAlign w:val="center"/>
                </w:tcPr>
                <w:p w14:paraId="6F4BCF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3430</w:t>
                  </w:r>
                </w:p>
              </w:tc>
              <w:tc>
                <w:tcPr>
                  <w:tcW w:w="828" w:type="pct"/>
                  <w:tcBorders>
                    <w:top w:val="single" w:color="auto" w:sz="4" w:space="0"/>
                    <w:bottom w:val="single" w:color="auto" w:sz="4" w:space="0"/>
                  </w:tcBorders>
                  <w:noWrap w:val="0"/>
                  <w:vAlign w:val="center"/>
                </w:tcPr>
                <w:p w14:paraId="3111C3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15.0</w:t>
                  </w:r>
                </w:p>
              </w:tc>
              <w:tc>
                <w:tcPr>
                  <w:tcW w:w="917" w:type="pct"/>
                  <w:tcBorders>
                    <w:top w:val="single" w:color="auto" w:sz="4" w:space="0"/>
                    <w:bottom w:val="single" w:color="auto" w:sz="4" w:space="0"/>
                  </w:tcBorders>
                  <w:noWrap w:val="0"/>
                  <w:vAlign w:val="center"/>
                </w:tcPr>
                <w:p w14:paraId="6B5250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35.1</w:t>
                  </w:r>
                </w:p>
              </w:tc>
              <w:tc>
                <w:tcPr>
                  <w:tcW w:w="764" w:type="pct"/>
                  <w:tcBorders>
                    <w:left w:val="single" w:color="auto" w:sz="2" w:space="0"/>
                  </w:tcBorders>
                  <w:noWrap w:val="0"/>
                  <w:vAlign w:val="center"/>
                </w:tcPr>
                <w:p w14:paraId="5E5E2C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5.14</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10</w:t>
                  </w:r>
                  <w:r>
                    <w:rPr>
                      <w:rFonts w:hint="eastAsia" w:cs="Times New Roman"/>
                      <w:b w:val="0"/>
                      <w:bCs w:val="0"/>
                      <w:color w:val="auto"/>
                      <w:sz w:val="21"/>
                      <w:szCs w:val="21"/>
                      <w:highlight w:val="none"/>
                      <w:vertAlign w:val="superscript"/>
                      <w:lang w:val="en-US" w:eastAsia="zh-CN"/>
                    </w:rPr>
                    <w:t>-2</w:t>
                  </w:r>
                </w:p>
              </w:tc>
            </w:tr>
            <w:tr w14:paraId="59F593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39" w:type="pct"/>
                  <w:gridSpan w:val="2"/>
                  <w:tcBorders>
                    <w:bottom w:val="single" w:color="auto" w:sz="8" w:space="0"/>
                  </w:tcBorders>
                  <w:noWrap w:val="0"/>
                  <w:vAlign w:val="center"/>
                </w:tcPr>
                <w:p w14:paraId="0EA535D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标准值</w:t>
                  </w:r>
                </w:p>
              </w:tc>
              <w:tc>
                <w:tcPr>
                  <w:tcW w:w="649" w:type="pct"/>
                  <w:tcBorders>
                    <w:top w:val="single" w:color="auto" w:sz="4" w:space="0"/>
                    <w:bottom w:val="single" w:color="auto" w:sz="8" w:space="0"/>
                  </w:tcBorders>
                  <w:noWrap w:val="0"/>
                  <w:vAlign w:val="center"/>
                </w:tcPr>
                <w:p w14:paraId="7309E77B">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28" w:type="pct"/>
                  <w:tcBorders>
                    <w:top w:val="single" w:color="auto" w:sz="4" w:space="0"/>
                    <w:bottom w:val="single" w:color="auto" w:sz="8" w:space="0"/>
                  </w:tcBorders>
                  <w:noWrap w:val="0"/>
                  <w:vAlign w:val="center"/>
                </w:tcPr>
                <w:p w14:paraId="0C9020AB">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917" w:type="pct"/>
                  <w:tcBorders>
                    <w:top w:val="single" w:color="auto" w:sz="4" w:space="0"/>
                    <w:bottom w:val="single" w:color="auto" w:sz="8" w:space="0"/>
                  </w:tcBorders>
                  <w:noWrap w:val="0"/>
                  <w:vAlign w:val="center"/>
                </w:tcPr>
                <w:p w14:paraId="436DD89F">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50</w:t>
                  </w:r>
                </w:p>
              </w:tc>
              <w:tc>
                <w:tcPr>
                  <w:tcW w:w="764" w:type="pct"/>
                  <w:tcBorders>
                    <w:left w:val="single" w:color="auto" w:sz="2" w:space="0"/>
                    <w:bottom w:val="single" w:color="auto" w:sz="8" w:space="0"/>
                  </w:tcBorders>
                  <w:noWrap w:val="0"/>
                  <w:vAlign w:val="center"/>
                </w:tcPr>
                <w:p w14:paraId="1FFCE3A8">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r>
            <w:tr w14:paraId="65C5AA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39" w:type="pct"/>
                  <w:gridSpan w:val="2"/>
                  <w:tcBorders>
                    <w:bottom w:val="single" w:color="auto" w:sz="8" w:space="0"/>
                  </w:tcBorders>
                  <w:noWrap w:val="0"/>
                  <w:vAlign w:val="center"/>
                </w:tcPr>
                <w:p w14:paraId="52C4B3D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达标分析</w:t>
                  </w:r>
                </w:p>
              </w:tc>
              <w:tc>
                <w:tcPr>
                  <w:tcW w:w="649" w:type="pct"/>
                  <w:tcBorders>
                    <w:top w:val="single" w:color="auto" w:sz="4" w:space="0"/>
                    <w:bottom w:val="single" w:color="auto" w:sz="8" w:space="0"/>
                  </w:tcBorders>
                  <w:noWrap w:val="0"/>
                  <w:vAlign w:val="center"/>
                </w:tcPr>
                <w:p w14:paraId="29F6AD53">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w:t>
                  </w:r>
                </w:p>
              </w:tc>
              <w:tc>
                <w:tcPr>
                  <w:tcW w:w="828" w:type="pct"/>
                  <w:tcBorders>
                    <w:top w:val="single" w:color="auto" w:sz="4" w:space="0"/>
                    <w:bottom w:val="single" w:color="auto" w:sz="8" w:space="0"/>
                  </w:tcBorders>
                  <w:noWrap w:val="0"/>
                  <w:vAlign w:val="center"/>
                </w:tcPr>
                <w:p w14:paraId="0DFF02A0">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w:t>
                  </w:r>
                </w:p>
              </w:tc>
              <w:tc>
                <w:tcPr>
                  <w:tcW w:w="917" w:type="pct"/>
                  <w:tcBorders>
                    <w:top w:val="single" w:color="auto" w:sz="4" w:space="0"/>
                    <w:bottom w:val="single" w:color="auto" w:sz="8" w:space="0"/>
                  </w:tcBorders>
                  <w:noWrap w:val="0"/>
                  <w:vAlign w:val="center"/>
                </w:tcPr>
                <w:p w14:paraId="6E4FFB12">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达标</w:t>
                  </w:r>
                </w:p>
              </w:tc>
              <w:tc>
                <w:tcPr>
                  <w:tcW w:w="764" w:type="pct"/>
                  <w:tcBorders>
                    <w:left w:val="single" w:color="auto" w:sz="2" w:space="0"/>
                    <w:bottom w:val="single" w:color="auto" w:sz="8" w:space="0"/>
                  </w:tcBorders>
                  <w:noWrap w:val="0"/>
                  <w:vAlign w:val="center"/>
                </w:tcPr>
                <w:p w14:paraId="028CE36E">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w:t>
                  </w:r>
                </w:p>
              </w:tc>
            </w:tr>
            <w:tr w14:paraId="1E39C7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Merge w:val="restart"/>
                  <w:noWrap w:val="0"/>
                  <w:vAlign w:val="center"/>
                </w:tcPr>
                <w:p w14:paraId="7606C34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监测</w:t>
                  </w:r>
                  <w:r>
                    <w:rPr>
                      <w:rFonts w:hint="default" w:ascii="Times New Roman" w:hAnsi="Times New Roman" w:eastAsia="宋体" w:cs="Times New Roman"/>
                      <w:bCs/>
                      <w:color w:val="auto"/>
                      <w:sz w:val="21"/>
                      <w:szCs w:val="21"/>
                      <w:highlight w:val="none"/>
                    </w:rPr>
                    <w:t>日期</w:t>
                  </w:r>
                </w:p>
              </w:tc>
              <w:tc>
                <w:tcPr>
                  <w:tcW w:w="1105" w:type="pct"/>
                  <w:vMerge w:val="restart"/>
                  <w:noWrap w:val="0"/>
                  <w:vAlign w:val="center"/>
                </w:tcPr>
                <w:p w14:paraId="5FED0B0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样品编号</w:t>
                  </w:r>
                </w:p>
              </w:tc>
              <w:tc>
                <w:tcPr>
                  <w:tcW w:w="649" w:type="pct"/>
                  <w:vMerge w:val="restart"/>
                  <w:noWrap w:val="0"/>
                  <w:vAlign w:val="center"/>
                </w:tcPr>
                <w:p w14:paraId="629C78B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标</w:t>
                  </w:r>
                  <w:r>
                    <w:rPr>
                      <w:rFonts w:hint="default" w:ascii="Times New Roman" w:hAnsi="Times New Roman" w:eastAsia="宋体" w:cs="Times New Roman"/>
                      <w:bCs/>
                      <w:color w:val="auto"/>
                      <w:sz w:val="21"/>
                      <w:szCs w:val="21"/>
                      <w:highlight w:val="none"/>
                      <w:lang w:val="en-US" w:eastAsia="zh-CN"/>
                    </w:rPr>
                    <w:t>干</w:t>
                  </w:r>
                  <w:r>
                    <w:rPr>
                      <w:rFonts w:hint="default" w:ascii="Times New Roman" w:hAnsi="Times New Roman" w:eastAsia="宋体" w:cs="Times New Roman"/>
                      <w:bCs/>
                      <w:color w:val="auto"/>
                      <w:sz w:val="21"/>
                      <w:szCs w:val="21"/>
                      <w:highlight w:val="none"/>
                    </w:rPr>
                    <w:t>流量m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p>
              </w:tc>
              <w:tc>
                <w:tcPr>
                  <w:tcW w:w="2511" w:type="pct"/>
                  <w:gridSpan w:val="3"/>
                  <w:tcBorders>
                    <w:top w:val="single" w:color="auto" w:sz="4" w:space="0"/>
                    <w:bottom w:val="single" w:color="auto" w:sz="8" w:space="0"/>
                  </w:tcBorders>
                  <w:noWrap w:val="0"/>
                  <w:vAlign w:val="center"/>
                </w:tcPr>
                <w:p w14:paraId="0B612CA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二氧化硫</w:t>
                  </w:r>
                </w:p>
              </w:tc>
            </w:tr>
            <w:tr w14:paraId="51A61E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Merge w:val="continue"/>
                  <w:tcBorders>
                    <w:bottom w:val="single" w:color="auto" w:sz="8" w:space="0"/>
                  </w:tcBorders>
                  <w:noWrap w:val="0"/>
                  <w:vAlign w:val="center"/>
                </w:tcPr>
                <w:p w14:paraId="2AFD811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1105" w:type="pct"/>
                  <w:vMerge w:val="continue"/>
                  <w:tcBorders>
                    <w:bottom w:val="single" w:color="auto" w:sz="8" w:space="0"/>
                  </w:tcBorders>
                  <w:noWrap w:val="0"/>
                  <w:vAlign w:val="center"/>
                </w:tcPr>
                <w:p w14:paraId="08DA61A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49" w:type="pct"/>
                  <w:vMerge w:val="continue"/>
                  <w:tcBorders>
                    <w:bottom w:val="single" w:color="auto" w:sz="8" w:space="0"/>
                  </w:tcBorders>
                  <w:noWrap w:val="0"/>
                  <w:vAlign w:val="center"/>
                </w:tcPr>
                <w:p w14:paraId="12277D5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828" w:type="pct"/>
                  <w:tcBorders>
                    <w:top w:val="single" w:color="auto" w:sz="4" w:space="0"/>
                    <w:bottom w:val="single" w:color="auto" w:sz="8" w:space="0"/>
                  </w:tcBorders>
                  <w:noWrap w:val="0"/>
                  <w:vAlign w:val="center"/>
                </w:tcPr>
                <w:p w14:paraId="79411E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实测排放浓度（mg/m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917" w:type="pct"/>
                  <w:tcBorders>
                    <w:top w:val="single" w:color="auto" w:sz="4" w:space="0"/>
                    <w:bottom w:val="single" w:color="auto" w:sz="8" w:space="0"/>
                  </w:tcBorders>
                  <w:noWrap w:val="0"/>
                  <w:vAlign w:val="center"/>
                </w:tcPr>
                <w:p w14:paraId="01FDDE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val="0"/>
                      <w:bCs w:val="0"/>
                      <w:color w:val="auto"/>
                      <w:sz w:val="21"/>
                      <w:szCs w:val="21"/>
                      <w:highlight w:val="none"/>
                    </w:rPr>
                    <w:t>折算排放浓度（mg/m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764" w:type="pct"/>
                  <w:tcBorders>
                    <w:top w:val="single" w:color="auto" w:sz="4" w:space="0"/>
                    <w:bottom w:val="single" w:color="auto" w:sz="8" w:space="0"/>
                  </w:tcBorders>
                  <w:noWrap w:val="0"/>
                  <w:vAlign w:val="center"/>
                </w:tcPr>
                <w:p w14:paraId="7ADA6D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排放速率（kg/h）</w:t>
                  </w:r>
                </w:p>
              </w:tc>
            </w:tr>
            <w:tr w14:paraId="02FAC8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Merge w:val="restart"/>
                  <w:noWrap w:val="0"/>
                  <w:vAlign w:val="center"/>
                </w:tcPr>
                <w:p w14:paraId="7F89AFC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2024.8.12</w:t>
                  </w:r>
                </w:p>
              </w:tc>
              <w:tc>
                <w:tcPr>
                  <w:tcW w:w="1105" w:type="pct"/>
                  <w:tcBorders>
                    <w:top w:val="single" w:color="auto" w:sz="4" w:space="0"/>
                    <w:bottom w:val="single" w:color="auto" w:sz="4" w:space="0"/>
                  </w:tcBorders>
                  <w:noWrap w:val="0"/>
                  <w:vAlign w:val="center"/>
                </w:tcPr>
                <w:p w14:paraId="6A7A8B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24080510A101-2</w:t>
                  </w:r>
                </w:p>
              </w:tc>
              <w:tc>
                <w:tcPr>
                  <w:tcW w:w="1041" w:type="dxa"/>
                  <w:tcBorders>
                    <w:top w:val="single" w:color="auto" w:sz="4" w:space="0"/>
                    <w:bottom w:val="single" w:color="auto" w:sz="4" w:space="0"/>
                  </w:tcBorders>
                  <w:noWrap w:val="0"/>
                  <w:vAlign w:val="center"/>
                </w:tcPr>
                <w:p w14:paraId="003DB3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3396</w:t>
                  </w:r>
                </w:p>
              </w:tc>
              <w:tc>
                <w:tcPr>
                  <w:tcW w:w="828" w:type="pct"/>
                  <w:tcBorders>
                    <w:top w:val="single" w:color="auto" w:sz="4" w:space="0"/>
                  </w:tcBorders>
                  <w:noWrap w:val="0"/>
                  <w:vAlign w:val="center"/>
                </w:tcPr>
                <w:p w14:paraId="6154FC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917" w:type="pct"/>
                  <w:tcBorders>
                    <w:top w:val="single" w:color="auto" w:sz="4" w:space="0"/>
                  </w:tcBorders>
                  <w:noWrap w:val="0"/>
                  <w:vAlign w:val="center"/>
                </w:tcPr>
                <w:p w14:paraId="68762B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764" w:type="pct"/>
                  <w:tcBorders>
                    <w:top w:val="single" w:color="auto" w:sz="4" w:space="0"/>
                  </w:tcBorders>
                  <w:noWrap w:val="0"/>
                  <w:vAlign w:val="center"/>
                </w:tcPr>
                <w:p w14:paraId="50369A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6.11</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10</w:t>
                  </w:r>
                  <w:r>
                    <w:rPr>
                      <w:rFonts w:hint="eastAsia" w:cs="Times New Roman"/>
                      <w:b w:val="0"/>
                      <w:bCs w:val="0"/>
                      <w:color w:val="auto"/>
                      <w:sz w:val="21"/>
                      <w:szCs w:val="21"/>
                      <w:highlight w:val="none"/>
                      <w:vertAlign w:val="superscript"/>
                      <w:lang w:val="en-US" w:eastAsia="zh-CN"/>
                    </w:rPr>
                    <w:t>-2</w:t>
                  </w:r>
                </w:p>
              </w:tc>
            </w:tr>
            <w:tr w14:paraId="24A2E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Merge w:val="continue"/>
                  <w:noWrap w:val="0"/>
                  <w:vAlign w:val="center"/>
                </w:tcPr>
                <w:p w14:paraId="35856E0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105" w:type="pct"/>
                  <w:tcBorders>
                    <w:top w:val="single" w:color="auto" w:sz="4" w:space="0"/>
                    <w:bottom w:val="single" w:color="auto" w:sz="4" w:space="0"/>
                  </w:tcBorders>
                  <w:noWrap w:val="0"/>
                  <w:vAlign w:val="center"/>
                </w:tcPr>
                <w:p w14:paraId="5EEA5E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24080510A102-2</w:t>
                  </w:r>
                </w:p>
              </w:tc>
              <w:tc>
                <w:tcPr>
                  <w:tcW w:w="1041" w:type="dxa"/>
                  <w:tcBorders>
                    <w:top w:val="single" w:color="auto" w:sz="4" w:space="0"/>
                    <w:bottom w:val="single" w:color="auto" w:sz="4" w:space="0"/>
                  </w:tcBorders>
                  <w:noWrap w:val="0"/>
                  <w:vAlign w:val="center"/>
                </w:tcPr>
                <w:p w14:paraId="26D4D3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3518</w:t>
                  </w:r>
                </w:p>
              </w:tc>
              <w:tc>
                <w:tcPr>
                  <w:tcW w:w="828" w:type="pct"/>
                  <w:noWrap w:val="0"/>
                  <w:vAlign w:val="center"/>
                </w:tcPr>
                <w:p w14:paraId="52506C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917" w:type="pct"/>
                  <w:noWrap w:val="0"/>
                  <w:vAlign w:val="center"/>
                </w:tcPr>
                <w:p w14:paraId="48B95E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w:t>
                  </w:r>
                </w:p>
              </w:tc>
              <w:tc>
                <w:tcPr>
                  <w:tcW w:w="764" w:type="pct"/>
                  <w:noWrap w:val="0"/>
                  <w:vAlign w:val="center"/>
                </w:tcPr>
                <w:p w14:paraId="0E0C86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4.57</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10</w:t>
                  </w:r>
                  <w:r>
                    <w:rPr>
                      <w:rFonts w:hint="eastAsia" w:cs="Times New Roman"/>
                      <w:b w:val="0"/>
                      <w:bCs w:val="0"/>
                      <w:color w:val="auto"/>
                      <w:sz w:val="21"/>
                      <w:szCs w:val="21"/>
                      <w:highlight w:val="none"/>
                      <w:vertAlign w:val="superscript"/>
                      <w:lang w:val="en-US" w:eastAsia="zh-CN"/>
                    </w:rPr>
                    <w:t>-2</w:t>
                  </w:r>
                </w:p>
              </w:tc>
            </w:tr>
            <w:tr w14:paraId="6C7235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Merge w:val="continue"/>
                  <w:noWrap w:val="0"/>
                  <w:vAlign w:val="center"/>
                </w:tcPr>
                <w:p w14:paraId="313C38F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105" w:type="pct"/>
                  <w:tcBorders>
                    <w:top w:val="single" w:color="auto" w:sz="4" w:space="0"/>
                    <w:bottom w:val="single" w:color="auto" w:sz="4" w:space="0"/>
                  </w:tcBorders>
                  <w:noWrap w:val="0"/>
                  <w:vAlign w:val="center"/>
                </w:tcPr>
                <w:p w14:paraId="669271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24080510A103-2</w:t>
                  </w:r>
                </w:p>
              </w:tc>
              <w:tc>
                <w:tcPr>
                  <w:tcW w:w="1041" w:type="dxa"/>
                  <w:tcBorders>
                    <w:top w:val="single" w:color="auto" w:sz="4" w:space="0"/>
                    <w:bottom w:val="single" w:color="auto" w:sz="4" w:space="0"/>
                  </w:tcBorders>
                  <w:noWrap w:val="0"/>
                  <w:vAlign w:val="center"/>
                </w:tcPr>
                <w:p w14:paraId="025141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3375</w:t>
                  </w:r>
                </w:p>
              </w:tc>
              <w:tc>
                <w:tcPr>
                  <w:tcW w:w="828" w:type="pct"/>
                  <w:noWrap w:val="0"/>
                  <w:vAlign w:val="center"/>
                </w:tcPr>
                <w:p w14:paraId="7BBF16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w:t>
                  </w:r>
                </w:p>
              </w:tc>
              <w:tc>
                <w:tcPr>
                  <w:tcW w:w="917" w:type="pct"/>
                  <w:noWrap w:val="0"/>
                  <w:vAlign w:val="center"/>
                </w:tcPr>
                <w:p w14:paraId="78B770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764" w:type="pct"/>
                  <w:noWrap w:val="0"/>
                  <w:vAlign w:val="center"/>
                </w:tcPr>
                <w:p w14:paraId="29CDFA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7.42</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10</w:t>
                  </w:r>
                  <w:r>
                    <w:rPr>
                      <w:rFonts w:hint="eastAsia" w:cs="Times New Roman"/>
                      <w:b w:val="0"/>
                      <w:bCs w:val="0"/>
                      <w:color w:val="auto"/>
                      <w:sz w:val="21"/>
                      <w:szCs w:val="21"/>
                      <w:highlight w:val="none"/>
                      <w:vertAlign w:val="superscript"/>
                      <w:lang w:val="en-US" w:eastAsia="zh-CN"/>
                    </w:rPr>
                    <w:t>-2</w:t>
                  </w:r>
                </w:p>
              </w:tc>
            </w:tr>
            <w:tr w14:paraId="54BC6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39" w:type="pct"/>
                  <w:gridSpan w:val="2"/>
                  <w:noWrap w:val="0"/>
                  <w:vAlign w:val="center"/>
                </w:tcPr>
                <w:p w14:paraId="18B37E32">
                  <w:pPr>
                    <w:pStyle w:val="10"/>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vertAlign w:val="baseline"/>
                      <w:lang w:val="en-US" w:eastAsia="zh-CN"/>
                    </w:rPr>
                    <w:t>平均值</w:t>
                  </w:r>
                </w:p>
              </w:tc>
              <w:tc>
                <w:tcPr>
                  <w:tcW w:w="1041" w:type="dxa"/>
                  <w:tcBorders>
                    <w:top w:val="single" w:color="auto" w:sz="4" w:space="0"/>
                    <w:bottom w:val="single" w:color="auto" w:sz="4" w:space="0"/>
                  </w:tcBorders>
                  <w:noWrap w:val="0"/>
                  <w:vAlign w:val="center"/>
                </w:tcPr>
                <w:p w14:paraId="67F720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3430</w:t>
                  </w:r>
                </w:p>
              </w:tc>
              <w:tc>
                <w:tcPr>
                  <w:tcW w:w="828" w:type="pct"/>
                  <w:noWrap w:val="0"/>
                  <w:vAlign w:val="center"/>
                </w:tcPr>
                <w:p w14:paraId="254B3E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917" w:type="pct"/>
                  <w:noWrap w:val="0"/>
                  <w:vAlign w:val="center"/>
                </w:tcPr>
                <w:p w14:paraId="124360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w:t>
                  </w:r>
                </w:p>
              </w:tc>
              <w:tc>
                <w:tcPr>
                  <w:tcW w:w="764" w:type="pct"/>
                  <w:noWrap w:val="0"/>
                  <w:vAlign w:val="center"/>
                </w:tcPr>
                <w:p w14:paraId="46D0B4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6.17</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10</w:t>
                  </w:r>
                  <w:r>
                    <w:rPr>
                      <w:rFonts w:hint="eastAsia" w:cs="Times New Roman"/>
                      <w:b w:val="0"/>
                      <w:bCs w:val="0"/>
                      <w:color w:val="auto"/>
                      <w:sz w:val="21"/>
                      <w:szCs w:val="21"/>
                      <w:highlight w:val="none"/>
                      <w:vertAlign w:val="superscript"/>
                      <w:lang w:val="en-US" w:eastAsia="zh-CN"/>
                    </w:rPr>
                    <w:t>-2</w:t>
                  </w:r>
                </w:p>
              </w:tc>
            </w:tr>
            <w:tr w14:paraId="2DE76D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39" w:type="pct"/>
                  <w:gridSpan w:val="2"/>
                  <w:tcBorders>
                    <w:bottom w:val="single" w:color="auto" w:sz="4" w:space="0"/>
                  </w:tcBorders>
                  <w:noWrap w:val="0"/>
                  <w:vAlign w:val="center"/>
                </w:tcPr>
                <w:p w14:paraId="0F8FE68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标准值</w:t>
                  </w:r>
                </w:p>
              </w:tc>
              <w:tc>
                <w:tcPr>
                  <w:tcW w:w="649" w:type="pct"/>
                  <w:tcBorders>
                    <w:top w:val="single" w:color="auto" w:sz="4" w:space="0"/>
                    <w:bottom w:val="single" w:color="auto" w:sz="4" w:space="0"/>
                  </w:tcBorders>
                  <w:noWrap w:val="0"/>
                  <w:vAlign w:val="center"/>
                </w:tcPr>
                <w:p w14:paraId="3143C5AB">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28" w:type="pct"/>
                  <w:tcBorders>
                    <w:top w:val="single" w:color="auto" w:sz="4" w:space="0"/>
                    <w:bottom w:val="single" w:color="auto" w:sz="4" w:space="0"/>
                  </w:tcBorders>
                  <w:noWrap w:val="0"/>
                  <w:vAlign w:val="center"/>
                </w:tcPr>
                <w:p w14:paraId="380F445E">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917" w:type="pct"/>
                  <w:tcBorders>
                    <w:top w:val="single" w:color="auto" w:sz="4" w:space="0"/>
                    <w:bottom w:val="single" w:color="auto" w:sz="4" w:space="0"/>
                  </w:tcBorders>
                  <w:noWrap w:val="0"/>
                  <w:vAlign w:val="center"/>
                </w:tcPr>
                <w:p w14:paraId="18F3D08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300</w:t>
                  </w:r>
                </w:p>
              </w:tc>
              <w:tc>
                <w:tcPr>
                  <w:tcW w:w="764" w:type="pct"/>
                  <w:tcBorders>
                    <w:top w:val="single" w:color="auto" w:sz="4" w:space="0"/>
                    <w:bottom w:val="single" w:color="auto" w:sz="4" w:space="0"/>
                  </w:tcBorders>
                  <w:noWrap w:val="0"/>
                  <w:vAlign w:val="center"/>
                </w:tcPr>
                <w:p w14:paraId="3BD15CF8">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r>
            <w:tr w14:paraId="0ADFB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39" w:type="pct"/>
                  <w:gridSpan w:val="2"/>
                  <w:noWrap w:val="0"/>
                  <w:vAlign w:val="center"/>
                </w:tcPr>
                <w:p w14:paraId="5D448B2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达标分析</w:t>
                  </w:r>
                </w:p>
              </w:tc>
              <w:tc>
                <w:tcPr>
                  <w:tcW w:w="649" w:type="pct"/>
                  <w:tcBorders>
                    <w:top w:val="single" w:color="auto" w:sz="4" w:space="0"/>
                    <w:bottom w:val="single" w:color="auto" w:sz="4" w:space="0"/>
                  </w:tcBorders>
                  <w:noWrap w:val="0"/>
                  <w:vAlign w:val="center"/>
                </w:tcPr>
                <w:p w14:paraId="1FF8FEB6">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w:t>
                  </w:r>
                </w:p>
              </w:tc>
              <w:tc>
                <w:tcPr>
                  <w:tcW w:w="828" w:type="pct"/>
                  <w:tcBorders>
                    <w:top w:val="single" w:color="auto" w:sz="4" w:space="0"/>
                    <w:bottom w:val="single" w:color="auto" w:sz="4" w:space="0"/>
                  </w:tcBorders>
                  <w:noWrap w:val="0"/>
                  <w:vAlign w:val="center"/>
                </w:tcPr>
                <w:p w14:paraId="1FABE6AB">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w:t>
                  </w:r>
                </w:p>
              </w:tc>
              <w:tc>
                <w:tcPr>
                  <w:tcW w:w="917" w:type="pct"/>
                  <w:tcBorders>
                    <w:top w:val="single" w:color="auto" w:sz="4" w:space="0"/>
                    <w:bottom w:val="single" w:color="auto" w:sz="4" w:space="0"/>
                  </w:tcBorders>
                  <w:noWrap w:val="0"/>
                  <w:vAlign w:val="center"/>
                </w:tcPr>
                <w:p w14:paraId="2C13B69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达标</w:t>
                  </w:r>
                </w:p>
              </w:tc>
              <w:tc>
                <w:tcPr>
                  <w:tcW w:w="764" w:type="pct"/>
                  <w:tcBorders>
                    <w:top w:val="single" w:color="auto" w:sz="4" w:space="0"/>
                    <w:bottom w:val="single" w:color="auto" w:sz="4" w:space="0"/>
                  </w:tcBorders>
                  <w:noWrap w:val="0"/>
                  <w:vAlign w:val="center"/>
                </w:tcPr>
                <w:p w14:paraId="435E162A">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w:t>
                  </w:r>
                </w:p>
              </w:tc>
            </w:tr>
            <w:tr w14:paraId="26EB7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Merge w:val="restart"/>
                  <w:noWrap w:val="0"/>
                  <w:vAlign w:val="center"/>
                </w:tcPr>
                <w:p w14:paraId="45339A2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监测</w:t>
                  </w:r>
                  <w:r>
                    <w:rPr>
                      <w:rFonts w:hint="default" w:ascii="Times New Roman" w:hAnsi="Times New Roman" w:eastAsia="宋体" w:cs="Times New Roman"/>
                      <w:bCs/>
                      <w:color w:val="auto"/>
                      <w:sz w:val="21"/>
                      <w:szCs w:val="21"/>
                      <w:highlight w:val="none"/>
                    </w:rPr>
                    <w:t>日期</w:t>
                  </w:r>
                </w:p>
              </w:tc>
              <w:tc>
                <w:tcPr>
                  <w:tcW w:w="1105" w:type="pct"/>
                  <w:vMerge w:val="restart"/>
                  <w:noWrap w:val="0"/>
                  <w:vAlign w:val="center"/>
                </w:tcPr>
                <w:p w14:paraId="49D5D54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样品编号</w:t>
                  </w:r>
                </w:p>
              </w:tc>
              <w:tc>
                <w:tcPr>
                  <w:tcW w:w="649" w:type="pct"/>
                  <w:vMerge w:val="restart"/>
                  <w:tcBorders>
                    <w:top w:val="single" w:color="auto" w:sz="4" w:space="0"/>
                  </w:tcBorders>
                  <w:noWrap w:val="0"/>
                  <w:vAlign w:val="center"/>
                </w:tcPr>
                <w:p w14:paraId="3FFCC46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sz w:val="21"/>
                      <w:szCs w:val="21"/>
                      <w:highlight w:val="none"/>
                    </w:rPr>
                    <w:t>标</w:t>
                  </w:r>
                  <w:r>
                    <w:rPr>
                      <w:rFonts w:hint="default" w:ascii="Times New Roman" w:hAnsi="Times New Roman" w:eastAsia="宋体" w:cs="Times New Roman"/>
                      <w:bCs/>
                      <w:color w:val="auto"/>
                      <w:sz w:val="21"/>
                      <w:szCs w:val="21"/>
                      <w:highlight w:val="none"/>
                      <w:lang w:val="en-US" w:eastAsia="zh-CN"/>
                    </w:rPr>
                    <w:t>干</w:t>
                  </w:r>
                  <w:r>
                    <w:rPr>
                      <w:rFonts w:hint="default" w:ascii="Times New Roman" w:hAnsi="Times New Roman" w:eastAsia="宋体" w:cs="Times New Roman"/>
                      <w:bCs/>
                      <w:color w:val="auto"/>
                      <w:sz w:val="21"/>
                      <w:szCs w:val="21"/>
                      <w:highlight w:val="none"/>
                    </w:rPr>
                    <w:t>流量m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p>
              </w:tc>
              <w:tc>
                <w:tcPr>
                  <w:tcW w:w="2511" w:type="pct"/>
                  <w:gridSpan w:val="3"/>
                  <w:tcBorders>
                    <w:top w:val="single" w:color="auto" w:sz="4" w:space="0"/>
                    <w:bottom w:val="single" w:color="auto" w:sz="4" w:space="0"/>
                  </w:tcBorders>
                  <w:noWrap w:val="0"/>
                  <w:vAlign w:val="center"/>
                </w:tcPr>
                <w:p w14:paraId="5F3747F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氮氧化物</w:t>
                  </w:r>
                </w:p>
              </w:tc>
            </w:tr>
            <w:tr w14:paraId="34CAAB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Merge w:val="continue"/>
                  <w:noWrap w:val="0"/>
                  <w:vAlign w:val="center"/>
                </w:tcPr>
                <w:p w14:paraId="4EAF458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1105" w:type="pct"/>
                  <w:vMerge w:val="continue"/>
                  <w:noWrap w:val="0"/>
                  <w:vAlign w:val="center"/>
                </w:tcPr>
                <w:p w14:paraId="06EAA3C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649" w:type="pct"/>
                  <w:vMerge w:val="continue"/>
                  <w:tcBorders>
                    <w:bottom w:val="single" w:color="auto" w:sz="4" w:space="0"/>
                  </w:tcBorders>
                  <w:noWrap w:val="0"/>
                  <w:vAlign w:val="center"/>
                </w:tcPr>
                <w:p w14:paraId="24370718">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rPr>
                  </w:pPr>
                </w:p>
              </w:tc>
              <w:tc>
                <w:tcPr>
                  <w:tcW w:w="828" w:type="pct"/>
                  <w:tcBorders>
                    <w:top w:val="single" w:color="auto" w:sz="4" w:space="0"/>
                    <w:bottom w:val="single" w:color="auto" w:sz="4" w:space="0"/>
                  </w:tcBorders>
                  <w:noWrap w:val="0"/>
                  <w:vAlign w:val="center"/>
                </w:tcPr>
                <w:p w14:paraId="15062A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实测排放浓度（mg/m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917" w:type="pct"/>
                  <w:tcBorders>
                    <w:top w:val="single" w:color="auto" w:sz="4" w:space="0"/>
                    <w:bottom w:val="single" w:color="auto" w:sz="4" w:space="0"/>
                  </w:tcBorders>
                  <w:noWrap w:val="0"/>
                  <w:vAlign w:val="center"/>
                </w:tcPr>
                <w:p w14:paraId="743C83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折算排放浓度（mg/m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764" w:type="pct"/>
                  <w:tcBorders>
                    <w:top w:val="single" w:color="auto" w:sz="4" w:space="0"/>
                    <w:bottom w:val="single" w:color="auto" w:sz="4" w:space="0"/>
                  </w:tcBorders>
                  <w:noWrap w:val="0"/>
                  <w:vAlign w:val="center"/>
                </w:tcPr>
                <w:p w14:paraId="2F65C0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排放速率（kg/h）</w:t>
                  </w:r>
                </w:p>
              </w:tc>
            </w:tr>
            <w:tr w14:paraId="3FC4A9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Merge w:val="restart"/>
                  <w:noWrap w:val="0"/>
                  <w:vAlign w:val="center"/>
                </w:tcPr>
                <w:p w14:paraId="6E560C8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color w:val="auto"/>
                      <w:sz w:val="21"/>
                      <w:szCs w:val="21"/>
                      <w:highlight w:val="none"/>
                      <w:lang w:val="en-US" w:eastAsia="zh-CN"/>
                    </w:rPr>
                    <w:t>2024.8.12</w:t>
                  </w:r>
                </w:p>
              </w:tc>
              <w:tc>
                <w:tcPr>
                  <w:tcW w:w="1105" w:type="pct"/>
                  <w:noWrap w:val="0"/>
                  <w:vAlign w:val="center"/>
                </w:tcPr>
                <w:p w14:paraId="295966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color w:val="auto"/>
                      <w:sz w:val="21"/>
                      <w:szCs w:val="21"/>
                      <w:highlight w:val="none"/>
                      <w:lang w:val="en-US" w:eastAsia="zh-CN"/>
                    </w:rPr>
                    <w:t>24080510A101-2</w:t>
                  </w:r>
                </w:p>
              </w:tc>
              <w:tc>
                <w:tcPr>
                  <w:tcW w:w="1041" w:type="dxa"/>
                  <w:tcBorders>
                    <w:top w:val="single" w:color="auto" w:sz="4" w:space="0"/>
                    <w:bottom w:val="single" w:color="auto" w:sz="4" w:space="0"/>
                  </w:tcBorders>
                  <w:noWrap w:val="0"/>
                  <w:vAlign w:val="center"/>
                </w:tcPr>
                <w:p w14:paraId="36A03D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eastAsia" w:cs="Times New Roman"/>
                      <w:color w:val="auto"/>
                      <w:sz w:val="21"/>
                      <w:szCs w:val="21"/>
                      <w:highlight w:val="none"/>
                      <w:lang w:val="en-US" w:eastAsia="zh-CN"/>
                    </w:rPr>
                    <w:t>3396</w:t>
                  </w:r>
                </w:p>
              </w:tc>
              <w:tc>
                <w:tcPr>
                  <w:tcW w:w="828" w:type="pct"/>
                  <w:tcBorders>
                    <w:top w:val="single" w:color="auto" w:sz="4" w:space="0"/>
                    <w:bottom w:val="single" w:color="auto" w:sz="4" w:space="0"/>
                  </w:tcBorders>
                  <w:noWrap w:val="0"/>
                  <w:vAlign w:val="center"/>
                </w:tcPr>
                <w:p w14:paraId="47C605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79</w:t>
                  </w:r>
                </w:p>
              </w:tc>
              <w:tc>
                <w:tcPr>
                  <w:tcW w:w="917" w:type="pct"/>
                  <w:tcBorders>
                    <w:top w:val="single" w:color="auto" w:sz="4" w:space="0"/>
                    <w:bottom w:val="single" w:color="auto" w:sz="4" w:space="0"/>
                  </w:tcBorders>
                  <w:noWrap w:val="0"/>
                  <w:vAlign w:val="center"/>
                </w:tcPr>
                <w:p w14:paraId="07EDB4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182</w:t>
                  </w:r>
                </w:p>
              </w:tc>
              <w:tc>
                <w:tcPr>
                  <w:tcW w:w="764" w:type="pct"/>
                  <w:tcBorders>
                    <w:top w:val="single" w:color="auto" w:sz="4" w:space="0"/>
                    <w:bottom w:val="single" w:color="auto" w:sz="4" w:space="0"/>
                  </w:tcBorders>
                  <w:noWrap w:val="0"/>
                  <w:vAlign w:val="center"/>
                </w:tcPr>
                <w:p w14:paraId="2BA46E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0.268</w:t>
                  </w:r>
                </w:p>
              </w:tc>
            </w:tr>
            <w:tr w14:paraId="51A649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Merge w:val="continue"/>
                  <w:noWrap w:val="0"/>
                  <w:vAlign w:val="center"/>
                </w:tcPr>
                <w:p w14:paraId="66859AF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1105" w:type="pct"/>
                  <w:noWrap w:val="0"/>
                  <w:vAlign w:val="center"/>
                </w:tcPr>
                <w:p w14:paraId="2E7449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color w:val="auto"/>
                      <w:sz w:val="21"/>
                      <w:szCs w:val="21"/>
                      <w:highlight w:val="none"/>
                      <w:lang w:val="en-US" w:eastAsia="zh-CN"/>
                    </w:rPr>
                    <w:t>24080510A102-2</w:t>
                  </w:r>
                </w:p>
              </w:tc>
              <w:tc>
                <w:tcPr>
                  <w:tcW w:w="1041" w:type="dxa"/>
                  <w:tcBorders>
                    <w:top w:val="single" w:color="auto" w:sz="4" w:space="0"/>
                    <w:bottom w:val="single" w:color="auto" w:sz="4" w:space="0"/>
                  </w:tcBorders>
                  <w:noWrap w:val="0"/>
                  <w:vAlign w:val="center"/>
                </w:tcPr>
                <w:p w14:paraId="41FB28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eastAsia" w:cs="Times New Roman"/>
                      <w:color w:val="auto"/>
                      <w:sz w:val="21"/>
                      <w:szCs w:val="21"/>
                      <w:highlight w:val="none"/>
                      <w:lang w:val="en-US" w:eastAsia="zh-CN"/>
                    </w:rPr>
                    <w:t>3518</w:t>
                  </w:r>
                </w:p>
              </w:tc>
              <w:tc>
                <w:tcPr>
                  <w:tcW w:w="828" w:type="pct"/>
                  <w:tcBorders>
                    <w:top w:val="single" w:color="auto" w:sz="4" w:space="0"/>
                    <w:bottom w:val="single" w:color="auto" w:sz="4" w:space="0"/>
                  </w:tcBorders>
                  <w:noWrap w:val="0"/>
                  <w:vAlign w:val="center"/>
                </w:tcPr>
                <w:p w14:paraId="078084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55</w:t>
                  </w:r>
                </w:p>
              </w:tc>
              <w:tc>
                <w:tcPr>
                  <w:tcW w:w="917" w:type="pct"/>
                  <w:tcBorders>
                    <w:top w:val="single" w:color="auto" w:sz="4" w:space="0"/>
                    <w:bottom w:val="single" w:color="auto" w:sz="4" w:space="0"/>
                  </w:tcBorders>
                  <w:noWrap w:val="0"/>
                  <w:vAlign w:val="center"/>
                </w:tcPr>
                <w:p w14:paraId="3BAB0D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135</w:t>
                  </w:r>
                </w:p>
              </w:tc>
              <w:tc>
                <w:tcPr>
                  <w:tcW w:w="764" w:type="pct"/>
                  <w:tcBorders>
                    <w:top w:val="single" w:color="auto" w:sz="4" w:space="0"/>
                    <w:bottom w:val="single" w:color="auto" w:sz="4" w:space="0"/>
                  </w:tcBorders>
                  <w:noWrap w:val="0"/>
                  <w:vAlign w:val="center"/>
                </w:tcPr>
                <w:p w14:paraId="34CBC3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0.193</w:t>
                  </w:r>
                </w:p>
              </w:tc>
            </w:tr>
            <w:tr w14:paraId="236F9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Merge w:val="continue"/>
                  <w:noWrap w:val="0"/>
                  <w:vAlign w:val="center"/>
                </w:tcPr>
                <w:p w14:paraId="3641DFF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1105" w:type="pct"/>
                  <w:noWrap w:val="0"/>
                  <w:vAlign w:val="center"/>
                </w:tcPr>
                <w:p w14:paraId="2D7DDD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color w:val="auto"/>
                      <w:sz w:val="21"/>
                      <w:szCs w:val="21"/>
                      <w:highlight w:val="none"/>
                      <w:lang w:val="en-US" w:eastAsia="zh-CN"/>
                    </w:rPr>
                    <w:t>24080510A103-2</w:t>
                  </w:r>
                </w:p>
              </w:tc>
              <w:tc>
                <w:tcPr>
                  <w:tcW w:w="1041" w:type="dxa"/>
                  <w:tcBorders>
                    <w:top w:val="single" w:color="auto" w:sz="4" w:space="0"/>
                    <w:bottom w:val="single" w:color="auto" w:sz="4" w:space="0"/>
                  </w:tcBorders>
                  <w:noWrap w:val="0"/>
                  <w:vAlign w:val="center"/>
                </w:tcPr>
                <w:p w14:paraId="5136BA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eastAsia" w:cs="Times New Roman"/>
                      <w:color w:val="auto"/>
                      <w:sz w:val="21"/>
                      <w:szCs w:val="21"/>
                      <w:highlight w:val="none"/>
                      <w:lang w:val="en-US" w:eastAsia="zh-CN"/>
                    </w:rPr>
                    <w:t>3375</w:t>
                  </w:r>
                </w:p>
              </w:tc>
              <w:tc>
                <w:tcPr>
                  <w:tcW w:w="828" w:type="pct"/>
                  <w:tcBorders>
                    <w:top w:val="single" w:color="auto" w:sz="4" w:space="0"/>
                    <w:bottom w:val="single" w:color="auto" w:sz="4" w:space="0"/>
                  </w:tcBorders>
                  <w:noWrap w:val="0"/>
                  <w:vAlign w:val="center"/>
                </w:tcPr>
                <w:p w14:paraId="45FAB5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77</w:t>
                  </w:r>
                </w:p>
              </w:tc>
              <w:tc>
                <w:tcPr>
                  <w:tcW w:w="917" w:type="pct"/>
                  <w:tcBorders>
                    <w:top w:val="single" w:color="auto" w:sz="4" w:space="0"/>
                    <w:bottom w:val="single" w:color="auto" w:sz="4" w:space="0"/>
                  </w:tcBorders>
                  <w:noWrap w:val="0"/>
                  <w:vAlign w:val="center"/>
                </w:tcPr>
                <w:p w14:paraId="2E97A9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174</w:t>
                  </w:r>
                </w:p>
              </w:tc>
              <w:tc>
                <w:tcPr>
                  <w:tcW w:w="764" w:type="pct"/>
                  <w:tcBorders>
                    <w:top w:val="single" w:color="auto" w:sz="4" w:space="0"/>
                    <w:bottom w:val="single" w:color="auto" w:sz="4" w:space="0"/>
                  </w:tcBorders>
                  <w:noWrap w:val="0"/>
                  <w:vAlign w:val="center"/>
                </w:tcPr>
                <w:p w14:paraId="789F2D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0.260</w:t>
                  </w:r>
                </w:p>
              </w:tc>
            </w:tr>
            <w:tr w14:paraId="1D3792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noWrap w:val="0"/>
                  <w:vAlign w:val="center"/>
                </w:tcPr>
                <w:p w14:paraId="1E628B1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color w:val="auto"/>
                      <w:sz w:val="21"/>
                      <w:szCs w:val="21"/>
                      <w:highlight w:val="none"/>
                      <w:lang w:val="en-US" w:eastAsia="zh-CN"/>
                    </w:rPr>
                    <w:t>2024.8.12</w:t>
                  </w:r>
                </w:p>
              </w:tc>
              <w:tc>
                <w:tcPr>
                  <w:tcW w:w="1105" w:type="pct"/>
                  <w:noWrap w:val="0"/>
                  <w:vAlign w:val="center"/>
                </w:tcPr>
                <w:p w14:paraId="0DD318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s="Times New Roman"/>
                      <w:color w:val="auto"/>
                      <w:sz w:val="21"/>
                      <w:szCs w:val="21"/>
                      <w:highlight w:val="none"/>
                      <w:lang w:val="en-US" w:eastAsia="zh-CN"/>
                    </w:rPr>
                    <w:t>24080510A101-2</w:t>
                  </w:r>
                </w:p>
              </w:tc>
              <w:tc>
                <w:tcPr>
                  <w:tcW w:w="1041" w:type="dxa"/>
                  <w:tcBorders>
                    <w:top w:val="single" w:color="auto" w:sz="4" w:space="0"/>
                    <w:bottom w:val="single" w:color="auto" w:sz="4" w:space="0"/>
                  </w:tcBorders>
                  <w:noWrap w:val="0"/>
                  <w:vAlign w:val="center"/>
                </w:tcPr>
                <w:p w14:paraId="219F16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eastAsia" w:cs="Times New Roman"/>
                      <w:color w:val="auto"/>
                      <w:sz w:val="21"/>
                      <w:szCs w:val="21"/>
                      <w:highlight w:val="none"/>
                      <w:lang w:val="en-US" w:eastAsia="zh-CN"/>
                    </w:rPr>
                    <w:t>3430</w:t>
                  </w:r>
                </w:p>
              </w:tc>
              <w:tc>
                <w:tcPr>
                  <w:tcW w:w="828" w:type="pct"/>
                  <w:tcBorders>
                    <w:top w:val="single" w:color="auto" w:sz="4" w:space="0"/>
                    <w:bottom w:val="single" w:color="auto" w:sz="4" w:space="0"/>
                  </w:tcBorders>
                  <w:noWrap w:val="0"/>
                  <w:vAlign w:val="center"/>
                </w:tcPr>
                <w:p w14:paraId="28C122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70</w:t>
                  </w:r>
                </w:p>
              </w:tc>
              <w:tc>
                <w:tcPr>
                  <w:tcW w:w="917" w:type="pct"/>
                  <w:tcBorders>
                    <w:top w:val="single" w:color="auto" w:sz="4" w:space="0"/>
                    <w:bottom w:val="single" w:color="auto" w:sz="4" w:space="0"/>
                  </w:tcBorders>
                  <w:noWrap w:val="0"/>
                  <w:vAlign w:val="center"/>
                </w:tcPr>
                <w:p w14:paraId="0BD61B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164</w:t>
                  </w:r>
                </w:p>
              </w:tc>
              <w:tc>
                <w:tcPr>
                  <w:tcW w:w="764" w:type="pct"/>
                  <w:tcBorders>
                    <w:top w:val="single" w:color="auto" w:sz="4" w:space="0"/>
                    <w:bottom w:val="single" w:color="auto" w:sz="4" w:space="0"/>
                  </w:tcBorders>
                  <w:noWrap w:val="0"/>
                  <w:vAlign w:val="center"/>
                </w:tcPr>
                <w:p w14:paraId="70CA32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0.240</w:t>
                  </w:r>
                </w:p>
              </w:tc>
            </w:tr>
            <w:tr w14:paraId="23806A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39" w:type="pct"/>
                  <w:gridSpan w:val="2"/>
                  <w:noWrap w:val="0"/>
                  <w:vAlign w:val="center"/>
                </w:tcPr>
                <w:p w14:paraId="75901FC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标准值</w:t>
                  </w:r>
                </w:p>
              </w:tc>
              <w:tc>
                <w:tcPr>
                  <w:tcW w:w="649" w:type="pct"/>
                  <w:tcBorders>
                    <w:top w:val="single" w:color="auto" w:sz="4" w:space="0"/>
                    <w:bottom w:val="single" w:color="auto" w:sz="4" w:space="0"/>
                  </w:tcBorders>
                  <w:noWrap w:val="0"/>
                  <w:vAlign w:val="center"/>
                </w:tcPr>
                <w:p w14:paraId="338F565D">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w:t>
                  </w:r>
                </w:p>
              </w:tc>
              <w:tc>
                <w:tcPr>
                  <w:tcW w:w="828" w:type="pct"/>
                  <w:tcBorders>
                    <w:top w:val="single" w:color="auto" w:sz="4" w:space="0"/>
                    <w:bottom w:val="single" w:color="auto" w:sz="4" w:space="0"/>
                  </w:tcBorders>
                  <w:noWrap w:val="0"/>
                  <w:vAlign w:val="center"/>
                </w:tcPr>
                <w:p w14:paraId="79FFF214">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917" w:type="pct"/>
                  <w:tcBorders>
                    <w:top w:val="single" w:color="auto" w:sz="4" w:space="0"/>
                    <w:bottom w:val="single" w:color="auto" w:sz="4" w:space="0"/>
                  </w:tcBorders>
                  <w:noWrap w:val="0"/>
                  <w:vAlign w:val="center"/>
                </w:tcPr>
                <w:p w14:paraId="0619BB4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300</w:t>
                  </w:r>
                </w:p>
              </w:tc>
              <w:tc>
                <w:tcPr>
                  <w:tcW w:w="764" w:type="pct"/>
                  <w:tcBorders>
                    <w:top w:val="single" w:color="auto" w:sz="4" w:space="0"/>
                    <w:bottom w:val="single" w:color="auto" w:sz="4" w:space="0"/>
                  </w:tcBorders>
                  <w:noWrap w:val="0"/>
                  <w:vAlign w:val="center"/>
                </w:tcPr>
                <w:p w14:paraId="137FE989">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r>
            <w:tr w14:paraId="44695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39" w:type="pct"/>
                  <w:gridSpan w:val="2"/>
                  <w:noWrap w:val="0"/>
                  <w:vAlign w:val="center"/>
                </w:tcPr>
                <w:p w14:paraId="1CFB0F0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达标分析</w:t>
                  </w:r>
                </w:p>
              </w:tc>
              <w:tc>
                <w:tcPr>
                  <w:tcW w:w="649" w:type="pct"/>
                  <w:tcBorders>
                    <w:top w:val="single" w:color="auto" w:sz="4" w:space="0"/>
                    <w:bottom w:val="single" w:color="auto" w:sz="4" w:space="0"/>
                  </w:tcBorders>
                  <w:noWrap w:val="0"/>
                  <w:vAlign w:val="center"/>
                </w:tcPr>
                <w:p w14:paraId="59547377">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w:t>
                  </w:r>
                </w:p>
              </w:tc>
              <w:tc>
                <w:tcPr>
                  <w:tcW w:w="828" w:type="pct"/>
                  <w:tcBorders>
                    <w:top w:val="single" w:color="auto" w:sz="4" w:space="0"/>
                    <w:bottom w:val="single" w:color="auto" w:sz="4" w:space="0"/>
                  </w:tcBorders>
                  <w:noWrap w:val="0"/>
                  <w:vAlign w:val="center"/>
                </w:tcPr>
                <w:p w14:paraId="7753A455">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w:t>
                  </w:r>
                </w:p>
              </w:tc>
              <w:tc>
                <w:tcPr>
                  <w:tcW w:w="917" w:type="pct"/>
                  <w:tcBorders>
                    <w:top w:val="single" w:color="auto" w:sz="4" w:space="0"/>
                    <w:bottom w:val="single" w:color="auto" w:sz="4" w:space="0"/>
                  </w:tcBorders>
                  <w:noWrap w:val="0"/>
                  <w:vAlign w:val="center"/>
                </w:tcPr>
                <w:p w14:paraId="35653F4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达标</w:t>
                  </w:r>
                </w:p>
              </w:tc>
              <w:tc>
                <w:tcPr>
                  <w:tcW w:w="764" w:type="pct"/>
                  <w:tcBorders>
                    <w:top w:val="single" w:color="auto" w:sz="4" w:space="0"/>
                    <w:bottom w:val="single" w:color="auto" w:sz="4" w:space="0"/>
                  </w:tcBorders>
                  <w:noWrap w:val="0"/>
                  <w:vAlign w:val="center"/>
                </w:tcPr>
                <w:p w14:paraId="63FF5B31">
                  <w:pPr>
                    <w:keepNext w:val="0"/>
                    <w:keepLines w:val="0"/>
                    <w:pageBreakBefore w:val="0"/>
                    <w:widowControl w:val="0"/>
                    <w:suppressLineNumbers w:val="0"/>
                    <w:tabs>
                      <w:tab w:val="left" w:pos="780"/>
                    </w:tabs>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w:t>
                  </w:r>
                </w:p>
              </w:tc>
            </w:tr>
          </w:tbl>
          <w:p w14:paraId="7CEBA553">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根据监测结果，</w:t>
            </w:r>
            <w:r>
              <w:rPr>
                <w:rFonts w:hint="eastAsia" w:ascii="Times New Roman" w:hAnsi="Times New Roman" w:eastAsia="宋体" w:cs="Times New Roman"/>
                <w:bCs/>
                <w:color w:val="auto"/>
                <w:sz w:val="24"/>
                <w:szCs w:val="24"/>
                <w:highlight w:val="none"/>
                <w:lang w:val="en-US" w:eastAsia="zh-CN"/>
              </w:rPr>
              <w:t>生物质锅炉燃烧废气排放</w:t>
            </w:r>
            <w:r>
              <w:rPr>
                <w:rFonts w:hint="eastAsia" w:ascii="Times New Roman" w:hAnsi="Times New Roman" w:cs="Times New Roman"/>
                <w:bCs/>
                <w:color w:val="auto"/>
                <w:sz w:val="24"/>
                <w:szCs w:val="24"/>
                <w:highlight w:val="none"/>
                <w:lang w:val="en-US" w:eastAsia="zh-CN"/>
              </w:rPr>
              <w:t>满足</w:t>
            </w:r>
            <w:r>
              <w:rPr>
                <w:rFonts w:ascii="Times New Roman" w:hAnsi="Times New Roman"/>
                <w:color w:val="auto"/>
                <w:sz w:val="24"/>
                <w:szCs w:val="24"/>
                <w:highlight w:val="none"/>
              </w:rPr>
              <w:t>《锅炉大气污染物排放标准》（GB13271-2014）表2中新建燃煤锅炉大气污染物排放标准</w:t>
            </w:r>
            <w:r>
              <w:rPr>
                <w:rFonts w:hint="default" w:ascii="Times New Roman" w:hAnsi="Times New Roman" w:cs="Times New Roman"/>
                <w:color w:val="auto"/>
                <w:sz w:val="24"/>
                <w:szCs w:val="24"/>
                <w:highlight w:val="none"/>
              </w:rPr>
              <w:t>。</w:t>
            </w:r>
          </w:p>
          <w:p w14:paraId="7C208AA4">
            <w:pPr>
              <w:pStyle w:val="10"/>
              <w:ind w:firstLine="480" w:firstLineChars="200"/>
              <w:rPr>
                <w:rFonts w:hint="default"/>
                <w:color w:val="auto"/>
                <w:lang w:val="en-US"/>
              </w:rPr>
            </w:pP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无组织废气</w:t>
            </w:r>
          </w:p>
          <w:p w14:paraId="4794A6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color w:val="auto"/>
                <w:sz w:val="24"/>
                <w:lang w:val="en-US" w:eastAsia="zh-CN"/>
              </w:rPr>
            </w:pPr>
            <w:r>
              <w:rPr>
                <w:rFonts w:hint="eastAsia"/>
                <w:color w:val="auto"/>
                <w:sz w:val="24"/>
                <w:lang w:val="en-US" w:eastAsia="zh-CN"/>
              </w:rPr>
              <w:t>现有项目无组织废气主要为</w:t>
            </w:r>
            <w:r>
              <w:rPr>
                <w:rFonts w:hint="eastAsia" w:ascii="Times New Roman" w:hAnsi="Times New Roman"/>
                <w:b w:val="0"/>
                <w:bCs w:val="0"/>
                <w:color w:val="auto"/>
                <w:sz w:val="24"/>
                <w:highlight w:val="none"/>
                <w:lang w:val="en-US" w:eastAsia="zh-CN"/>
              </w:rPr>
              <w:t>生物质燃料原料堆存粉尘、生产车间</w:t>
            </w:r>
            <w:r>
              <w:rPr>
                <w:rFonts w:ascii="Times New Roman" w:hAnsi="Times New Roman"/>
                <w:b w:val="0"/>
                <w:bCs w:val="0"/>
                <w:color w:val="auto"/>
                <w:sz w:val="24"/>
                <w:highlight w:val="none"/>
              </w:rPr>
              <w:t>异味</w:t>
            </w:r>
            <w:r>
              <w:rPr>
                <w:rFonts w:hint="eastAsia"/>
                <w:b w:val="0"/>
                <w:bCs w:val="0"/>
                <w:color w:val="auto"/>
                <w:sz w:val="24"/>
                <w:highlight w:val="none"/>
                <w:lang w:eastAsia="zh-CN"/>
              </w:rPr>
              <w:t>及</w:t>
            </w:r>
            <w:r>
              <w:rPr>
                <w:rFonts w:hint="eastAsia" w:ascii="Times New Roman" w:hAnsi="Times New Roman"/>
                <w:b w:val="0"/>
                <w:bCs w:val="0"/>
                <w:color w:val="auto"/>
                <w:sz w:val="24"/>
                <w:highlight w:val="none"/>
                <w:lang w:val="en-US" w:eastAsia="zh-CN"/>
              </w:rPr>
              <w:t>一体化污水处理站废气。</w:t>
            </w:r>
          </w:p>
          <w:p w14:paraId="46E9AD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auto"/>
                <w:sz w:val="24"/>
                <w:szCs w:val="24"/>
                <w:highlight w:val="none"/>
              </w:rPr>
            </w:pPr>
            <w:r>
              <w:rPr>
                <w:rFonts w:hint="eastAsia" w:ascii="Times New Roman" w:hAnsi="Times New Roman" w:cs="Times New Roman"/>
                <w:caps w:val="0"/>
                <w:smallCaps w:val="0"/>
                <w:color w:val="auto"/>
                <w:sz w:val="24"/>
                <w:szCs w:val="24"/>
                <w:highlight w:val="none"/>
                <w:lang w:val="en-US" w:eastAsia="zh-CN"/>
              </w:rPr>
              <w:t>根据</w:t>
            </w:r>
            <w:r>
              <w:rPr>
                <w:rFonts w:hint="eastAsia" w:cs="Times New Roman"/>
                <w:caps w:val="0"/>
                <w:smallCaps w:val="0"/>
                <w:color w:val="auto"/>
                <w:sz w:val="24"/>
                <w:szCs w:val="24"/>
                <w:highlight w:val="none"/>
                <w:lang w:val="en-US" w:eastAsia="zh-CN"/>
              </w:rPr>
              <w:t>2024年</w:t>
            </w:r>
            <w:r>
              <w:rPr>
                <w:rFonts w:hint="eastAsia" w:ascii="Times New Roman" w:hAnsi="Times New Roman" w:cs="Times New Roman"/>
                <w:caps w:val="0"/>
                <w:smallCaps w:val="0"/>
                <w:color w:val="auto"/>
                <w:sz w:val="24"/>
                <w:szCs w:val="24"/>
                <w:highlight w:val="none"/>
                <w:lang w:val="en-US" w:eastAsia="zh-CN"/>
              </w:rPr>
              <w:t>《云南果研社农业科技发展有限公司自行监测（第三季度）</w:t>
            </w:r>
            <w:r>
              <w:rPr>
                <w:rFonts w:hint="eastAsia" w:cs="Times New Roman"/>
                <w:caps w:val="0"/>
                <w:smallCaps w:val="0"/>
                <w:color w:val="auto"/>
                <w:sz w:val="24"/>
                <w:szCs w:val="24"/>
                <w:highlight w:val="none"/>
                <w:lang w:val="en-US" w:eastAsia="zh-CN"/>
              </w:rPr>
              <w:t>检测报告</w:t>
            </w:r>
            <w:r>
              <w:rPr>
                <w:rFonts w:hint="eastAsia" w:ascii="Times New Roman" w:hAnsi="Times New Roman" w:cs="Times New Roman"/>
                <w:caps w:val="0"/>
                <w:smallCaps w:val="0"/>
                <w:color w:val="auto"/>
                <w:sz w:val="24"/>
                <w:szCs w:val="24"/>
                <w:highlight w:val="none"/>
                <w:lang w:val="en-US" w:eastAsia="zh-CN"/>
              </w:rPr>
              <w:t>》</w:t>
            </w:r>
            <w:r>
              <w:rPr>
                <w:rFonts w:hint="eastAsia" w:cs="Times New Roman"/>
                <w:caps w:val="0"/>
                <w:smallCaps w:val="0"/>
                <w:color w:val="auto"/>
                <w:sz w:val="24"/>
                <w:szCs w:val="24"/>
                <w:highlight w:val="none"/>
                <w:lang w:val="en-US" w:eastAsia="zh-CN"/>
              </w:rPr>
              <w:t>（YNHP24080510），厂区无组织废气</w:t>
            </w:r>
            <w:r>
              <w:rPr>
                <w:rFonts w:hint="eastAsia" w:ascii="Times New Roman" w:hAnsi="Times New Roman" w:cs="Times New Roman"/>
                <w:caps w:val="0"/>
                <w:smallCaps w:val="0"/>
                <w:color w:val="auto"/>
                <w:sz w:val="24"/>
                <w:szCs w:val="24"/>
                <w:highlight w:val="none"/>
                <w:lang w:val="en-US" w:eastAsia="zh-CN"/>
              </w:rPr>
              <w:t>监测结果如下：</w:t>
            </w:r>
          </w:p>
          <w:p w14:paraId="57D270AB">
            <w:pPr>
              <w:pStyle w:val="10"/>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宋体"/>
                <w:b/>
                <w:caps w:val="0"/>
                <w:smallCaps w:val="0"/>
                <w:color w:val="auto"/>
                <w:sz w:val="21"/>
                <w:szCs w:val="21"/>
                <w:highlight w:val="none"/>
                <w:lang w:val="en-US" w:eastAsia="zh-CN"/>
              </w:rPr>
            </w:pPr>
            <w:r>
              <w:rPr>
                <w:rFonts w:hint="eastAsia" w:ascii="Times New Roman" w:hAnsi="Times New Roman" w:eastAsia="宋体" w:cs="宋体"/>
                <w:b/>
                <w:caps w:val="0"/>
                <w:smallCaps w:val="0"/>
                <w:color w:val="auto"/>
                <w:sz w:val="21"/>
                <w:szCs w:val="21"/>
                <w:highlight w:val="none"/>
              </w:rPr>
              <w:t>表</w:t>
            </w:r>
            <w:r>
              <w:rPr>
                <w:rFonts w:hint="eastAsia" w:cs="宋体"/>
                <w:b/>
                <w:caps w:val="0"/>
                <w:smallCaps w:val="0"/>
                <w:color w:val="auto"/>
                <w:sz w:val="21"/>
                <w:szCs w:val="21"/>
                <w:highlight w:val="none"/>
                <w:lang w:val="en-US" w:eastAsia="zh-CN"/>
              </w:rPr>
              <w:t>2-21</w:t>
            </w:r>
            <w:r>
              <w:rPr>
                <w:rFonts w:hint="eastAsia" w:ascii="Times New Roman" w:hAnsi="Times New Roman" w:eastAsia="宋体" w:cs="宋体"/>
                <w:b/>
                <w:caps w:val="0"/>
                <w:smallCaps w:val="0"/>
                <w:color w:val="auto"/>
                <w:sz w:val="21"/>
                <w:szCs w:val="21"/>
                <w:highlight w:val="none"/>
                <w:lang w:val="en-US" w:eastAsia="zh-CN"/>
              </w:rPr>
              <w:t xml:space="preserve">  </w:t>
            </w:r>
            <w:r>
              <w:rPr>
                <w:rFonts w:hint="eastAsia" w:ascii="Times New Roman" w:hAnsi="Times New Roman" w:eastAsia="宋体" w:cs="宋体"/>
                <w:b/>
                <w:caps w:val="0"/>
                <w:smallCaps w:val="0"/>
                <w:color w:val="auto"/>
                <w:sz w:val="21"/>
                <w:szCs w:val="21"/>
                <w:highlight w:val="none"/>
              </w:rPr>
              <w:t>无组织废气排放监测结果</w:t>
            </w:r>
          </w:p>
          <w:tbl>
            <w:tblPr>
              <w:tblStyle w:val="22"/>
              <w:tblW w:w="48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950"/>
              <w:gridCol w:w="921"/>
              <w:gridCol w:w="1872"/>
              <w:gridCol w:w="1164"/>
              <w:gridCol w:w="1187"/>
              <w:gridCol w:w="729"/>
            </w:tblGrid>
            <w:tr w14:paraId="7A4B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noWrap w:val="0"/>
                  <w:vAlign w:val="center"/>
                </w:tcPr>
                <w:p w14:paraId="5C6061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aps w:val="0"/>
                      <w:smallCaps w:val="0"/>
                      <w:color w:val="auto"/>
                      <w:sz w:val="21"/>
                      <w:szCs w:val="21"/>
                      <w:highlight w:val="none"/>
                    </w:rPr>
                  </w:pPr>
                  <w:r>
                    <w:rPr>
                      <w:rFonts w:hint="default" w:ascii="Times New Roman" w:hAnsi="Times New Roman" w:eastAsia="宋体" w:cs="Times New Roman"/>
                      <w:b/>
                      <w:caps w:val="0"/>
                      <w:smallCaps w:val="0"/>
                      <w:color w:val="auto"/>
                      <w:sz w:val="21"/>
                      <w:szCs w:val="21"/>
                      <w:highlight w:val="none"/>
                    </w:rPr>
                    <w:t>监测项目</w:t>
                  </w:r>
                </w:p>
              </w:tc>
              <w:tc>
                <w:tcPr>
                  <w:tcW w:w="605" w:type="pct"/>
                  <w:noWrap w:val="0"/>
                  <w:vAlign w:val="center"/>
                </w:tcPr>
                <w:p w14:paraId="334CD4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aps w:val="0"/>
                      <w:smallCaps w:val="0"/>
                      <w:color w:val="auto"/>
                      <w:sz w:val="21"/>
                      <w:szCs w:val="21"/>
                      <w:highlight w:val="none"/>
                    </w:rPr>
                  </w:pPr>
                  <w:r>
                    <w:rPr>
                      <w:rFonts w:hint="default" w:ascii="Times New Roman" w:hAnsi="Times New Roman" w:eastAsia="宋体" w:cs="Times New Roman"/>
                      <w:b/>
                      <w:caps w:val="0"/>
                      <w:smallCaps w:val="0"/>
                      <w:color w:val="auto"/>
                      <w:sz w:val="21"/>
                      <w:szCs w:val="21"/>
                      <w:highlight w:val="none"/>
                    </w:rPr>
                    <w:t>监测点位</w:t>
                  </w:r>
                </w:p>
              </w:tc>
              <w:tc>
                <w:tcPr>
                  <w:tcW w:w="1781" w:type="pct"/>
                  <w:gridSpan w:val="2"/>
                  <w:noWrap w:val="0"/>
                  <w:vAlign w:val="center"/>
                </w:tcPr>
                <w:p w14:paraId="6075F9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aps w:val="0"/>
                      <w:smallCaps w:val="0"/>
                      <w:color w:val="auto"/>
                      <w:sz w:val="21"/>
                      <w:szCs w:val="21"/>
                      <w:highlight w:val="none"/>
                    </w:rPr>
                  </w:pPr>
                  <w:r>
                    <w:rPr>
                      <w:rFonts w:hint="default" w:ascii="Times New Roman" w:hAnsi="Times New Roman" w:eastAsia="宋体" w:cs="Times New Roman"/>
                      <w:b/>
                      <w:caps w:val="0"/>
                      <w:smallCaps w:val="0"/>
                      <w:color w:val="auto"/>
                      <w:sz w:val="21"/>
                      <w:szCs w:val="21"/>
                      <w:highlight w:val="none"/>
                    </w:rPr>
                    <w:t>监测时间</w:t>
                  </w:r>
                </w:p>
              </w:tc>
              <w:tc>
                <w:tcPr>
                  <w:tcW w:w="742" w:type="pct"/>
                  <w:noWrap w:val="0"/>
                  <w:vAlign w:val="center"/>
                </w:tcPr>
                <w:p w14:paraId="1EAFF0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aps w:val="0"/>
                      <w:smallCaps w:val="0"/>
                      <w:color w:val="auto"/>
                      <w:sz w:val="21"/>
                      <w:szCs w:val="21"/>
                      <w:highlight w:val="none"/>
                    </w:rPr>
                  </w:pPr>
                  <w:r>
                    <w:rPr>
                      <w:rFonts w:hint="default" w:ascii="Times New Roman" w:hAnsi="Times New Roman" w:eastAsia="宋体" w:cs="Times New Roman"/>
                      <w:b/>
                      <w:caps w:val="0"/>
                      <w:smallCaps w:val="0"/>
                      <w:color w:val="auto"/>
                      <w:sz w:val="21"/>
                      <w:szCs w:val="21"/>
                      <w:highlight w:val="none"/>
                    </w:rPr>
                    <w:t>实测值</w:t>
                  </w:r>
                </w:p>
                <w:p w14:paraId="15E92A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aps w:val="0"/>
                      <w:smallCaps w:val="0"/>
                      <w:color w:val="auto"/>
                      <w:sz w:val="21"/>
                      <w:szCs w:val="21"/>
                      <w:highlight w:val="none"/>
                      <w:lang w:eastAsia="zh-CN"/>
                    </w:rPr>
                  </w:pPr>
                  <w:r>
                    <w:rPr>
                      <w:rFonts w:hint="eastAsia" w:ascii="Times New Roman" w:hAnsi="Times New Roman" w:eastAsia="宋体" w:cs="Times New Roman"/>
                      <w:b/>
                      <w:caps w:val="0"/>
                      <w:smallCaps w:val="0"/>
                      <w:color w:val="auto"/>
                      <w:sz w:val="21"/>
                      <w:szCs w:val="21"/>
                      <w:highlight w:val="none"/>
                      <w:lang w:eastAsia="zh-CN"/>
                    </w:rPr>
                    <w:t>（</w:t>
                  </w:r>
                  <w:r>
                    <w:rPr>
                      <w:rFonts w:hint="eastAsia" w:ascii="Times New Roman" w:hAnsi="Times New Roman" w:eastAsia="宋体" w:cs="Times New Roman"/>
                      <w:b/>
                      <w:caps w:val="0"/>
                      <w:smallCaps w:val="0"/>
                      <w:color w:val="auto"/>
                      <w:sz w:val="21"/>
                      <w:szCs w:val="21"/>
                      <w:highlight w:val="none"/>
                      <w:lang w:val="en-US" w:eastAsia="zh-CN"/>
                    </w:rPr>
                    <w:t>mg/m</w:t>
                  </w:r>
                  <w:r>
                    <w:rPr>
                      <w:rFonts w:hint="eastAsia" w:ascii="Times New Roman" w:hAnsi="Times New Roman" w:eastAsia="宋体" w:cs="Times New Roman"/>
                      <w:b/>
                      <w:caps w:val="0"/>
                      <w:smallCaps w:val="0"/>
                      <w:color w:val="auto"/>
                      <w:sz w:val="21"/>
                      <w:szCs w:val="21"/>
                      <w:highlight w:val="none"/>
                      <w:vertAlign w:val="superscript"/>
                      <w:lang w:val="en-US" w:eastAsia="zh-CN"/>
                    </w:rPr>
                    <w:t>3</w:t>
                  </w:r>
                  <w:r>
                    <w:rPr>
                      <w:rFonts w:hint="eastAsia" w:ascii="Times New Roman" w:hAnsi="Times New Roman" w:eastAsia="宋体" w:cs="Times New Roman"/>
                      <w:b/>
                      <w:caps w:val="0"/>
                      <w:smallCaps w:val="0"/>
                      <w:color w:val="auto"/>
                      <w:sz w:val="21"/>
                      <w:szCs w:val="21"/>
                      <w:highlight w:val="none"/>
                      <w:lang w:eastAsia="zh-CN"/>
                    </w:rPr>
                    <w:t>）</w:t>
                  </w:r>
                </w:p>
              </w:tc>
              <w:tc>
                <w:tcPr>
                  <w:tcW w:w="756" w:type="pct"/>
                  <w:noWrap w:val="0"/>
                  <w:vAlign w:val="center"/>
                </w:tcPr>
                <w:p w14:paraId="7328B6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aps w:val="0"/>
                      <w:smallCaps w:val="0"/>
                      <w:color w:val="auto"/>
                      <w:sz w:val="21"/>
                      <w:szCs w:val="21"/>
                      <w:highlight w:val="none"/>
                    </w:rPr>
                  </w:pPr>
                  <w:r>
                    <w:rPr>
                      <w:rFonts w:hint="default" w:ascii="Times New Roman" w:hAnsi="Times New Roman" w:eastAsia="宋体" w:cs="Times New Roman"/>
                      <w:b/>
                      <w:caps w:val="0"/>
                      <w:smallCaps w:val="0"/>
                      <w:color w:val="auto"/>
                      <w:sz w:val="21"/>
                      <w:szCs w:val="21"/>
                      <w:highlight w:val="none"/>
                    </w:rPr>
                    <w:t>标准</w:t>
                  </w:r>
                </w:p>
                <w:p w14:paraId="3AA1DB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aps w:val="0"/>
                      <w:smallCaps w:val="0"/>
                      <w:color w:val="auto"/>
                      <w:sz w:val="21"/>
                      <w:szCs w:val="21"/>
                      <w:highlight w:val="none"/>
                      <w:lang w:eastAsia="zh-CN"/>
                    </w:rPr>
                  </w:pPr>
                  <w:r>
                    <w:rPr>
                      <w:rFonts w:hint="eastAsia" w:ascii="Times New Roman" w:hAnsi="Times New Roman" w:eastAsia="宋体" w:cs="Times New Roman"/>
                      <w:b/>
                      <w:caps w:val="0"/>
                      <w:smallCaps w:val="0"/>
                      <w:color w:val="auto"/>
                      <w:sz w:val="21"/>
                      <w:szCs w:val="21"/>
                      <w:highlight w:val="none"/>
                      <w:lang w:eastAsia="zh-CN"/>
                    </w:rPr>
                    <w:t>（</w:t>
                  </w:r>
                  <w:r>
                    <w:rPr>
                      <w:rFonts w:hint="eastAsia" w:ascii="Times New Roman" w:hAnsi="Times New Roman" w:eastAsia="宋体" w:cs="Times New Roman"/>
                      <w:b/>
                      <w:caps w:val="0"/>
                      <w:smallCaps w:val="0"/>
                      <w:color w:val="auto"/>
                      <w:sz w:val="21"/>
                      <w:szCs w:val="21"/>
                      <w:highlight w:val="none"/>
                      <w:lang w:val="en-US" w:eastAsia="zh-CN"/>
                    </w:rPr>
                    <w:t>mg/m</w:t>
                  </w:r>
                  <w:r>
                    <w:rPr>
                      <w:rFonts w:hint="eastAsia" w:ascii="Times New Roman" w:hAnsi="Times New Roman" w:eastAsia="宋体" w:cs="Times New Roman"/>
                      <w:b/>
                      <w:caps w:val="0"/>
                      <w:smallCaps w:val="0"/>
                      <w:color w:val="auto"/>
                      <w:sz w:val="21"/>
                      <w:szCs w:val="21"/>
                      <w:highlight w:val="none"/>
                      <w:vertAlign w:val="superscript"/>
                      <w:lang w:val="en-US" w:eastAsia="zh-CN"/>
                    </w:rPr>
                    <w:t>3</w:t>
                  </w:r>
                  <w:r>
                    <w:rPr>
                      <w:rFonts w:hint="eastAsia" w:ascii="Times New Roman" w:hAnsi="Times New Roman" w:eastAsia="宋体" w:cs="Times New Roman"/>
                      <w:b/>
                      <w:caps w:val="0"/>
                      <w:smallCaps w:val="0"/>
                      <w:color w:val="auto"/>
                      <w:sz w:val="21"/>
                      <w:szCs w:val="21"/>
                      <w:highlight w:val="none"/>
                      <w:lang w:eastAsia="zh-CN"/>
                    </w:rPr>
                    <w:t>）</w:t>
                  </w:r>
                </w:p>
              </w:tc>
              <w:tc>
                <w:tcPr>
                  <w:tcW w:w="464" w:type="pct"/>
                  <w:noWrap w:val="0"/>
                  <w:vAlign w:val="center"/>
                </w:tcPr>
                <w:p w14:paraId="7D3797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aps w:val="0"/>
                      <w:smallCaps w:val="0"/>
                      <w:color w:val="auto"/>
                      <w:sz w:val="21"/>
                      <w:szCs w:val="21"/>
                      <w:highlight w:val="none"/>
                    </w:rPr>
                  </w:pPr>
                  <w:r>
                    <w:rPr>
                      <w:rFonts w:hint="default" w:ascii="Times New Roman" w:hAnsi="Times New Roman" w:eastAsia="宋体" w:cs="Times New Roman"/>
                      <w:b/>
                      <w:caps w:val="0"/>
                      <w:smallCaps w:val="0"/>
                      <w:color w:val="auto"/>
                      <w:sz w:val="21"/>
                      <w:szCs w:val="21"/>
                      <w:highlight w:val="none"/>
                    </w:rPr>
                    <w:t>达标</w:t>
                  </w:r>
                </w:p>
                <w:p w14:paraId="612F05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aps w:val="0"/>
                      <w:smallCaps w:val="0"/>
                      <w:color w:val="auto"/>
                      <w:sz w:val="21"/>
                      <w:szCs w:val="21"/>
                      <w:highlight w:val="none"/>
                    </w:rPr>
                  </w:pPr>
                  <w:r>
                    <w:rPr>
                      <w:rFonts w:hint="default" w:ascii="Times New Roman" w:hAnsi="Times New Roman" w:eastAsia="宋体" w:cs="Times New Roman"/>
                      <w:b/>
                      <w:caps w:val="0"/>
                      <w:smallCaps w:val="0"/>
                      <w:color w:val="auto"/>
                      <w:sz w:val="21"/>
                      <w:szCs w:val="21"/>
                      <w:highlight w:val="none"/>
                    </w:rPr>
                    <w:t>情况</w:t>
                  </w:r>
                </w:p>
              </w:tc>
            </w:tr>
            <w:tr w14:paraId="2F26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49" w:type="pct"/>
                  <w:vMerge w:val="restart"/>
                  <w:noWrap w:val="0"/>
                  <w:vAlign w:val="center"/>
                </w:tcPr>
                <w:p w14:paraId="75D7EB87">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b w:val="0"/>
                      <w:bCs w:val="0"/>
                      <w:caps w:val="0"/>
                      <w:smallCaps w:val="0"/>
                      <w:color w:val="auto"/>
                      <w:kern w:val="2"/>
                      <w:sz w:val="21"/>
                      <w:szCs w:val="21"/>
                      <w:highlight w:val="none"/>
                      <w:lang w:val="en-US" w:eastAsia="zh-CN" w:bidi="ar-SA"/>
                    </w:rPr>
                  </w:pPr>
                  <w:r>
                    <w:rPr>
                      <w:rFonts w:hint="eastAsia" w:ascii="Times New Roman" w:hAnsi="Times New Roman" w:eastAsia="宋体" w:cs="Times New Roman"/>
                      <w:b w:val="0"/>
                      <w:bCs w:val="0"/>
                      <w:caps w:val="0"/>
                      <w:smallCaps w:val="0"/>
                      <w:color w:val="auto"/>
                      <w:sz w:val="21"/>
                      <w:szCs w:val="21"/>
                      <w:highlight w:val="none"/>
                      <w:lang w:val="en-US" w:eastAsia="zh-CN" w:bidi="zh-CN"/>
                    </w:rPr>
                    <w:t>颗粒物</w:t>
                  </w:r>
                </w:p>
              </w:tc>
              <w:tc>
                <w:tcPr>
                  <w:tcW w:w="605" w:type="pct"/>
                  <w:vMerge w:val="restart"/>
                  <w:noWrap w:val="0"/>
                  <w:vAlign w:val="center"/>
                </w:tcPr>
                <w:p w14:paraId="5D50BB6E">
                  <w:pPr>
                    <w:pStyle w:val="73"/>
                    <w:rPr>
                      <w:rFonts w:hint="eastAsia" w:ascii="Times New Roman" w:hAnsi="Times New Roman" w:cs="Times New Roman"/>
                      <w:color w:val="auto"/>
                      <w:sz w:val="21"/>
                      <w:szCs w:val="21"/>
                      <w:highlight w:val="none"/>
                      <w:lang w:val="en-US" w:eastAsia="zh-CN"/>
                    </w:rPr>
                  </w:pPr>
                  <w:r>
                    <w:rPr>
                      <w:rFonts w:hint="eastAsia" w:cs="Times New Roman"/>
                      <w:caps w:val="0"/>
                      <w:smallCaps w:val="0"/>
                      <w:color w:val="auto"/>
                      <w:sz w:val="21"/>
                      <w:szCs w:val="21"/>
                      <w:highlight w:val="none"/>
                      <w:lang w:val="en-US" w:eastAsia="zh-CN"/>
                    </w:rPr>
                    <w:t>厂界上风向</w:t>
                  </w:r>
                </w:p>
              </w:tc>
              <w:tc>
                <w:tcPr>
                  <w:tcW w:w="587" w:type="pct"/>
                  <w:vMerge w:val="restart"/>
                  <w:noWrap w:val="0"/>
                  <w:vAlign w:val="center"/>
                </w:tcPr>
                <w:p w14:paraId="7E5DFB3E">
                  <w:pPr>
                    <w:pStyle w:val="73"/>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2024.08.12</w:t>
                  </w:r>
                </w:p>
              </w:tc>
              <w:tc>
                <w:tcPr>
                  <w:tcW w:w="1193" w:type="pct"/>
                  <w:noWrap w:val="0"/>
                  <w:vAlign w:val="center"/>
                </w:tcPr>
                <w:p w14:paraId="046710C2">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11</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p>
              </w:tc>
              <w:tc>
                <w:tcPr>
                  <w:tcW w:w="742" w:type="pct"/>
                  <w:noWrap w:val="0"/>
                  <w:vAlign w:val="center"/>
                </w:tcPr>
                <w:p w14:paraId="4C159657">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0.101</w:t>
                  </w:r>
                </w:p>
              </w:tc>
              <w:tc>
                <w:tcPr>
                  <w:tcW w:w="756" w:type="pct"/>
                  <w:vMerge w:val="restart"/>
                  <w:noWrap w:val="0"/>
                  <w:vAlign w:val="center"/>
                </w:tcPr>
                <w:p w14:paraId="17F43A34">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lang w:val="en-US"/>
                    </w:rPr>
                  </w:pPr>
                  <w:r>
                    <w:rPr>
                      <w:rFonts w:hint="default" w:ascii="Times New Roman" w:hAnsi="Times New Roman" w:eastAsia="宋体" w:cs="Times New Roman"/>
                      <w:caps w:val="0"/>
                      <w:smallCaps w:val="0"/>
                      <w:color w:val="auto"/>
                      <w:sz w:val="21"/>
                      <w:szCs w:val="21"/>
                      <w:highlight w:val="none"/>
                    </w:rPr>
                    <w:t>≤</w:t>
                  </w:r>
                  <w:r>
                    <w:rPr>
                      <w:rFonts w:hint="eastAsia" w:ascii="Times New Roman" w:hAnsi="Times New Roman" w:eastAsia="宋体" w:cs="Times New Roman"/>
                      <w:caps w:val="0"/>
                      <w:smallCaps w:val="0"/>
                      <w:color w:val="auto"/>
                      <w:sz w:val="21"/>
                      <w:szCs w:val="21"/>
                      <w:highlight w:val="none"/>
                      <w:lang w:val="en-US" w:eastAsia="zh-CN"/>
                    </w:rPr>
                    <w:t>1.0</w:t>
                  </w:r>
                </w:p>
              </w:tc>
              <w:tc>
                <w:tcPr>
                  <w:tcW w:w="464" w:type="pct"/>
                  <w:noWrap w:val="0"/>
                  <w:vAlign w:val="center"/>
                </w:tcPr>
                <w:p w14:paraId="38836B0A">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7997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2EBEA3B5">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b w:val="0"/>
                      <w:bCs w:val="0"/>
                      <w:caps w:val="0"/>
                      <w:smallCaps w:val="0"/>
                      <w:color w:val="auto"/>
                      <w:kern w:val="2"/>
                      <w:sz w:val="21"/>
                      <w:szCs w:val="21"/>
                      <w:highlight w:val="none"/>
                      <w:lang w:val="en-US" w:eastAsia="zh-CN" w:bidi="ar-SA"/>
                    </w:rPr>
                  </w:pPr>
                </w:p>
              </w:tc>
              <w:tc>
                <w:tcPr>
                  <w:tcW w:w="605" w:type="pct"/>
                  <w:vMerge w:val="continue"/>
                  <w:noWrap w:val="0"/>
                  <w:vAlign w:val="center"/>
                </w:tcPr>
                <w:p w14:paraId="3BDD1BA3">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sz w:val="21"/>
                      <w:szCs w:val="21"/>
                      <w:highlight w:val="none"/>
                      <w:lang w:val="en-US" w:eastAsia="zh-CN"/>
                    </w:rPr>
                  </w:pPr>
                </w:p>
              </w:tc>
              <w:tc>
                <w:tcPr>
                  <w:tcW w:w="587" w:type="pct"/>
                  <w:vMerge w:val="continue"/>
                  <w:noWrap w:val="0"/>
                  <w:vAlign w:val="center"/>
                </w:tcPr>
                <w:p w14:paraId="467D75EE">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1193" w:type="pct"/>
                  <w:noWrap w:val="0"/>
                  <w:vAlign w:val="center"/>
                </w:tcPr>
                <w:p w14:paraId="5B202005">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5</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p>
              </w:tc>
              <w:tc>
                <w:tcPr>
                  <w:tcW w:w="742" w:type="pct"/>
                  <w:noWrap w:val="0"/>
                  <w:vAlign w:val="center"/>
                </w:tcPr>
                <w:p w14:paraId="75B0A3AA">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0.120</w:t>
                  </w:r>
                </w:p>
              </w:tc>
              <w:tc>
                <w:tcPr>
                  <w:tcW w:w="756" w:type="pct"/>
                  <w:vMerge w:val="continue"/>
                  <w:noWrap w:val="0"/>
                  <w:vAlign w:val="center"/>
                </w:tcPr>
                <w:p w14:paraId="5133C038">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77D11DF2">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1A3D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7CB076B7">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b w:val="0"/>
                      <w:bCs w:val="0"/>
                      <w:caps w:val="0"/>
                      <w:smallCaps w:val="0"/>
                      <w:color w:val="auto"/>
                      <w:kern w:val="2"/>
                      <w:sz w:val="21"/>
                      <w:szCs w:val="21"/>
                      <w:highlight w:val="none"/>
                      <w:lang w:val="en-US" w:eastAsia="zh-CN" w:bidi="ar-SA"/>
                    </w:rPr>
                  </w:pPr>
                </w:p>
              </w:tc>
              <w:tc>
                <w:tcPr>
                  <w:tcW w:w="605" w:type="pct"/>
                  <w:vMerge w:val="continue"/>
                  <w:noWrap w:val="0"/>
                  <w:vAlign w:val="center"/>
                </w:tcPr>
                <w:p w14:paraId="224FA53B">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sz w:val="21"/>
                      <w:szCs w:val="21"/>
                      <w:highlight w:val="none"/>
                      <w:lang w:val="en-US" w:eastAsia="zh-CN"/>
                    </w:rPr>
                  </w:pPr>
                </w:p>
              </w:tc>
              <w:tc>
                <w:tcPr>
                  <w:tcW w:w="587" w:type="pct"/>
                  <w:vMerge w:val="continue"/>
                  <w:noWrap w:val="0"/>
                  <w:vAlign w:val="center"/>
                </w:tcPr>
                <w:p w14:paraId="060C7BDD">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1193" w:type="pct"/>
                  <w:noWrap w:val="0"/>
                  <w:vAlign w:val="center"/>
                </w:tcPr>
                <w:p w14:paraId="52267722">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17</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p>
              </w:tc>
              <w:tc>
                <w:tcPr>
                  <w:tcW w:w="742" w:type="pct"/>
                  <w:noWrap w:val="0"/>
                  <w:vAlign w:val="center"/>
                </w:tcPr>
                <w:p w14:paraId="78F24EB6">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0.084</w:t>
                  </w:r>
                </w:p>
              </w:tc>
              <w:tc>
                <w:tcPr>
                  <w:tcW w:w="756" w:type="pct"/>
                  <w:vMerge w:val="continue"/>
                  <w:noWrap w:val="0"/>
                  <w:vAlign w:val="center"/>
                </w:tcPr>
                <w:p w14:paraId="09065A1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7E0E45DD">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2E3C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31ECA93C">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b w:val="0"/>
                      <w:bCs w:val="0"/>
                      <w:caps w:val="0"/>
                      <w:smallCaps w:val="0"/>
                      <w:color w:val="auto"/>
                      <w:kern w:val="2"/>
                      <w:sz w:val="21"/>
                      <w:szCs w:val="21"/>
                      <w:highlight w:val="none"/>
                      <w:lang w:val="en-US" w:eastAsia="zh-CN" w:bidi="ar-SA"/>
                    </w:rPr>
                  </w:pPr>
                </w:p>
              </w:tc>
              <w:tc>
                <w:tcPr>
                  <w:tcW w:w="605" w:type="pct"/>
                  <w:vMerge w:val="restart"/>
                  <w:noWrap w:val="0"/>
                  <w:vAlign w:val="center"/>
                </w:tcPr>
                <w:p w14:paraId="2ED695A9">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厂界</w:t>
                  </w:r>
                  <w:r>
                    <w:rPr>
                      <w:rFonts w:hint="eastAsia" w:ascii="Times New Roman" w:hAnsi="Times New Roman" w:cs="Times New Roman"/>
                      <w:color w:val="auto"/>
                      <w:sz w:val="21"/>
                      <w:szCs w:val="21"/>
                      <w:highlight w:val="none"/>
                      <w:lang w:val="en-US" w:eastAsia="zh-CN"/>
                    </w:rPr>
                    <w:t>下风向1#</w:t>
                  </w:r>
                </w:p>
              </w:tc>
              <w:tc>
                <w:tcPr>
                  <w:tcW w:w="587" w:type="pct"/>
                  <w:vMerge w:val="continue"/>
                  <w:noWrap w:val="0"/>
                  <w:vAlign w:val="center"/>
                </w:tcPr>
                <w:p w14:paraId="3981F6EA">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1193" w:type="pct"/>
                  <w:noWrap w:val="0"/>
                  <w:vAlign w:val="center"/>
                </w:tcPr>
                <w:p w14:paraId="13A25EFA">
                  <w:pPr>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11</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p>
              </w:tc>
              <w:tc>
                <w:tcPr>
                  <w:tcW w:w="742" w:type="pct"/>
                  <w:noWrap w:val="0"/>
                  <w:vAlign w:val="center"/>
                </w:tcPr>
                <w:p w14:paraId="014BFABA">
                  <w:pPr>
                    <w:pStyle w:val="73"/>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0.210</w:t>
                  </w:r>
                </w:p>
              </w:tc>
              <w:tc>
                <w:tcPr>
                  <w:tcW w:w="756" w:type="pct"/>
                  <w:vMerge w:val="continue"/>
                  <w:noWrap w:val="0"/>
                  <w:vAlign w:val="center"/>
                </w:tcPr>
                <w:p w14:paraId="2C0479C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730" w:type="dxa"/>
                  <w:noWrap w:val="0"/>
                  <w:vAlign w:val="center"/>
                </w:tcPr>
                <w:p w14:paraId="6EF74663">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28F3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5387D2E6">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b w:val="0"/>
                      <w:bCs w:val="0"/>
                      <w:caps w:val="0"/>
                      <w:smallCaps w:val="0"/>
                      <w:color w:val="auto"/>
                      <w:kern w:val="2"/>
                      <w:sz w:val="21"/>
                      <w:szCs w:val="21"/>
                      <w:highlight w:val="none"/>
                      <w:lang w:val="en-US" w:eastAsia="zh-CN" w:bidi="ar-SA"/>
                    </w:rPr>
                  </w:pPr>
                </w:p>
              </w:tc>
              <w:tc>
                <w:tcPr>
                  <w:tcW w:w="605" w:type="pct"/>
                  <w:vMerge w:val="continue"/>
                  <w:noWrap w:val="0"/>
                  <w:vAlign w:val="center"/>
                </w:tcPr>
                <w:p w14:paraId="73D1F62A">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sz w:val="21"/>
                      <w:szCs w:val="21"/>
                      <w:highlight w:val="none"/>
                      <w:lang w:val="en-US" w:eastAsia="zh-CN"/>
                    </w:rPr>
                  </w:pPr>
                </w:p>
              </w:tc>
              <w:tc>
                <w:tcPr>
                  <w:tcW w:w="587" w:type="pct"/>
                  <w:vMerge w:val="continue"/>
                  <w:noWrap w:val="0"/>
                  <w:vAlign w:val="center"/>
                </w:tcPr>
                <w:p w14:paraId="1FC4BC8E">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1193" w:type="pct"/>
                  <w:noWrap w:val="0"/>
                  <w:vAlign w:val="center"/>
                </w:tcPr>
                <w:p w14:paraId="332DC6B2">
                  <w:pPr>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5</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p>
              </w:tc>
              <w:tc>
                <w:tcPr>
                  <w:tcW w:w="742" w:type="pct"/>
                  <w:noWrap w:val="0"/>
                  <w:vAlign w:val="center"/>
                </w:tcPr>
                <w:p w14:paraId="1CFD9115">
                  <w:pPr>
                    <w:pStyle w:val="73"/>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0.261</w:t>
                  </w:r>
                </w:p>
              </w:tc>
              <w:tc>
                <w:tcPr>
                  <w:tcW w:w="756" w:type="pct"/>
                  <w:vMerge w:val="continue"/>
                  <w:noWrap w:val="0"/>
                  <w:vAlign w:val="center"/>
                </w:tcPr>
                <w:p w14:paraId="3B4B591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730" w:type="dxa"/>
                  <w:noWrap w:val="0"/>
                  <w:vAlign w:val="center"/>
                </w:tcPr>
                <w:p w14:paraId="4E334230">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0EDC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1E4EBB56">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b w:val="0"/>
                      <w:bCs w:val="0"/>
                      <w:caps w:val="0"/>
                      <w:smallCaps w:val="0"/>
                      <w:color w:val="auto"/>
                      <w:kern w:val="2"/>
                      <w:sz w:val="21"/>
                      <w:szCs w:val="21"/>
                      <w:highlight w:val="none"/>
                      <w:lang w:val="en-US" w:eastAsia="zh-CN" w:bidi="ar-SA"/>
                    </w:rPr>
                  </w:pPr>
                </w:p>
              </w:tc>
              <w:tc>
                <w:tcPr>
                  <w:tcW w:w="605" w:type="pct"/>
                  <w:vMerge w:val="continue"/>
                  <w:noWrap w:val="0"/>
                  <w:vAlign w:val="center"/>
                </w:tcPr>
                <w:p w14:paraId="0A993349">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sz w:val="21"/>
                      <w:szCs w:val="21"/>
                      <w:highlight w:val="none"/>
                      <w:lang w:val="en-US" w:eastAsia="zh-CN"/>
                    </w:rPr>
                  </w:pPr>
                </w:p>
              </w:tc>
              <w:tc>
                <w:tcPr>
                  <w:tcW w:w="587" w:type="pct"/>
                  <w:vMerge w:val="continue"/>
                  <w:noWrap w:val="0"/>
                  <w:vAlign w:val="center"/>
                </w:tcPr>
                <w:p w14:paraId="45DDB691">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1193" w:type="pct"/>
                  <w:noWrap w:val="0"/>
                  <w:vAlign w:val="center"/>
                </w:tcPr>
                <w:p w14:paraId="265B7673">
                  <w:pPr>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17</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p>
              </w:tc>
              <w:tc>
                <w:tcPr>
                  <w:tcW w:w="742" w:type="pct"/>
                  <w:noWrap w:val="0"/>
                  <w:vAlign w:val="center"/>
                </w:tcPr>
                <w:p w14:paraId="250421BE">
                  <w:pPr>
                    <w:pStyle w:val="73"/>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0.214</w:t>
                  </w:r>
                </w:p>
              </w:tc>
              <w:tc>
                <w:tcPr>
                  <w:tcW w:w="756" w:type="pct"/>
                  <w:vMerge w:val="continue"/>
                  <w:noWrap w:val="0"/>
                  <w:vAlign w:val="center"/>
                </w:tcPr>
                <w:p w14:paraId="46A30F7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730" w:type="dxa"/>
                  <w:noWrap w:val="0"/>
                  <w:vAlign w:val="center"/>
                </w:tcPr>
                <w:p w14:paraId="3A5F2352">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75C6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442D8F74">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b w:val="0"/>
                      <w:bCs w:val="0"/>
                      <w:caps w:val="0"/>
                      <w:smallCaps w:val="0"/>
                      <w:color w:val="auto"/>
                      <w:kern w:val="2"/>
                      <w:sz w:val="21"/>
                      <w:szCs w:val="21"/>
                      <w:highlight w:val="none"/>
                      <w:lang w:val="en-US" w:eastAsia="zh-CN" w:bidi="ar-SA"/>
                    </w:rPr>
                  </w:pPr>
                </w:p>
              </w:tc>
              <w:tc>
                <w:tcPr>
                  <w:tcW w:w="605" w:type="pct"/>
                  <w:vMerge w:val="restart"/>
                  <w:noWrap w:val="0"/>
                  <w:vAlign w:val="center"/>
                </w:tcPr>
                <w:p w14:paraId="79101E8F">
                  <w:pPr>
                    <w:pStyle w:val="73"/>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厂界</w:t>
                  </w:r>
                  <w:r>
                    <w:rPr>
                      <w:rFonts w:hint="eastAsia" w:ascii="Times New Roman" w:hAnsi="Times New Roman" w:cs="Times New Roman"/>
                      <w:color w:val="auto"/>
                      <w:sz w:val="21"/>
                      <w:szCs w:val="21"/>
                      <w:highlight w:val="none"/>
                      <w:lang w:val="en-US" w:eastAsia="zh-CN"/>
                    </w:rPr>
                    <w:t>下风向2#</w:t>
                  </w:r>
                </w:p>
              </w:tc>
              <w:tc>
                <w:tcPr>
                  <w:tcW w:w="587" w:type="pct"/>
                  <w:vMerge w:val="continue"/>
                  <w:noWrap w:val="0"/>
                  <w:vAlign w:val="center"/>
                </w:tcPr>
                <w:p w14:paraId="5C0856DD">
                  <w:pPr>
                    <w:pStyle w:val="73"/>
                    <w:rPr>
                      <w:rFonts w:hint="eastAsia" w:ascii="Times New Roman" w:hAnsi="Times New Roman" w:eastAsia="宋体" w:cs="Times New Roman"/>
                      <w:color w:val="auto"/>
                      <w:sz w:val="21"/>
                      <w:szCs w:val="21"/>
                      <w:highlight w:val="none"/>
                      <w:lang w:val="en-US" w:eastAsia="zh-CN"/>
                    </w:rPr>
                  </w:pPr>
                </w:p>
              </w:tc>
              <w:tc>
                <w:tcPr>
                  <w:tcW w:w="1193" w:type="pct"/>
                  <w:noWrap w:val="0"/>
                  <w:vAlign w:val="center"/>
                </w:tcPr>
                <w:p w14:paraId="2BE5E1BC">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11</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p>
              </w:tc>
              <w:tc>
                <w:tcPr>
                  <w:tcW w:w="742" w:type="pct"/>
                  <w:noWrap w:val="0"/>
                  <w:vAlign w:val="center"/>
                </w:tcPr>
                <w:p w14:paraId="52DC4F33">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0.172</w:t>
                  </w:r>
                </w:p>
              </w:tc>
              <w:tc>
                <w:tcPr>
                  <w:tcW w:w="756" w:type="pct"/>
                  <w:vMerge w:val="continue"/>
                  <w:noWrap w:val="0"/>
                  <w:vAlign w:val="center"/>
                </w:tcPr>
                <w:p w14:paraId="0E43DB90">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19F7B6E0">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2E87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3E7D016F">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b w:val="0"/>
                      <w:bCs w:val="0"/>
                      <w:caps w:val="0"/>
                      <w:smallCaps w:val="0"/>
                      <w:color w:val="auto"/>
                      <w:kern w:val="2"/>
                      <w:sz w:val="21"/>
                      <w:szCs w:val="21"/>
                      <w:highlight w:val="none"/>
                      <w:lang w:val="en-US" w:eastAsia="zh-CN" w:bidi="ar-SA"/>
                    </w:rPr>
                  </w:pPr>
                </w:p>
              </w:tc>
              <w:tc>
                <w:tcPr>
                  <w:tcW w:w="605" w:type="pct"/>
                  <w:vMerge w:val="continue"/>
                  <w:noWrap w:val="0"/>
                  <w:vAlign w:val="center"/>
                </w:tcPr>
                <w:p w14:paraId="773C2C55">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sz w:val="21"/>
                      <w:szCs w:val="21"/>
                      <w:highlight w:val="none"/>
                      <w:lang w:val="en-US" w:eastAsia="zh-CN"/>
                    </w:rPr>
                  </w:pPr>
                </w:p>
              </w:tc>
              <w:tc>
                <w:tcPr>
                  <w:tcW w:w="587" w:type="pct"/>
                  <w:vMerge w:val="continue"/>
                  <w:noWrap w:val="0"/>
                  <w:vAlign w:val="center"/>
                </w:tcPr>
                <w:p w14:paraId="78B363A7">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1193" w:type="pct"/>
                  <w:noWrap w:val="0"/>
                  <w:vAlign w:val="center"/>
                </w:tcPr>
                <w:p w14:paraId="6BBAAA6D">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5</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p>
              </w:tc>
              <w:tc>
                <w:tcPr>
                  <w:tcW w:w="742" w:type="pct"/>
                  <w:noWrap w:val="0"/>
                  <w:vAlign w:val="center"/>
                </w:tcPr>
                <w:p w14:paraId="21403C3E">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0.152</w:t>
                  </w:r>
                </w:p>
              </w:tc>
              <w:tc>
                <w:tcPr>
                  <w:tcW w:w="756" w:type="pct"/>
                  <w:vMerge w:val="continue"/>
                  <w:noWrap w:val="0"/>
                  <w:vAlign w:val="center"/>
                </w:tcPr>
                <w:p w14:paraId="7C7A940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286587A7">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049D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4D90DB4F">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b w:val="0"/>
                      <w:bCs w:val="0"/>
                      <w:caps w:val="0"/>
                      <w:smallCaps w:val="0"/>
                      <w:color w:val="auto"/>
                      <w:kern w:val="2"/>
                      <w:sz w:val="21"/>
                      <w:szCs w:val="21"/>
                      <w:highlight w:val="none"/>
                      <w:lang w:val="en-US" w:eastAsia="zh-CN" w:bidi="ar-SA"/>
                    </w:rPr>
                  </w:pPr>
                </w:p>
              </w:tc>
              <w:tc>
                <w:tcPr>
                  <w:tcW w:w="605" w:type="pct"/>
                  <w:vMerge w:val="continue"/>
                  <w:noWrap w:val="0"/>
                  <w:vAlign w:val="center"/>
                </w:tcPr>
                <w:p w14:paraId="03E1AE3F">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sz w:val="21"/>
                      <w:szCs w:val="21"/>
                      <w:highlight w:val="none"/>
                      <w:lang w:val="en-US" w:eastAsia="zh-CN"/>
                    </w:rPr>
                  </w:pPr>
                </w:p>
              </w:tc>
              <w:tc>
                <w:tcPr>
                  <w:tcW w:w="587" w:type="pct"/>
                  <w:vMerge w:val="continue"/>
                  <w:noWrap w:val="0"/>
                  <w:vAlign w:val="center"/>
                </w:tcPr>
                <w:p w14:paraId="4793579F">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1193" w:type="pct"/>
                  <w:noWrap w:val="0"/>
                  <w:vAlign w:val="center"/>
                </w:tcPr>
                <w:p w14:paraId="42B73AB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17</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p>
              </w:tc>
              <w:tc>
                <w:tcPr>
                  <w:tcW w:w="742" w:type="pct"/>
                  <w:noWrap w:val="0"/>
                  <w:vAlign w:val="center"/>
                </w:tcPr>
                <w:p w14:paraId="723720B1">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0.180</w:t>
                  </w:r>
                </w:p>
              </w:tc>
              <w:tc>
                <w:tcPr>
                  <w:tcW w:w="756" w:type="pct"/>
                  <w:vMerge w:val="continue"/>
                  <w:noWrap w:val="0"/>
                  <w:vAlign w:val="center"/>
                </w:tcPr>
                <w:p w14:paraId="3BE67B6A">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7D6FFF49">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4EB6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3FC9412C">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b w:val="0"/>
                      <w:bCs w:val="0"/>
                      <w:caps w:val="0"/>
                      <w:smallCaps w:val="0"/>
                      <w:color w:val="auto"/>
                      <w:kern w:val="2"/>
                      <w:sz w:val="21"/>
                      <w:szCs w:val="21"/>
                      <w:highlight w:val="none"/>
                      <w:lang w:val="en-US" w:eastAsia="zh-CN" w:bidi="ar-SA"/>
                    </w:rPr>
                  </w:pPr>
                </w:p>
              </w:tc>
              <w:tc>
                <w:tcPr>
                  <w:tcW w:w="605" w:type="pct"/>
                  <w:vMerge w:val="restart"/>
                  <w:noWrap w:val="0"/>
                  <w:vAlign w:val="center"/>
                </w:tcPr>
                <w:p w14:paraId="44BAA607">
                  <w:pPr>
                    <w:pStyle w:val="73"/>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厂界</w:t>
                  </w:r>
                  <w:r>
                    <w:rPr>
                      <w:rFonts w:hint="eastAsia" w:ascii="Times New Roman" w:hAnsi="Times New Roman" w:cs="Times New Roman"/>
                      <w:color w:val="auto"/>
                      <w:sz w:val="21"/>
                      <w:szCs w:val="21"/>
                      <w:highlight w:val="none"/>
                      <w:lang w:val="en-US" w:eastAsia="zh-CN"/>
                    </w:rPr>
                    <w:t>下风向3#</w:t>
                  </w:r>
                </w:p>
              </w:tc>
              <w:tc>
                <w:tcPr>
                  <w:tcW w:w="587" w:type="pct"/>
                  <w:vMerge w:val="continue"/>
                  <w:noWrap w:val="0"/>
                  <w:vAlign w:val="center"/>
                </w:tcPr>
                <w:p w14:paraId="278512A0">
                  <w:pPr>
                    <w:pStyle w:val="73"/>
                    <w:rPr>
                      <w:rFonts w:hint="eastAsia" w:ascii="Times New Roman" w:hAnsi="Times New Roman" w:eastAsia="宋体" w:cs="Times New Roman"/>
                      <w:color w:val="auto"/>
                      <w:sz w:val="21"/>
                      <w:szCs w:val="21"/>
                      <w:highlight w:val="none"/>
                      <w:lang w:val="en-US" w:eastAsia="zh-CN"/>
                    </w:rPr>
                  </w:pPr>
                </w:p>
              </w:tc>
              <w:tc>
                <w:tcPr>
                  <w:tcW w:w="1193" w:type="pct"/>
                  <w:noWrap w:val="0"/>
                  <w:vAlign w:val="center"/>
                </w:tcPr>
                <w:p w14:paraId="4E1F33AE">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11</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p>
              </w:tc>
              <w:tc>
                <w:tcPr>
                  <w:tcW w:w="742" w:type="pct"/>
                  <w:noWrap w:val="0"/>
                  <w:vAlign w:val="center"/>
                </w:tcPr>
                <w:p w14:paraId="379AA1E8">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0.124</w:t>
                  </w:r>
                </w:p>
              </w:tc>
              <w:tc>
                <w:tcPr>
                  <w:tcW w:w="756" w:type="pct"/>
                  <w:vMerge w:val="continue"/>
                  <w:noWrap w:val="0"/>
                  <w:vAlign w:val="center"/>
                </w:tcPr>
                <w:p w14:paraId="0E5AD139">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2BE7D226">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6B5C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07DA0707">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b w:val="0"/>
                      <w:bCs w:val="0"/>
                      <w:caps w:val="0"/>
                      <w:smallCaps w:val="0"/>
                      <w:color w:val="auto"/>
                      <w:kern w:val="2"/>
                      <w:sz w:val="21"/>
                      <w:szCs w:val="21"/>
                      <w:highlight w:val="none"/>
                      <w:lang w:val="en-US" w:eastAsia="zh-CN" w:bidi="ar-SA"/>
                    </w:rPr>
                  </w:pPr>
                </w:p>
              </w:tc>
              <w:tc>
                <w:tcPr>
                  <w:tcW w:w="605" w:type="pct"/>
                  <w:vMerge w:val="continue"/>
                  <w:noWrap w:val="0"/>
                  <w:vAlign w:val="center"/>
                </w:tcPr>
                <w:p w14:paraId="201A036E">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sz w:val="21"/>
                      <w:szCs w:val="21"/>
                      <w:highlight w:val="none"/>
                      <w:lang w:val="en-US" w:eastAsia="zh-CN"/>
                    </w:rPr>
                  </w:pPr>
                </w:p>
              </w:tc>
              <w:tc>
                <w:tcPr>
                  <w:tcW w:w="587" w:type="pct"/>
                  <w:vMerge w:val="continue"/>
                  <w:noWrap w:val="0"/>
                  <w:vAlign w:val="center"/>
                </w:tcPr>
                <w:p w14:paraId="1CA5377D">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1193" w:type="pct"/>
                  <w:noWrap w:val="0"/>
                  <w:vAlign w:val="center"/>
                </w:tcPr>
                <w:p w14:paraId="6BB87EE0">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5</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p>
              </w:tc>
              <w:tc>
                <w:tcPr>
                  <w:tcW w:w="742" w:type="pct"/>
                  <w:noWrap w:val="0"/>
                  <w:vAlign w:val="center"/>
                </w:tcPr>
                <w:p w14:paraId="253173A6">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0.143</w:t>
                  </w:r>
                </w:p>
              </w:tc>
              <w:tc>
                <w:tcPr>
                  <w:tcW w:w="756" w:type="pct"/>
                  <w:vMerge w:val="continue"/>
                  <w:noWrap w:val="0"/>
                  <w:vAlign w:val="center"/>
                </w:tcPr>
                <w:p w14:paraId="0A75B9DB">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58EF28CD">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37F9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1D72B74A">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b w:val="0"/>
                      <w:bCs w:val="0"/>
                      <w:caps w:val="0"/>
                      <w:smallCaps w:val="0"/>
                      <w:color w:val="auto"/>
                      <w:kern w:val="2"/>
                      <w:sz w:val="21"/>
                      <w:szCs w:val="21"/>
                      <w:highlight w:val="none"/>
                      <w:lang w:val="en-US" w:eastAsia="zh-CN" w:bidi="ar-SA"/>
                    </w:rPr>
                  </w:pPr>
                </w:p>
              </w:tc>
              <w:tc>
                <w:tcPr>
                  <w:tcW w:w="605" w:type="pct"/>
                  <w:vMerge w:val="continue"/>
                  <w:noWrap w:val="0"/>
                  <w:vAlign w:val="center"/>
                </w:tcPr>
                <w:p w14:paraId="35B21C6A">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sz w:val="21"/>
                      <w:szCs w:val="21"/>
                      <w:highlight w:val="none"/>
                      <w:lang w:val="en-US" w:eastAsia="zh-CN"/>
                    </w:rPr>
                  </w:pPr>
                </w:p>
              </w:tc>
              <w:tc>
                <w:tcPr>
                  <w:tcW w:w="587" w:type="pct"/>
                  <w:vMerge w:val="continue"/>
                  <w:noWrap w:val="0"/>
                  <w:vAlign w:val="center"/>
                </w:tcPr>
                <w:p w14:paraId="2919173B">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1193" w:type="pct"/>
                  <w:noWrap w:val="0"/>
                  <w:vAlign w:val="center"/>
                </w:tcPr>
                <w:p w14:paraId="7188842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17</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p>
              </w:tc>
              <w:tc>
                <w:tcPr>
                  <w:tcW w:w="742" w:type="pct"/>
                  <w:noWrap w:val="0"/>
                  <w:vAlign w:val="center"/>
                </w:tcPr>
                <w:p w14:paraId="101B0FE3">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0.166</w:t>
                  </w:r>
                </w:p>
              </w:tc>
              <w:tc>
                <w:tcPr>
                  <w:tcW w:w="756" w:type="pct"/>
                  <w:vMerge w:val="continue"/>
                  <w:noWrap w:val="0"/>
                  <w:vAlign w:val="center"/>
                </w:tcPr>
                <w:p w14:paraId="3A24DAF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230D6DB1">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4645E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restart"/>
                  <w:noWrap w:val="0"/>
                  <w:vAlign w:val="center"/>
                </w:tcPr>
                <w:p w14:paraId="590C368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r>
                    <w:rPr>
                      <w:rFonts w:hint="eastAsia" w:ascii="Times New Roman" w:hAnsi="Times New Roman" w:eastAsia="宋体" w:cs="Times New Roman"/>
                      <w:b w:val="0"/>
                      <w:bCs w:val="0"/>
                      <w:caps w:val="0"/>
                      <w:smallCaps w:val="0"/>
                      <w:color w:val="auto"/>
                      <w:sz w:val="21"/>
                      <w:szCs w:val="21"/>
                      <w:highlight w:val="none"/>
                      <w:lang w:val="en-US" w:eastAsia="zh-CN"/>
                    </w:rPr>
                    <w:t>氨</w:t>
                  </w:r>
                </w:p>
              </w:tc>
              <w:tc>
                <w:tcPr>
                  <w:tcW w:w="605" w:type="pct"/>
                  <w:vMerge w:val="restart"/>
                  <w:noWrap w:val="0"/>
                  <w:vAlign w:val="center"/>
                </w:tcPr>
                <w:p w14:paraId="06405164">
                  <w:pPr>
                    <w:pStyle w:val="73"/>
                    <w:rPr>
                      <w:rFonts w:hint="default" w:ascii="Times New Roman" w:hAnsi="Times New Roman" w:eastAsia="宋体" w:cs="Times New Roman"/>
                      <w:caps w:val="0"/>
                      <w:smallCaps w:val="0"/>
                      <w:color w:val="auto"/>
                      <w:sz w:val="21"/>
                      <w:szCs w:val="21"/>
                      <w:highlight w:val="none"/>
                    </w:rPr>
                  </w:pPr>
                  <w:r>
                    <w:rPr>
                      <w:rFonts w:hint="eastAsia" w:cs="Times New Roman"/>
                      <w:caps w:val="0"/>
                      <w:smallCaps w:val="0"/>
                      <w:color w:val="auto"/>
                      <w:sz w:val="21"/>
                      <w:szCs w:val="21"/>
                      <w:highlight w:val="none"/>
                      <w:lang w:val="en-US" w:eastAsia="zh-CN"/>
                    </w:rPr>
                    <w:t>厂界上风向</w:t>
                  </w:r>
                </w:p>
              </w:tc>
              <w:tc>
                <w:tcPr>
                  <w:tcW w:w="587" w:type="pct"/>
                  <w:vMerge w:val="continue"/>
                  <w:noWrap w:val="0"/>
                  <w:vAlign w:val="center"/>
                </w:tcPr>
                <w:p w14:paraId="6F1AECE2">
                  <w:pPr>
                    <w:pStyle w:val="73"/>
                    <w:rPr>
                      <w:rFonts w:hint="default" w:ascii="Times New Roman" w:hAnsi="Times New Roman" w:eastAsia="宋体" w:cs="Times New Roman"/>
                      <w:caps w:val="0"/>
                      <w:smallCaps w:val="0"/>
                      <w:color w:val="auto"/>
                      <w:sz w:val="21"/>
                      <w:szCs w:val="21"/>
                      <w:highlight w:val="none"/>
                      <w:lang w:val="en-US" w:eastAsia="zh-CN"/>
                    </w:rPr>
                  </w:pPr>
                </w:p>
              </w:tc>
              <w:tc>
                <w:tcPr>
                  <w:tcW w:w="1193" w:type="pct"/>
                  <w:noWrap w:val="0"/>
                  <w:vAlign w:val="center"/>
                </w:tcPr>
                <w:p w14:paraId="68E23954">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11</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p>
              </w:tc>
              <w:tc>
                <w:tcPr>
                  <w:tcW w:w="742" w:type="pct"/>
                  <w:noWrap w:val="0"/>
                  <w:vAlign w:val="center"/>
                </w:tcPr>
                <w:p w14:paraId="004D92BD">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0.07</w:t>
                  </w:r>
                </w:p>
              </w:tc>
              <w:tc>
                <w:tcPr>
                  <w:tcW w:w="756" w:type="pct"/>
                  <w:vMerge w:val="restart"/>
                  <w:noWrap w:val="0"/>
                  <w:vAlign w:val="center"/>
                </w:tcPr>
                <w:p w14:paraId="7EECEC26">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lang w:val="en-US"/>
                    </w:rPr>
                  </w:pPr>
                  <w:r>
                    <w:rPr>
                      <w:rFonts w:hint="default" w:ascii="Times New Roman" w:hAnsi="Times New Roman" w:eastAsia="宋体" w:cs="Times New Roman"/>
                      <w:caps w:val="0"/>
                      <w:smallCaps w:val="0"/>
                      <w:color w:val="auto"/>
                      <w:sz w:val="21"/>
                      <w:szCs w:val="21"/>
                      <w:highlight w:val="none"/>
                    </w:rPr>
                    <w:t>≤</w:t>
                  </w:r>
                  <w:r>
                    <w:rPr>
                      <w:rFonts w:hint="eastAsia" w:ascii="Times New Roman" w:hAnsi="Times New Roman" w:eastAsia="宋体" w:cs="Times New Roman"/>
                      <w:caps w:val="0"/>
                      <w:smallCaps w:val="0"/>
                      <w:color w:val="auto"/>
                      <w:sz w:val="21"/>
                      <w:szCs w:val="21"/>
                      <w:highlight w:val="none"/>
                      <w:lang w:val="en-US" w:eastAsia="zh-CN"/>
                    </w:rPr>
                    <w:t>1.5</w:t>
                  </w:r>
                </w:p>
              </w:tc>
              <w:tc>
                <w:tcPr>
                  <w:tcW w:w="464" w:type="pct"/>
                  <w:noWrap w:val="0"/>
                  <w:vAlign w:val="center"/>
                </w:tcPr>
                <w:p w14:paraId="6DAE08A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7DCA1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0427C1D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continue"/>
                  <w:noWrap w:val="0"/>
                  <w:vAlign w:val="center"/>
                </w:tcPr>
                <w:p w14:paraId="7D092ED5">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5CE8EC3E">
                  <w:pPr>
                    <w:pStyle w:val="73"/>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1193" w:type="pct"/>
                  <w:noWrap w:val="0"/>
                  <w:vAlign w:val="center"/>
                </w:tcPr>
                <w:p w14:paraId="55943A53">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5</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p>
              </w:tc>
              <w:tc>
                <w:tcPr>
                  <w:tcW w:w="742" w:type="pct"/>
                  <w:noWrap w:val="0"/>
                  <w:vAlign w:val="center"/>
                </w:tcPr>
                <w:p w14:paraId="3256DFF3">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0.10</w:t>
                  </w:r>
                </w:p>
              </w:tc>
              <w:tc>
                <w:tcPr>
                  <w:tcW w:w="756" w:type="pct"/>
                  <w:vMerge w:val="continue"/>
                  <w:noWrap w:val="0"/>
                  <w:vAlign w:val="center"/>
                </w:tcPr>
                <w:p w14:paraId="7E12EE2F">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6CAF971C">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512A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0586E78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continue"/>
                  <w:noWrap w:val="0"/>
                  <w:vAlign w:val="center"/>
                </w:tcPr>
                <w:p w14:paraId="099390A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65495452">
                  <w:pPr>
                    <w:pStyle w:val="73"/>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1193" w:type="pct"/>
                  <w:noWrap w:val="0"/>
                  <w:vAlign w:val="center"/>
                </w:tcPr>
                <w:p w14:paraId="1B2945EE">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17</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p>
              </w:tc>
              <w:tc>
                <w:tcPr>
                  <w:tcW w:w="742" w:type="pct"/>
                  <w:noWrap w:val="0"/>
                  <w:vAlign w:val="center"/>
                </w:tcPr>
                <w:p w14:paraId="4FC9DAEB">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0.08</w:t>
                  </w:r>
                </w:p>
              </w:tc>
              <w:tc>
                <w:tcPr>
                  <w:tcW w:w="756" w:type="pct"/>
                  <w:vMerge w:val="continue"/>
                  <w:noWrap w:val="0"/>
                  <w:vAlign w:val="center"/>
                </w:tcPr>
                <w:p w14:paraId="3ADC8A6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0E980B64">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3296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3AE4740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restart"/>
                  <w:noWrap w:val="0"/>
                  <w:vAlign w:val="center"/>
                </w:tcPr>
                <w:p w14:paraId="4D3A361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eastAsia" w:cs="Times New Roman"/>
                      <w:color w:val="auto"/>
                      <w:sz w:val="21"/>
                      <w:szCs w:val="21"/>
                      <w:highlight w:val="none"/>
                      <w:lang w:val="en-US" w:eastAsia="zh-CN"/>
                    </w:rPr>
                    <w:t>厂界</w:t>
                  </w:r>
                  <w:r>
                    <w:rPr>
                      <w:rFonts w:hint="eastAsia" w:ascii="Times New Roman" w:hAnsi="Times New Roman" w:cs="Times New Roman"/>
                      <w:color w:val="auto"/>
                      <w:sz w:val="21"/>
                      <w:szCs w:val="21"/>
                      <w:highlight w:val="none"/>
                      <w:lang w:val="en-US" w:eastAsia="zh-CN"/>
                    </w:rPr>
                    <w:t>下风向1#</w:t>
                  </w:r>
                </w:p>
              </w:tc>
              <w:tc>
                <w:tcPr>
                  <w:tcW w:w="587" w:type="pct"/>
                  <w:vMerge w:val="continue"/>
                  <w:noWrap w:val="0"/>
                  <w:vAlign w:val="center"/>
                </w:tcPr>
                <w:p w14:paraId="17F48D20">
                  <w:pPr>
                    <w:pStyle w:val="73"/>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1193" w:type="pct"/>
                  <w:noWrap w:val="0"/>
                  <w:vAlign w:val="center"/>
                </w:tcPr>
                <w:p w14:paraId="6ED9EBE6">
                  <w:pPr>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11</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p>
              </w:tc>
              <w:tc>
                <w:tcPr>
                  <w:tcW w:w="742" w:type="pct"/>
                  <w:noWrap w:val="0"/>
                  <w:vAlign w:val="center"/>
                </w:tcPr>
                <w:p w14:paraId="7850C640">
                  <w:pPr>
                    <w:pStyle w:val="73"/>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0.38</w:t>
                  </w:r>
                </w:p>
              </w:tc>
              <w:tc>
                <w:tcPr>
                  <w:tcW w:w="756" w:type="pct"/>
                  <w:vMerge w:val="continue"/>
                  <w:noWrap w:val="0"/>
                  <w:vAlign w:val="center"/>
                </w:tcPr>
                <w:p w14:paraId="1CD7CBDE">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730" w:type="dxa"/>
                  <w:noWrap w:val="0"/>
                  <w:vAlign w:val="center"/>
                </w:tcPr>
                <w:p w14:paraId="16B341EF">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54D5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680F9C44">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continue"/>
                  <w:noWrap w:val="0"/>
                  <w:vAlign w:val="center"/>
                </w:tcPr>
                <w:p w14:paraId="63112F43">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5B28F058">
                  <w:pPr>
                    <w:pStyle w:val="73"/>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1193" w:type="pct"/>
                  <w:noWrap w:val="0"/>
                  <w:vAlign w:val="center"/>
                </w:tcPr>
                <w:p w14:paraId="1F7BACEC">
                  <w:pPr>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5</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p>
              </w:tc>
              <w:tc>
                <w:tcPr>
                  <w:tcW w:w="742" w:type="pct"/>
                  <w:noWrap w:val="0"/>
                  <w:vAlign w:val="center"/>
                </w:tcPr>
                <w:p w14:paraId="0E6BA5A9">
                  <w:pPr>
                    <w:pStyle w:val="73"/>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0.37</w:t>
                  </w:r>
                </w:p>
              </w:tc>
              <w:tc>
                <w:tcPr>
                  <w:tcW w:w="756" w:type="pct"/>
                  <w:vMerge w:val="continue"/>
                  <w:noWrap w:val="0"/>
                  <w:vAlign w:val="center"/>
                </w:tcPr>
                <w:p w14:paraId="5F120B1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730" w:type="dxa"/>
                  <w:noWrap w:val="0"/>
                  <w:vAlign w:val="center"/>
                </w:tcPr>
                <w:p w14:paraId="19775359">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3DDE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310A1EE4">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continue"/>
                  <w:noWrap w:val="0"/>
                  <w:vAlign w:val="center"/>
                </w:tcPr>
                <w:p w14:paraId="166675BE">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6F41AE82">
                  <w:pPr>
                    <w:pStyle w:val="73"/>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1193" w:type="pct"/>
                  <w:noWrap w:val="0"/>
                  <w:vAlign w:val="center"/>
                </w:tcPr>
                <w:p w14:paraId="4147EB19">
                  <w:pPr>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17</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p>
              </w:tc>
              <w:tc>
                <w:tcPr>
                  <w:tcW w:w="742" w:type="pct"/>
                  <w:noWrap w:val="0"/>
                  <w:vAlign w:val="center"/>
                </w:tcPr>
                <w:p w14:paraId="2529B151">
                  <w:pPr>
                    <w:pStyle w:val="73"/>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0.35</w:t>
                  </w:r>
                </w:p>
              </w:tc>
              <w:tc>
                <w:tcPr>
                  <w:tcW w:w="756" w:type="pct"/>
                  <w:vMerge w:val="continue"/>
                  <w:noWrap w:val="0"/>
                  <w:vAlign w:val="center"/>
                </w:tcPr>
                <w:p w14:paraId="739C168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730" w:type="dxa"/>
                  <w:noWrap w:val="0"/>
                  <w:vAlign w:val="center"/>
                </w:tcPr>
                <w:p w14:paraId="0297C62D">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340FA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299F8393">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restart"/>
                  <w:noWrap w:val="0"/>
                  <w:vAlign w:val="center"/>
                </w:tcPr>
                <w:p w14:paraId="426109FE">
                  <w:pPr>
                    <w:pStyle w:val="73"/>
                    <w:rPr>
                      <w:rFonts w:hint="default" w:ascii="Times New Roman" w:hAnsi="Times New Roman" w:eastAsia="宋体" w:cs="Times New Roman"/>
                      <w:caps w:val="0"/>
                      <w:smallCaps w:val="0"/>
                      <w:color w:val="auto"/>
                      <w:sz w:val="21"/>
                      <w:szCs w:val="21"/>
                      <w:highlight w:val="none"/>
                    </w:rPr>
                  </w:pPr>
                  <w:r>
                    <w:rPr>
                      <w:rFonts w:hint="eastAsia" w:cs="Times New Roman"/>
                      <w:color w:val="auto"/>
                      <w:sz w:val="21"/>
                      <w:szCs w:val="21"/>
                      <w:highlight w:val="none"/>
                      <w:lang w:val="en-US" w:eastAsia="zh-CN"/>
                    </w:rPr>
                    <w:t>厂界</w:t>
                  </w:r>
                  <w:r>
                    <w:rPr>
                      <w:rFonts w:hint="eastAsia" w:ascii="Times New Roman" w:hAnsi="Times New Roman" w:cs="Times New Roman"/>
                      <w:color w:val="auto"/>
                      <w:sz w:val="21"/>
                      <w:szCs w:val="21"/>
                      <w:highlight w:val="none"/>
                      <w:lang w:val="en-US" w:eastAsia="zh-CN"/>
                    </w:rPr>
                    <w:t>下风向2#</w:t>
                  </w:r>
                </w:p>
              </w:tc>
              <w:tc>
                <w:tcPr>
                  <w:tcW w:w="587" w:type="pct"/>
                  <w:vMerge w:val="continue"/>
                  <w:noWrap w:val="0"/>
                  <w:vAlign w:val="center"/>
                </w:tcPr>
                <w:p w14:paraId="7B8BFDF4">
                  <w:pPr>
                    <w:pStyle w:val="73"/>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48089A88">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11</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p>
              </w:tc>
              <w:tc>
                <w:tcPr>
                  <w:tcW w:w="742" w:type="pct"/>
                  <w:noWrap w:val="0"/>
                  <w:vAlign w:val="center"/>
                </w:tcPr>
                <w:p w14:paraId="0555F49A">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0.26</w:t>
                  </w:r>
                </w:p>
              </w:tc>
              <w:tc>
                <w:tcPr>
                  <w:tcW w:w="756" w:type="pct"/>
                  <w:vMerge w:val="continue"/>
                  <w:noWrap w:val="0"/>
                  <w:vAlign w:val="center"/>
                </w:tcPr>
                <w:p w14:paraId="5D964CC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02C293D3">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5105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41B62E2B">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continue"/>
                  <w:noWrap w:val="0"/>
                  <w:vAlign w:val="center"/>
                </w:tcPr>
                <w:p w14:paraId="60D215BA">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6AB16EC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5C5820F5">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5</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p>
              </w:tc>
              <w:tc>
                <w:tcPr>
                  <w:tcW w:w="742" w:type="pct"/>
                  <w:noWrap w:val="0"/>
                  <w:vAlign w:val="center"/>
                </w:tcPr>
                <w:p w14:paraId="2174704E">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0.21</w:t>
                  </w:r>
                </w:p>
              </w:tc>
              <w:tc>
                <w:tcPr>
                  <w:tcW w:w="756" w:type="pct"/>
                  <w:vMerge w:val="continue"/>
                  <w:noWrap w:val="0"/>
                  <w:vAlign w:val="center"/>
                </w:tcPr>
                <w:p w14:paraId="1682FB3F">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3A40566B">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6D19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7DFB88D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continue"/>
                  <w:noWrap w:val="0"/>
                  <w:vAlign w:val="center"/>
                </w:tcPr>
                <w:p w14:paraId="54A91D4A">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72FF1D0F">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47074425">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17</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p>
              </w:tc>
              <w:tc>
                <w:tcPr>
                  <w:tcW w:w="742" w:type="pct"/>
                  <w:noWrap w:val="0"/>
                  <w:vAlign w:val="center"/>
                </w:tcPr>
                <w:p w14:paraId="48FB330E">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0.24</w:t>
                  </w:r>
                </w:p>
              </w:tc>
              <w:tc>
                <w:tcPr>
                  <w:tcW w:w="756" w:type="pct"/>
                  <w:vMerge w:val="continue"/>
                  <w:noWrap w:val="0"/>
                  <w:vAlign w:val="center"/>
                </w:tcPr>
                <w:p w14:paraId="538647A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5DEA2D95">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7EFF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0E6823E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restart"/>
                  <w:noWrap w:val="0"/>
                  <w:vAlign w:val="center"/>
                </w:tcPr>
                <w:p w14:paraId="294C6A84">
                  <w:pPr>
                    <w:pStyle w:val="73"/>
                    <w:rPr>
                      <w:rFonts w:hint="default" w:ascii="Times New Roman" w:hAnsi="Times New Roman" w:eastAsia="宋体" w:cs="Times New Roman"/>
                      <w:caps w:val="0"/>
                      <w:smallCaps w:val="0"/>
                      <w:color w:val="auto"/>
                      <w:sz w:val="21"/>
                      <w:szCs w:val="21"/>
                      <w:highlight w:val="none"/>
                    </w:rPr>
                  </w:pPr>
                  <w:r>
                    <w:rPr>
                      <w:rFonts w:hint="eastAsia" w:cs="Times New Roman"/>
                      <w:color w:val="auto"/>
                      <w:sz w:val="21"/>
                      <w:szCs w:val="21"/>
                      <w:highlight w:val="none"/>
                      <w:lang w:val="en-US" w:eastAsia="zh-CN"/>
                    </w:rPr>
                    <w:t>厂界</w:t>
                  </w:r>
                  <w:r>
                    <w:rPr>
                      <w:rFonts w:hint="eastAsia" w:ascii="Times New Roman" w:hAnsi="Times New Roman" w:cs="Times New Roman"/>
                      <w:color w:val="auto"/>
                      <w:sz w:val="21"/>
                      <w:szCs w:val="21"/>
                      <w:highlight w:val="none"/>
                      <w:lang w:val="en-US" w:eastAsia="zh-CN"/>
                    </w:rPr>
                    <w:t>下风向3#</w:t>
                  </w:r>
                </w:p>
              </w:tc>
              <w:tc>
                <w:tcPr>
                  <w:tcW w:w="587" w:type="pct"/>
                  <w:vMerge w:val="continue"/>
                  <w:noWrap w:val="0"/>
                  <w:vAlign w:val="center"/>
                </w:tcPr>
                <w:p w14:paraId="34318EB9">
                  <w:pPr>
                    <w:pStyle w:val="73"/>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6729D3C3">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11</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p>
              </w:tc>
              <w:tc>
                <w:tcPr>
                  <w:tcW w:w="742" w:type="pct"/>
                  <w:noWrap w:val="0"/>
                  <w:vAlign w:val="center"/>
                </w:tcPr>
                <w:p w14:paraId="7A82DF98">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0.15</w:t>
                  </w:r>
                </w:p>
              </w:tc>
              <w:tc>
                <w:tcPr>
                  <w:tcW w:w="756" w:type="pct"/>
                  <w:vMerge w:val="continue"/>
                  <w:noWrap w:val="0"/>
                  <w:vAlign w:val="center"/>
                </w:tcPr>
                <w:p w14:paraId="73D8734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062E9D2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6FFB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6083384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continue"/>
                  <w:noWrap w:val="0"/>
                  <w:vAlign w:val="center"/>
                </w:tcPr>
                <w:p w14:paraId="5E0CB77B">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104E1A4A">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4627A234">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5</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p>
              </w:tc>
              <w:tc>
                <w:tcPr>
                  <w:tcW w:w="742" w:type="pct"/>
                  <w:noWrap w:val="0"/>
                  <w:vAlign w:val="center"/>
                </w:tcPr>
                <w:p w14:paraId="164B42CB">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0.19</w:t>
                  </w:r>
                </w:p>
              </w:tc>
              <w:tc>
                <w:tcPr>
                  <w:tcW w:w="756" w:type="pct"/>
                  <w:vMerge w:val="continue"/>
                  <w:noWrap w:val="0"/>
                  <w:vAlign w:val="center"/>
                </w:tcPr>
                <w:p w14:paraId="2484FAA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44131A85">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4EFC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346C107A">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continue"/>
                  <w:noWrap w:val="0"/>
                  <w:vAlign w:val="center"/>
                </w:tcPr>
                <w:p w14:paraId="727C6BE4">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120FFB7E">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53100C53">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17</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p>
              </w:tc>
              <w:tc>
                <w:tcPr>
                  <w:tcW w:w="742" w:type="pct"/>
                  <w:noWrap w:val="0"/>
                  <w:vAlign w:val="center"/>
                </w:tcPr>
                <w:p w14:paraId="28027113">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0.17</w:t>
                  </w:r>
                </w:p>
              </w:tc>
              <w:tc>
                <w:tcPr>
                  <w:tcW w:w="756" w:type="pct"/>
                  <w:vMerge w:val="continue"/>
                  <w:noWrap w:val="0"/>
                  <w:vAlign w:val="center"/>
                </w:tcPr>
                <w:p w14:paraId="37687BD6">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6F63D826">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215C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restart"/>
                  <w:noWrap w:val="0"/>
                  <w:vAlign w:val="center"/>
                </w:tcPr>
                <w:p w14:paraId="2306A89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r>
                    <w:rPr>
                      <w:rFonts w:hint="eastAsia" w:ascii="Times New Roman" w:hAnsi="Times New Roman" w:eastAsia="宋体" w:cs="Times New Roman"/>
                      <w:b w:val="0"/>
                      <w:bCs w:val="0"/>
                      <w:caps w:val="0"/>
                      <w:smallCaps w:val="0"/>
                      <w:color w:val="auto"/>
                      <w:kern w:val="2"/>
                      <w:sz w:val="21"/>
                      <w:szCs w:val="21"/>
                      <w:highlight w:val="none"/>
                      <w:lang w:val="en-US" w:eastAsia="zh-CN" w:bidi="ar-SA"/>
                    </w:rPr>
                    <w:t>硫化氢</w:t>
                  </w:r>
                </w:p>
              </w:tc>
              <w:tc>
                <w:tcPr>
                  <w:tcW w:w="605" w:type="pct"/>
                  <w:vMerge w:val="restart"/>
                  <w:noWrap w:val="0"/>
                  <w:vAlign w:val="center"/>
                </w:tcPr>
                <w:p w14:paraId="3AAAE6EB">
                  <w:pPr>
                    <w:pStyle w:val="73"/>
                    <w:rPr>
                      <w:rFonts w:hint="default" w:ascii="Times New Roman" w:hAnsi="Times New Roman" w:eastAsia="宋体" w:cs="Times New Roman"/>
                      <w:caps w:val="0"/>
                      <w:smallCaps w:val="0"/>
                      <w:color w:val="auto"/>
                      <w:sz w:val="21"/>
                      <w:szCs w:val="21"/>
                      <w:highlight w:val="none"/>
                    </w:rPr>
                  </w:pPr>
                  <w:r>
                    <w:rPr>
                      <w:rFonts w:hint="eastAsia" w:cs="Times New Roman"/>
                      <w:caps w:val="0"/>
                      <w:smallCaps w:val="0"/>
                      <w:color w:val="auto"/>
                      <w:sz w:val="21"/>
                      <w:szCs w:val="21"/>
                      <w:highlight w:val="none"/>
                      <w:lang w:val="en-US" w:eastAsia="zh-CN"/>
                    </w:rPr>
                    <w:t>厂界上风向</w:t>
                  </w:r>
                </w:p>
              </w:tc>
              <w:tc>
                <w:tcPr>
                  <w:tcW w:w="587" w:type="pct"/>
                  <w:vMerge w:val="continue"/>
                  <w:noWrap w:val="0"/>
                  <w:vAlign w:val="center"/>
                </w:tcPr>
                <w:p w14:paraId="487D9A32">
                  <w:pPr>
                    <w:pStyle w:val="73"/>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2CAA9386">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11</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p>
              </w:tc>
              <w:tc>
                <w:tcPr>
                  <w:tcW w:w="742" w:type="pct"/>
                  <w:noWrap w:val="0"/>
                  <w:vAlign w:val="center"/>
                </w:tcPr>
                <w:p w14:paraId="0D4100F0">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0.003</w:t>
                  </w:r>
                </w:p>
              </w:tc>
              <w:tc>
                <w:tcPr>
                  <w:tcW w:w="756" w:type="pct"/>
                  <w:vMerge w:val="restart"/>
                  <w:noWrap w:val="0"/>
                  <w:vAlign w:val="center"/>
                </w:tcPr>
                <w:p w14:paraId="0A05CD1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eastAsia="宋体" w:cs="Times New Roman"/>
                      <w:caps w:val="0"/>
                      <w:smallCaps w:val="0"/>
                      <w:color w:val="auto"/>
                      <w:sz w:val="21"/>
                      <w:szCs w:val="21"/>
                      <w:highlight w:val="none"/>
                    </w:rPr>
                    <w:t>≤</w:t>
                  </w:r>
                  <w:r>
                    <w:rPr>
                      <w:rFonts w:hint="eastAsia" w:ascii="Times New Roman" w:hAnsi="Times New Roman" w:eastAsia="宋体" w:cs="Times New Roman"/>
                      <w:caps w:val="0"/>
                      <w:smallCaps w:val="0"/>
                      <w:color w:val="auto"/>
                      <w:sz w:val="21"/>
                      <w:szCs w:val="21"/>
                      <w:highlight w:val="none"/>
                      <w:lang w:val="en-US" w:eastAsia="zh-CN"/>
                    </w:rPr>
                    <w:t>0.06</w:t>
                  </w:r>
                </w:p>
              </w:tc>
              <w:tc>
                <w:tcPr>
                  <w:tcW w:w="464" w:type="pct"/>
                  <w:noWrap w:val="0"/>
                  <w:vAlign w:val="center"/>
                </w:tcPr>
                <w:p w14:paraId="7299B4F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465B2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7D2EA8EF">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continue"/>
                  <w:noWrap w:val="0"/>
                  <w:vAlign w:val="center"/>
                </w:tcPr>
                <w:p w14:paraId="4B8FBC08">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6A6FEE38">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661AF3C1">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5</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p>
              </w:tc>
              <w:tc>
                <w:tcPr>
                  <w:tcW w:w="742" w:type="pct"/>
                  <w:noWrap w:val="0"/>
                  <w:vAlign w:val="center"/>
                </w:tcPr>
                <w:p w14:paraId="4ACD4B43">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0.003</w:t>
                  </w:r>
                </w:p>
              </w:tc>
              <w:tc>
                <w:tcPr>
                  <w:tcW w:w="756" w:type="pct"/>
                  <w:vMerge w:val="continue"/>
                  <w:noWrap w:val="0"/>
                  <w:vAlign w:val="center"/>
                </w:tcPr>
                <w:p w14:paraId="0E6570F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550773AA">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1374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397A69BF">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continue"/>
                  <w:noWrap w:val="0"/>
                  <w:vAlign w:val="center"/>
                </w:tcPr>
                <w:p w14:paraId="7061491F">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55EBF9C7">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0F421E1C">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17</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p>
              </w:tc>
              <w:tc>
                <w:tcPr>
                  <w:tcW w:w="742" w:type="pct"/>
                  <w:noWrap w:val="0"/>
                  <w:vAlign w:val="center"/>
                </w:tcPr>
                <w:p w14:paraId="073F6D3C">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0.003</w:t>
                  </w:r>
                </w:p>
              </w:tc>
              <w:tc>
                <w:tcPr>
                  <w:tcW w:w="756" w:type="pct"/>
                  <w:vMerge w:val="continue"/>
                  <w:noWrap w:val="0"/>
                  <w:vAlign w:val="center"/>
                </w:tcPr>
                <w:p w14:paraId="0797CD3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107B513C">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141B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2103FA3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restart"/>
                  <w:noWrap w:val="0"/>
                  <w:vAlign w:val="center"/>
                </w:tcPr>
                <w:p w14:paraId="75942F8E">
                  <w:pPr>
                    <w:keepNext w:val="0"/>
                    <w:keepLines w:val="0"/>
                    <w:pageBreakBefore w:val="0"/>
                    <w:widowControl w:val="0"/>
                    <w:kinsoku/>
                    <w:wordWrap/>
                    <w:overflowPunct/>
                    <w:topLinePunct w:val="0"/>
                    <w:bidi w:val="0"/>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厂界</w:t>
                  </w:r>
                  <w:r>
                    <w:rPr>
                      <w:rFonts w:hint="eastAsia" w:ascii="Times New Roman" w:hAnsi="Times New Roman" w:cs="Times New Roman"/>
                      <w:color w:val="auto"/>
                      <w:sz w:val="21"/>
                      <w:szCs w:val="21"/>
                      <w:highlight w:val="none"/>
                      <w:lang w:val="en-US" w:eastAsia="zh-CN"/>
                    </w:rPr>
                    <w:t>下风向1#</w:t>
                  </w:r>
                </w:p>
              </w:tc>
              <w:tc>
                <w:tcPr>
                  <w:tcW w:w="587" w:type="pct"/>
                  <w:vMerge w:val="continue"/>
                  <w:noWrap w:val="0"/>
                  <w:vAlign w:val="center"/>
                </w:tcPr>
                <w:p w14:paraId="3FD3B8F9">
                  <w:pPr>
                    <w:pStyle w:val="73"/>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5DBC3C8C">
                  <w:pPr>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11</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p>
              </w:tc>
              <w:tc>
                <w:tcPr>
                  <w:tcW w:w="742" w:type="pct"/>
                  <w:noWrap w:val="0"/>
                  <w:vAlign w:val="center"/>
                </w:tcPr>
                <w:p w14:paraId="47E861DF">
                  <w:pPr>
                    <w:pStyle w:val="73"/>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0.005</w:t>
                  </w:r>
                </w:p>
              </w:tc>
              <w:tc>
                <w:tcPr>
                  <w:tcW w:w="756" w:type="pct"/>
                  <w:vMerge w:val="continue"/>
                  <w:noWrap w:val="0"/>
                  <w:vAlign w:val="center"/>
                </w:tcPr>
                <w:p w14:paraId="213E6EC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730" w:type="dxa"/>
                  <w:noWrap w:val="0"/>
                  <w:vAlign w:val="center"/>
                </w:tcPr>
                <w:p w14:paraId="21D0B6FC">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71ED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49" w:type="pct"/>
                  <w:vMerge w:val="continue"/>
                  <w:noWrap w:val="0"/>
                  <w:vAlign w:val="center"/>
                </w:tcPr>
                <w:p w14:paraId="6DC9487F">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continue"/>
                  <w:noWrap w:val="0"/>
                  <w:vAlign w:val="center"/>
                </w:tcPr>
                <w:p w14:paraId="62B0DA7B">
                  <w:pPr>
                    <w:pStyle w:val="73"/>
                    <w:rPr>
                      <w:rFonts w:hint="eastAsia" w:cs="Times New Roman"/>
                      <w:color w:val="auto"/>
                      <w:sz w:val="21"/>
                      <w:szCs w:val="21"/>
                      <w:highlight w:val="none"/>
                      <w:lang w:val="en-US" w:eastAsia="zh-CN"/>
                    </w:rPr>
                  </w:pPr>
                </w:p>
              </w:tc>
              <w:tc>
                <w:tcPr>
                  <w:tcW w:w="587" w:type="pct"/>
                  <w:vMerge w:val="continue"/>
                  <w:noWrap w:val="0"/>
                  <w:vAlign w:val="center"/>
                </w:tcPr>
                <w:p w14:paraId="7996353A">
                  <w:pPr>
                    <w:pStyle w:val="73"/>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05F20527">
                  <w:pPr>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5</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p>
              </w:tc>
              <w:tc>
                <w:tcPr>
                  <w:tcW w:w="742" w:type="pct"/>
                  <w:noWrap w:val="0"/>
                  <w:vAlign w:val="center"/>
                </w:tcPr>
                <w:p w14:paraId="02FAE7ED">
                  <w:pPr>
                    <w:pStyle w:val="73"/>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0.005</w:t>
                  </w:r>
                </w:p>
              </w:tc>
              <w:tc>
                <w:tcPr>
                  <w:tcW w:w="756" w:type="pct"/>
                  <w:vMerge w:val="continue"/>
                  <w:noWrap w:val="0"/>
                  <w:vAlign w:val="center"/>
                </w:tcPr>
                <w:p w14:paraId="583DDC0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730" w:type="dxa"/>
                  <w:noWrap w:val="0"/>
                  <w:vAlign w:val="center"/>
                </w:tcPr>
                <w:p w14:paraId="6FD6FD26">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612D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3C2B949C">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continue"/>
                  <w:noWrap w:val="0"/>
                  <w:vAlign w:val="center"/>
                </w:tcPr>
                <w:p w14:paraId="0FD766EA">
                  <w:pPr>
                    <w:pStyle w:val="73"/>
                    <w:rPr>
                      <w:rFonts w:hint="eastAsia" w:cs="Times New Roman"/>
                      <w:color w:val="auto"/>
                      <w:sz w:val="21"/>
                      <w:szCs w:val="21"/>
                      <w:highlight w:val="none"/>
                      <w:lang w:val="en-US" w:eastAsia="zh-CN"/>
                    </w:rPr>
                  </w:pPr>
                </w:p>
              </w:tc>
              <w:tc>
                <w:tcPr>
                  <w:tcW w:w="587" w:type="pct"/>
                  <w:vMerge w:val="continue"/>
                  <w:noWrap w:val="0"/>
                  <w:vAlign w:val="center"/>
                </w:tcPr>
                <w:p w14:paraId="431D21DB">
                  <w:pPr>
                    <w:pStyle w:val="73"/>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4EF63CDD">
                  <w:pPr>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17</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p>
              </w:tc>
              <w:tc>
                <w:tcPr>
                  <w:tcW w:w="742" w:type="pct"/>
                  <w:noWrap w:val="0"/>
                  <w:vAlign w:val="center"/>
                </w:tcPr>
                <w:p w14:paraId="68ED9472">
                  <w:pPr>
                    <w:pStyle w:val="73"/>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0.006</w:t>
                  </w:r>
                </w:p>
              </w:tc>
              <w:tc>
                <w:tcPr>
                  <w:tcW w:w="756" w:type="pct"/>
                  <w:vMerge w:val="continue"/>
                  <w:noWrap w:val="0"/>
                  <w:vAlign w:val="center"/>
                </w:tcPr>
                <w:p w14:paraId="6888147B">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730" w:type="dxa"/>
                  <w:noWrap w:val="0"/>
                  <w:vAlign w:val="center"/>
                </w:tcPr>
                <w:p w14:paraId="6AA0A651">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5B27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7983838E">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restart"/>
                  <w:noWrap w:val="0"/>
                  <w:vAlign w:val="center"/>
                </w:tcPr>
                <w:p w14:paraId="6656CCC3">
                  <w:pPr>
                    <w:pStyle w:val="73"/>
                    <w:rPr>
                      <w:rFonts w:hint="default" w:ascii="Times New Roman" w:hAnsi="Times New Roman" w:eastAsia="宋体" w:cs="Times New Roman"/>
                      <w:caps w:val="0"/>
                      <w:smallCaps w:val="0"/>
                      <w:color w:val="auto"/>
                      <w:sz w:val="21"/>
                      <w:szCs w:val="21"/>
                      <w:highlight w:val="none"/>
                    </w:rPr>
                  </w:pPr>
                  <w:r>
                    <w:rPr>
                      <w:rFonts w:hint="eastAsia" w:cs="Times New Roman"/>
                      <w:color w:val="auto"/>
                      <w:sz w:val="21"/>
                      <w:szCs w:val="21"/>
                      <w:highlight w:val="none"/>
                      <w:lang w:val="en-US" w:eastAsia="zh-CN"/>
                    </w:rPr>
                    <w:t>厂界</w:t>
                  </w:r>
                  <w:r>
                    <w:rPr>
                      <w:rFonts w:hint="eastAsia" w:ascii="Times New Roman" w:hAnsi="Times New Roman" w:cs="Times New Roman"/>
                      <w:color w:val="auto"/>
                      <w:sz w:val="21"/>
                      <w:szCs w:val="21"/>
                      <w:highlight w:val="none"/>
                      <w:lang w:val="en-US" w:eastAsia="zh-CN"/>
                    </w:rPr>
                    <w:t>下风向2#</w:t>
                  </w:r>
                </w:p>
              </w:tc>
              <w:tc>
                <w:tcPr>
                  <w:tcW w:w="587" w:type="pct"/>
                  <w:vMerge w:val="continue"/>
                  <w:noWrap w:val="0"/>
                  <w:vAlign w:val="center"/>
                </w:tcPr>
                <w:p w14:paraId="7FBAAAB0">
                  <w:pPr>
                    <w:pStyle w:val="73"/>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24C0BE0A">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11</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p>
              </w:tc>
              <w:tc>
                <w:tcPr>
                  <w:tcW w:w="742" w:type="pct"/>
                  <w:noWrap w:val="0"/>
                  <w:vAlign w:val="center"/>
                </w:tcPr>
                <w:p w14:paraId="792F6F68">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0.006</w:t>
                  </w:r>
                </w:p>
              </w:tc>
              <w:tc>
                <w:tcPr>
                  <w:tcW w:w="756" w:type="pct"/>
                  <w:vMerge w:val="continue"/>
                  <w:noWrap w:val="0"/>
                  <w:vAlign w:val="center"/>
                </w:tcPr>
                <w:p w14:paraId="415854A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6C6114DB">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75B9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7908E76C">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continue"/>
                  <w:noWrap w:val="0"/>
                  <w:vAlign w:val="center"/>
                </w:tcPr>
                <w:p w14:paraId="18C97AC8">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1B483D87">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561AE01B">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5</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p>
              </w:tc>
              <w:tc>
                <w:tcPr>
                  <w:tcW w:w="742" w:type="pct"/>
                  <w:noWrap w:val="0"/>
                  <w:vAlign w:val="center"/>
                </w:tcPr>
                <w:p w14:paraId="03E2ED65">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0.006</w:t>
                  </w:r>
                </w:p>
              </w:tc>
              <w:tc>
                <w:tcPr>
                  <w:tcW w:w="756" w:type="pct"/>
                  <w:vMerge w:val="continue"/>
                  <w:noWrap w:val="0"/>
                  <w:vAlign w:val="center"/>
                </w:tcPr>
                <w:p w14:paraId="5879078F">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5C8C4107">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30D7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2756C43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continue"/>
                  <w:noWrap w:val="0"/>
                  <w:vAlign w:val="center"/>
                </w:tcPr>
                <w:p w14:paraId="152126B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66C83718">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435EEEBA">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17</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p>
              </w:tc>
              <w:tc>
                <w:tcPr>
                  <w:tcW w:w="742" w:type="pct"/>
                  <w:noWrap w:val="0"/>
                  <w:vAlign w:val="center"/>
                </w:tcPr>
                <w:p w14:paraId="15623BF5">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0.006</w:t>
                  </w:r>
                </w:p>
              </w:tc>
              <w:tc>
                <w:tcPr>
                  <w:tcW w:w="756" w:type="pct"/>
                  <w:vMerge w:val="continue"/>
                  <w:noWrap w:val="0"/>
                  <w:vAlign w:val="center"/>
                </w:tcPr>
                <w:p w14:paraId="2A00009A">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5D50084C">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3535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74955C64">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restart"/>
                  <w:noWrap w:val="0"/>
                  <w:vAlign w:val="center"/>
                </w:tcPr>
                <w:p w14:paraId="728C0DEE">
                  <w:pPr>
                    <w:pStyle w:val="73"/>
                    <w:rPr>
                      <w:rFonts w:hint="default" w:ascii="Times New Roman" w:hAnsi="Times New Roman" w:eastAsia="宋体" w:cs="Times New Roman"/>
                      <w:caps w:val="0"/>
                      <w:smallCaps w:val="0"/>
                      <w:color w:val="auto"/>
                      <w:sz w:val="21"/>
                      <w:szCs w:val="21"/>
                      <w:highlight w:val="none"/>
                    </w:rPr>
                  </w:pPr>
                  <w:r>
                    <w:rPr>
                      <w:rFonts w:hint="eastAsia" w:cs="Times New Roman"/>
                      <w:color w:val="auto"/>
                      <w:sz w:val="21"/>
                      <w:szCs w:val="21"/>
                      <w:highlight w:val="none"/>
                      <w:lang w:val="en-US" w:eastAsia="zh-CN"/>
                    </w:rPr>
                    <w:t>厂界</w:t>
                  </w:r>
                  <w:r>
                    <w:rPr>
                      <w:rFonts w:hint="eastAsia" w:ascii="Times New Roman" w:hAnsi="Times New Roman" w:cs="Times New Roman"/>
                      <w:color w:val="auto"/>
                      <w:sz w:val="21"/>
                      <w:szCs w:val="21"/>
                      <w:highlight w:val="none"/>
                      <w:lang w:val="en-US" w:eastAsia="zh-CN"/>
                    </w:rPr>
                    <w:t>下风向3#</w:t>
                  </w:r>
                </w:p>
              </w:tc>
              <w:tc>
                <w:tcPr>
                  <w:tcW w:w="587" w:type="pct"/>
                  <w:vMerge w:val="continue"/>
                  <w:noWrap w:val="0"/>
                  <w:vAlign w:val="center"/>
                </w:tcPr>
                <w:p w14:paraId="040324FF">
                  <w:pPr>
                    <w:pStyle w:val="73"/>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23AD6864">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11</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w:t>
                  </w:r>
                </w:p>
              </w:tc>
              <w:tc>
                <w:tcPr>
                  <w:tcW w:w="742" w:type="pct"/>
                  <w:noWrap w:val="0"/>
                  <w:vAlign w:val="center"/>
                </w:tcPr>
                <w:p w14:paraId="716938F9">
                  <w:pPr>
                    <w:pStyle w:val="73"/>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0.005</w:t>
                  </w:r>
                </w:p>
              </w:tc>
              <w:tc>
                <w:tcPr>
                  <w:tcW w:w="756" w:type="pct"/>
                  <w:vMerge w:val="continue"/>
                  <w:noWrap w:val="0"/>
                  <w:vAlign w:val="center"/>
                </w:tcPr>
                <w:p w14:paraId="51605F6B">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4CB24FA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58F9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7784ADA6">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continue"/>
                  <w:noWrap w:val="0"/>
                  <w:vAlign w:val="center"/>
                </w:tcPr>
                <w:p w14:paraId="15AB4F3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458D0F78">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5B802A76">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5</w:t>
                  </w:r>
                  <w:r>
                    <w:rPr>
                      <w:rFonts w:hint="eastAsia" w:ascii="Times New Roman" w:hAnsi="Times New Roman"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w:t>
                  </w:r>
                </w:p>
              </w:tc>
              <w:tc>
                <w:tcPr>
                  <w:tcW w:w="742" w:type="pct"/>
                  <w:noWrap w:val="0"/>
                  <w:vAlign w:val="center"/>
                </w:tcPr>
                <w:p w14:paraId="340A981A">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0.006</w:t>
                  </w:r>
                </w:p>
              </w:tc>
              <w:tc>
                <w:tcPr>
                  <w:tcW w:w="756" w:type="pct"/>
                  <w:vMerge w:val="continue"/>
                  <w:noWrap w:val="0"/>
                  <w:vAlign w:val="center"/>
                </w:tcPr>
                <w:p w14:paraId="6557379B">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3EA2FD33">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3E52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51F25FCE">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rPr>
                  </w:pPr>
                </w:p>
              </w:tc>
              <w:tc>
                <w:tcPr>
                  <w:tcW w:w="605" w:type="pct"/>
                  <w:vMerge w:val="continue"/>
                  <w:noWrap w:val="0"/>
                  <w:vAlign w:val="center"/>
                </w:tcPr>
                <w:p w14:paraId="5E8D7918">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52125FBB">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1EA8507D">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17</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20</w:t>
                  </w:r>
                </w:p>
              </w:tc>
              <w:tc>
                <w:tcPr>
                  <w:tcW w:w="742" w:type="pct"/>
                  <w:noWrap w:val="0"/>
                  <w:vAlign w:val="center"/>
                </w:tcPr>
                <w:p w14:paraId="1B04B6D4">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0.006</w:t>
                  </w:r>
                </w:p>
              </w:tc>
              <w:tc>
                <w:tcPr>
                  <w:tcW w:w="756" w:type="pct"/>
                  <w:vMerge w:val="continue"/>
                  <w:noWrap w:val="0"/>
                  <w:vAlign w:val="center"/>
                </w:tcPr>
                <w:p w14:paraId="68E3D51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1240965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746A0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restart"/>
                  <w:noWrap w:val="0"/>
                  <w:vAlign w:val="center"/>
                </w:tcPr>
                <w:p w14:paraId="138A6724">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臭气浓度</w:t>
                  </w:r>
                </w:p>
              </w:tc>
              <w:tc>
                <w:tcPr>
                  <w:tcW w:w="605" w:type="pct"/>
                  <w:vMerge w:val="restart"/>
                  <w:noWrap w:val="0"/>
                  <w:vAlign w:val="center"/>
                </w:tcPr>
                <w:p w14:paraId="425F2584">
                  <w:pPr>
                    <w:pStyle w:val="73"/>
                    <w:jc w:val="center"/>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cs="Times New Roman"/>
                      <w:caps w:val="0"/>
                      <w:smallCaps w:val="0"/>
                      <w:color w:val="auto"/>
                      <w:sz w:val="21"/>
                      <w:szCs w:val="21"/>
                      <w:highlight w:val="none"/>
                      <w:lang w:val="en-US" w:eastAsia="zh-CN"/>
                    </w:rPr>
                    <w:t>厂界上风向</w:t>
                  </w:r>
                </w:p>
              </w:tc>
              <w:tc>
                <w:tcPr>
                  <w:tcW w:w="587" w:type="pct"/>
                  <w:vMerge w:val="continue"/>
                  <w:noWrap w:val="0"/>
                  <w:vAlign w:val="center"/>
                </w:tcPr>
                <w:p w14:paraId="313D7135">
                  <w:pPr>
                    <w:pStyle w:val="73"/>
                    <w:jc w:val="center"/>
                    <w:rPr>
                      <w:rFonts w:hint="default" w:ascii="Times New Roman" w:hAnsi="Times New Roman" w:eastAsia="宋体" w:cs="Times New Roman"/>
                      <w:caps w:val="0"/>
                      <w:smallCaps w:val="0"/>
                      <w:color w:val="auto"/>
                      <w:sz w:val="21"/>
                      <w:szCs w:val="21"/>
                      <w:highlight w:val="none"/>
                      <w:lang w:val="en-US" w:eastAsia="zh-CN"/>
                    </w:rPr>
                  </w:pPr>
                </w:p>
              </w:tc>
              <w:tc>
                <w:tcPr>
                  <w:tcW w:w="1193" w:type="pct"/>
                  <w:noWrap w:val="0"/>
                  <w:vAlign w:val="center"/>
                </w:tcPr>
                <w:p w14:paraId="704A354B">
                  <w:pPr>
                    <w:pStyle w:val="73"/>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10:32</w:t>
                  </w:r>
                </w:p>
              </w:tc>
              <w:tc>
                <w:tcPr>
                  <w:tcW w:w="742" w:type="pct"/>
                  <w:noWrap w:val="0"/>
                  <w:vAlign w:val="center"/>
                </w:tcPr>
                <w:p w14:paraId="7C36885F">
                  <w:pPr>
                    <w:pStyle w:val="73"/>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756" w:type="pct"/>
                  <w:vMerge w:val="restart"/>
                  <w:noWrap w:val="0"/>
                  <w:vAlign w:val="center"/>
                </w:tcPr>
                <w:p w14:paraId="0A7FC16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lang w:val="en-US"/>
                    </w:rPr>
                  </w:pPr>
                  <w:r>
                    <w:rPr>
                      <w:rFonts w:hint="default" w:ascii="Times New Roman" w:hAnsi="Times New Roman" w:eastAsia="宋体" w:cs="Times New Roman"/>
                      <w:caps w:val="0"/>
                      <w:smallCaps w:val="0"/>
                      <w:color w:val="auto"/>
                      <w:sz w:val="21"/>
                      <w:szCs w:val="21"/>
                      <w:highlight w:val="none"/>
                    </w:rPr>
                    <w:t>≤</w:t>
                  </w:r>
                  <w:r>
                    <w:rPr>
                      <w:rFonts w:hint="eastAsia" w:ascii="Times New Roman" w:hAnsi="Times New Roman" w:eastAsia="宋体" w:cs="Times New Roman"/>
                      <w:caps w:val="0"/>
                      <w:smallCaps w:val="0"/>
                      <w:color w:val="auto"/>
                      <w:sz w:val="21"/>
                      <w:szCs w:val="21"/>
                      <w:highlight w:val="none"/>
                      <w:lang w:val="en-US" w:eastAsia="zh-CN"/>
                    </w:rPr>
                    <w:t>20</w:t>
                  </w:r>
                </w:p>
              </w:tc>
              <w:tc>
                <w:tcPr>
                  <w:tcW w:w="464" w:type="pct"/>
                  <w:noWrap w:val="0"/>
                  <w:vAlign w:val="center"/>
                </w:tcPr>
                <w:p w14:paraId="196B5786">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lang w:val="zh-CN" w:eastAsia="zh-CN" w:bidi="zh-CN"/>
                    </w:rPr>
                  </w:pPr>
                  <w:r>
                    <w:rPr>
                      <w:rFonts w:hint="default" w:ascii="Times New Roman" w:hAnsi="Times New Roman" w:eastAsia="宋体" w:cs="Times New Roman"/>
                      <w:caps w:val="0"/>
                      <w:smallCaps w:val="0"/>
                      <w:color w:val="auto"/>
                      <w:sz w:val="21"/>
                      <w:szCs w:val="21"/>
                      <w:highlight w:val="none"/>
                    </w:rPr>
                    <w:t>达标</w:t>
                  </w:r>
                </w:p>
              </w:tc>
            </w:tr>
            <w:tr w14:paraId="07C3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12FCE605">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605" w:type="pct"/>
                  <w:vMerge w:val="continue"/>
                  <w:noWrap w:val="0"/>
                  <w:vAlign w:val="center"/>
                </w:tcPr>
                <w:p w14:paraId="7DD45567">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2D39112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349C2E93">
                  <w:pPr>
                    <w:pStyle w:val="73"/>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14:03</w:t>
                  </w:r>
                </w:p>
              </w:tc>
              <w:tc>
                <w:tcPr>
                  <w:tcW w:w="742" w:type="pct"/>
                  <w:noWrap w:val="0"/>
                  <w:vAlign w:val="center"/>
                </w:tcPr>
                <w:p w14:paraId="5FB75444">
                  <w:pPr>
                    <w:pStyle w:val="73"/>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756" w:type="pct"/>
                  <w:vMerge w:val="continue"/>
                  <w:noWrap w:val="0"/>
                  <w:vAlign w:val="center"/>
                </w:tcPr>
                <w:p w14:paraId="63A9DF8C">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60D96E24">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lang w:val="zh-CN" w:eastAsia="zh-CN" w:bidi="zh-CN"/>
                    </w:rPr>
                  </w:pPr>
                  <w:r>
                    <w:rPr>
                      <w:rFonts w:hint="default" w:ascii="Times New Roman" w:hAnsi="Times New Roman" w:eastAsia="宋体" w:cs="Times New Roman"/>
                      <w:caps w:val="0"/>
                      <w:smallCaps w:val="0"/>
                      <w:color w:val="auto"/>
                      <w:sz w:val="21"/>
                      <w:szCs w:val="21"/>
                      <w:highlight w:val="none"/>
                    </w:rPr>
                    <w:t>达标</w:t>
                  </w:r>
                </w:p>
              </w:tc>
            </w:tr>
            <w:tr w14:paraId="5F96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63EB223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605" w:type="pct"/>
                  <w:vMerge w:val="continue"/>
                  <w:noWrap w:val="0"/>
                  <w:vAlign w:val="center"/>
                </w:tcPr>
                <w:p w14:paraId="6FF5D5E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57866734">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7DCAF355">
                  <w:pPr>
                    <w:pStyle w:val="73"/>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16:22</w:t>
                  </w:r>
                </w:p>
              </w:tc>
              <w:tc>
                <w:tcPr>
                  <w:tcW w:w="742" w:type="pct"/>
                  <w:noWrap w:val="0"/>
                  <w:vAlign w:val="center"/>
                </w:tcPr>
                <w:p w14:paraId="05A2761F">
                  <w:pPr>
                    <w:pStyle w:val="73"/>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756" w:type="pct"/>
                  <w:vMerge w:val="continue"/>
                  <w:noWrap w:val="0"/>
                  <w:vAlign w:val="center"/>
                </w:tcPr>
                <w:p w14:paraId="4DC91DBA">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730" w:type="dxa"/>
                  <w:noWrap w:val="0"/>
                  <w:vAlign w:val="center"/>
                </w:tcPr>
                <w:p w14:paraId="075E083D">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lang w:val="zh-CN" w:eastAsia="zh-CN" w:bidi="zh-CN"/>
                    </w:rPr>
                  </w:pPr>
                  <w:r>
                    <w:rPr>
                      <w:rFonts w:hint="default" w:ascii="Times New Roman" w:hAnsi="Times New Roman" w:eastAsia="宋体" w:cs="Times New Roman"/>
                      <w:caps w:val="0"/>
                      <w:smallCaps w:val="0"/>
                      <w:color w:val="auto"/>
                      <w:sz w:val="21"/>
                      <w:szCs w:val="21"/>
                      <w:highlight w:val="none"/>
                    </w:rPr>
                    <w:t>达标</w:t>
                  </w:r>
                </w:p>
              </w:tc>
            </w:tr>
            <w:tr w14:paraId="2E3E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72B5FC54">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605" w:type="pct"/>
                  <w:vMerge w:val="restart"/>
                  <w:noWrap w:val="0"/>
                  <w:vAlign w:val="center"/>
                </w:tcPr>
                <w:p w14:paraId="15E48CE7">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cs="Times New Roman"/>
                      <w:color w:val="auto"/>
                      <w:sz w:val="21"/>
                      <w:szCs w:val="21"/>
                      <w:highlight w:val="none"/>
                      <w:lang w:val="en-US" w:eastAsia="zh-CN"/>
                    </w:rPr>
                    <w:t>厂界下风向1#</w:t>
                  </w:r>
                </w:p>
              </w:tc>
              <w:tc>
                <w:tcPr>
                  <w:tcW w:w="587" w:type="pct"/>
                  <w:vMerge w:val="continue"/>
                  <w:noWrap w:val="0"/>
                  <w:vAlign w:val="center"/>
                </w:tcPr>
                <w:p w14:paraId="0CB18ACF">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1193" w:type="pct"/>
                  <w:shd w:val="clear" w:color="auto" w:fill="auto"/>
                  <w:noWrap w:val="0"/>
                  <w:vAlign w:val="center"/>
                </w:tcPr>
                <w:p w14:paraId="2D3D4780">
                  <w:pPr>
                    <w:pStyle w:val="73"/>
                    <w:jc w:val="center"/>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10:36</w:t>
                  </w:r>
                </w:p>
              </w:tc>
              <w:tc>
                <w:tcPr>
                  <w:tcW w:w="742" w:type="pct"/>
                  <w:noWrap w:val="0"/>
                  <w:vAlign w:val="center"/>
                </w:tcPr>
                <w:p w14:paraId="4ED74DC2">
                  <w:pPr>
                    <w:pStyle w:val="73"/>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w:t>
                  </w:r>
                </w:p>
              </w:tc>
              <w:tc>
                <w:tcPr>
                  <w:tcW w:w="756" w:type="pct"/>
                  <w:vMerge w:val="continue"/>
                  <w:noWrap w:val="0"/>
                  <w:vAlign w:val="center"/>
                </w:tcPr>
                <w:p w14:paraId="565B812F">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730" w:type="dxa"/>
                  <w:noWrap w:val="0"/>
                  <w:vAlign w:val="center"/>
                </w:tcPr>
                <w:p w14:paraId="1E497D4C">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4CD8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10E2817E">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605" w:type="pct"/>
                  <w:vMerge w:val="continue"/>
                  <w:noWrap w:val="0"/>
                  <w:vAlign w:val="center"/>
                </w:tcPr>
                <w:p w14:paraId="27FF398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13E6AF8A">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1193" w:type="pct"/>
                  <w:shd w:val="clear" w:color="auto" w:fill="auto"/>
                  <w:noWrap w:val="0"/>
                  <w:vAlign w:val="center"/>
                </w:tcPr>
                <w:p w14:paraId="2DA5B1A1">
                  <w:pPr>
                    <w:pStyle w:val="73"/>
                    <w:jc w:val="center"/>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14:08</w:t>
                  </w:r>
                </w:p>
              </w:tc>
              <w:tc>
                <w:tcPr>
                  <w:tcW w:w="742" w:type="pct"/>
                  <w:noWrap w:val="0"/>
                  <w:vAlign w:val="center"/>
                </w:tcPr>
                <w:p w14:paraId="4CE1521B">
                  <w:pPr>
                    <w:pStyle w:val="73"/>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w:t>
                  </w:r>
                </w:p>
              </w:tc>
              <w:tc>
                <w:tcPr>
                  <w:tcW w:w="756" w:type="pct"/>
                  <w:vMerge w:val="continue"/>
                  <w:noWrap w:val="0"/>
                  <w:vAlign w:val="center"/>
                </w:tcPr>
                <w:p w14:paraId="56B351FA">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730" w:type="dxa"/>
                  <w:noWrap w:val="0"/>
                  <w:vAlign w:val="center"/>
                </w:tcPr>
                <w:p w14:paraId="74F5D667">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4A63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49" w:type="pct"/>
                  <w:vMerge w:val="continue"/>
                  <w:noWrap w:val="0"/>
                  <w:vAlign w:val="center"/>
                </w:tcPr>
                <w:p w14:paraId="153E046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605" w:type="pct"/>
                  <w:vMerge w:val="continue"/>
                  <w:noWrap w:val="0"/>
                  <w:vAlign w:val="center"/>
                </w:tcPr>
                <w:p w14:paraId="5E0A055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4FFB00AE">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1193" w:type="pct"/>
                  <w:shd w:val="clear" w:color="auto" w:fill="auto"/>
                  <w:noWrap w:val="0"/>
                  <w:vAlign w:val="center"/>
                </w:tcPr>
                <w:p w14:paraId="16E91872">
                  <w:pPr>
                    <w:pStyle w:val="73"/>
                    <w:jc w:val="center"/>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16:27</w:t>
                  </w:r>
                </w:p>
              </w:tc>
              <w:tc>
                <w:tcPr>
                  <w:tcW w:w="742" w:type="pct"/>
                  <w:noWrap w:val="0"/>
                  <w:vAlign w:val="center"/>
                </w:tcPr>
                <w:p w14:paraId="61FFFE55">
                  <w:pPr>
                    <w:pStyle w:val="73"/>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w:t>
                  </w:r>
                </w:p>
              </w:tc>
              <w:tc>
                <w:tcPr>
                  <w:tcW w:w="756" w:type="pct"/>
                  <w:vMerge w:val="continue"/>
                  <w:noWrap w:val="0"/>
                  <w:vAlign w:val="center"/>
                </w:tcPr>
                <w:p w14:paraId="3FC10EC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730" w:type="dxa"/>
                  <w:noWrap w:val="0"/>
                  <w:vAlign w:val="center"/>
                </w:tcPr>
                <w:p w14:paraId="0F0CD84B">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04B4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49" w:type="pct"/>
                  <w:vMerge w:val="continue"/>
                  <w:noWrap w:val="0"/>
                  <w:vAlign w:val="center"/>
                </w:tcPr>
                <w:p w14:paraId="2F48A8B4">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605" w:type="pct"/>
                  <w:vMerge w:val="restart"/>
                  <w:noWrap w:val="0"/>
                  <w:vAlign w:val="center"/>
                </w:tcPr>
                <w:p w14:paraId="6F0D6CC6">
                  <w:pPr>
                    <w:pStyle w:val="73"/>
                    <w:jc w:val="center"/>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厂界下风向2#</w:t>
                  </w:r>
                </w:p>
              </w:tc>
              <w:tc>
                <w:tcPr>
                  <w:tcW w:w="587" w:type="pct"/>
                  <w:vMerge w:val="continue"/>
                  <w:noWrap w:val="0"/>
                  <w:vAlign w:val="center"/>
                </w:tcPr>
                <w:p w14:paraId="2D93A699">
                  <w:pPr>
                    <w:pStyle w:val="73"/>
                    <w:jc w:val="center"/>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0EB12DDA">
                  <w:pPr>
                    <w:pStyle w:val="73"/>
                    <w:jc w:val="center"/>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10:41</w:t>
                  </w:r>
                </w:p>
              </w:tc>
              <w:tc>
                <w:tcPr>
                  <w:tcW w:w="742" w:type="pct"/>
                  <w:noWrap w:val="0"/>
                  <w:vAlign w:val="center"/>
                </w:tcPr>
                <w:p w14:paraId="67C252B7">
                  <w:pPr>
                    <w:pStyle w:val="73"/>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w:t>
                  </w:r>
                </w:p>
              </w:tc>
              <w:tc>
                <w:tcPr>
                  <w:tcW w:w="756" w:type="pct"/>
                  <w:vMerge w:val="continue"/>
                  <w:noWrap w:val="0"/>
                  <w:vAlign w:val="center"/>
                </w:tcPr>
                <w:p w14:paraId="7D3DA64E">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c>
                <w:tcPr>
                  <w:tcW w:w="464" w:type="pct"/>
                  <w:noWrap w:val="0"/>
                  <w:vAlign w:val="center"/>
                </w:tcPr>
                <w:p w14:paraId="714AB72E">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31C39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1B74BD04">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605" w:type="pct"/>
                  <w:vMerge w:val="continue"/>
                  <w:noWrap w:val="0"/>
                  <w:vAlign w:val="center"/>
                </w:tcPr>
                <w:p w14:paraId="54C7232B">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7B6860B4">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2AFAE377">
                  <w:pPr>
                    <w:pStyle w:val="73"/>
                    <w:jc w:val="center"/>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14:12</w:t>
                  </w:r>
                </w:p>
              </w:tc>
              <w:tc>
                <w:tcPr>
                  <w:tcW w:w="742" w:type="pct"/>
                  <w:noWrap w:val="0"/>
                  <w:vAlign w:val="center"/>
                </w:tcPr>
                <w:p w14:paraId="7297E6E6">
                  <w:pPr>
                    <w:pStyle w:val="73"/>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756" w:type="pct"/>
                  <w:vMerge w:val="continue"/>
                  <w:noWrap w:val="0"/>
                  <w:vAlign w:val="center"/>
                </w:tcPr>
                <w:p w14:paraId="34C3370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6E29B336">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2745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25BAF0F3">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605" w:type="pct"/>
                  <w:vMerge w:val="continue"/>
                  <w:noWrap w:val="0"/>
                  <w:vAlign w:val="center"/>
                </w:tcPr>
                <w:p w14:paraId="1166B13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20983D8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00E4F8E9">
                  <w:pPr>
                    <w:pStyle w:val="73"/>
                    <w:jc w:val="center"/>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16:33</w:t>
                  </w:r>
                </w:p>
              </w:tc>
              <w:tc>
                <w:tcPr>
                  <w:tcW w:w="742" w:type="pct"/>
                  <w:noWrap w:val="0"/>
                  <w:vAlign w:val="center"/>
                </w:tcPr>
                <w:p w14:paraId="5BB72AA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756" w:type="pct"/>
                  <w:vMerge w:val="continue"/>
                  <w:noWrap w:val="0"/>
                  <w:vAlign w:val="center"/>
                </w:tcPr>
                <w:p w14:paraId="5E1795B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53A7D6F6">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11A9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76EB5DE7">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605" w:type="pct"/>
                  <w:vMerge w:val="restart"/>
                  <w:noWrap w:val="0"/>
                  <w:vAlign w:val="center"/>
                </w:tcPr>
                <w:p w14:paraId="39360DAD">
                  <w:pPr>
                    <w:pStyle w:val="73"/>
                    <w:jc w:val="center"/>
                    <w:rPr>
                      <w:rFonts w:hint="default" w:ascii="Times New Roman" w:hAnsi="Times New Roman" w:eastAsia="宋体" w:cs="Times New Roman"/>
                      <w:caps w:val="0"/>
                      <w:smallCaps w:val="0"/>
                      <w:color w:val="auto"/>
                      <w:sz w:val="21"/>
                      <w:szCs w:val="21"/>
                      <w:highlight w:val="none"/>
                    </w:rPr>
                  </w:pPr>
                  <w:r>
                    <w:rPr>
                      <w:rFonts w:hint="default" w:ascii="Times New Roman" w:hAnsi="Times New Roman" w:cs="Times New Roman"/>
                      <w:color w:val="auto"/>
                      <w:sz w:val="21"/>
                      <w:szCs w:val="21"/>
                      <w:highlight w:val="none"/>
                      <w:lang w:val="en-US" w:eastAsia="zh-CN"/>
                    </w:rPr>
                    <w:t>厂界下风向3#</w:t>
                  </w:r>
                </w:p>
              </w:tc>
              <w:tc>
                <w:tcPr>
                  <w:tcW w:w="587" w:type="pct"/>
                  <w:vMerge w:val="continue"/>
                  <w:noWrap w:val="0"/>
                  <w:vAlign w:val="center"/>
                </w:tcPr>
                <w:p w14:paraId="56E46D39">
                  <w:pPr>
                    <w:pStyle w:val="73"/>
                    <w:jc w:val="center"/>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43FFACCF">
                  <w:pPr>
                    <w:pStyle w:val="73"/>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10:45</w:t>
                  </w:r>
                </w:p>
              </w:tc>
              <w:tc>
                <w:tcPr>
                  <w:tcW w:w="742" w:type="pct"/>
                  <w:noWrap w:val="0"/>
                  <w:vAlign w:val="center"/>
                </w:tcPr>
                <w:p w14:paraId="4124162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756" w:type="pct"/>
                  <w:vMerge w:val="continue"/>
                  <w:noWrap w:val="0"/>
                  <w:vAlign w:val="center"/>
                </w:tcPr>
                <w:p w14:paraId="2394D718">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00B89C4D">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2FA4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045E97CC">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605" w:type="pct"/>
                  <w:vMerge w:val="continue"/>
                  <w:noWrap w:val="0"/>
                  <w:vAlign w:val="center"/>
                </w:tcPr>
                <w:p w14:paraId="2765AD63">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5CC054C7">
                  <w:pPr>
                    <w:pStyle w:val="73"/>
                    <w:jc w:val="center"/>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332689AE">
                  <w:pPr>
                    <w:pStyle w:val="73"/>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14:17</w:t>
                  </w:r>
                </w:p>
              </w:tc>
              <w:tc>
                <w:tcPr>
                  <w:tcW w:w="742" w:type="pct"/>
                  <w:noWrap w:val="0"/>
                  <w:vAlign w:val="center"/>
                </w:tcPr>
                <w:p w14:paraId="4EB2A08F">
                  <w:pPr>
                    <w:pStyle w:val="73"/>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756" w:type="pct"/>
                  <w:vMerge w:val="continue"/>
                  <w:noWrap w:val="0"/>
                  <w:vAlign w:val="center"/>
                </w:tcPr>
                <w:p w14:paraId="788F12F8">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665F182A">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r w14:paraId="47EE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49" w:type="pct"/>
                  <w:vMerge w:val="continue"/>
                  <w:noWrap w:val="0"/>
                  <w:vAlign w:val="center"/>
                </w:tcPr>
                <w:p w14:paraId="07A80554">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605" w:type="pct"/>
                  <w:vMerge w:val="continue"/>
                  <w:noWrap w:val="0"/>
                  <w:vAlign w:val="center"/>
                </w:tcPr>
                <w:p w14:paraId="56314EF1">
                  <w:pPr>
                    <w:pStyle w:val="73"/>
                    <w:jc w:val="center"/>
                    <w:rPr>
                      <w:rFonts w:hint="default" w:ascii="Times New Roman" w:hAnsi="Times New Roman" w:eastAsia="宋体" w:cs="Times New Roman"/>
                      <w:caps w:val="0"/>
                      <w:smallCaps w:val="0"/>
                      <w:color w:val="auto"/>
                      <w:sz w:val="21"/>
                      <w:szCs w:val="21"/>
                      <w:highlight w:val="none"/>
                    </w:rPr>
                  </w:pPr>
                </w:p>
              </w:tc>
              <w:tc>
                <w:tcPr>
                  <w:tcW w:w="587" w:type="pct"/>
                  <w:vMerge w:val="continue"/>
                  <w:noWrap w:val="0"/>
                  <w:vAlign w:val="center"/>
                </w:tcPr>
                <w:p w14:paraId="364E2B96">
                  <w:pPr>
                    <w:pStyle w:val="73"/>
                    <w:jc w:val="center"/>
                    <w:rPr>
                      <w:rFonts w:hint="default" w:ascii="Times New Roman" w:hAnsi="Times New Roman" w:eastAsia="宋体" w:cs="Times New Roman"/>
                      <w:caps w:val="0"/>
                      <w:smallCaps w:val="0"/>
                      <w:color w:val="auto"/>
                      <w:sz w:val="21"/>
                      <w:szCs w:val="21"/>
                      <w:highlight w:val="none"/>
                    </w:rPr>
                  </w:pPr>
                </w:p>
              </w:tc>
              <w:tc>
                <w:tcPr>
                  <w:tcW w:w="1193" w:type="pct"/>
                  <w:noWrap w:val="0"/>
                  <w:vAlign w:val="center"/>
                </w:tcPr>
                <w:p w14:paraId="4C7324FC">
                  <w:pPr>
                    <w:pStyle w:val="73"/>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16:38</w:t>
                  </w:r>
                </w:p>
              </w:tc>
              <w:tc>
                <w:tcPr>
                  <w:tcW w:w="742" w:type="pct"/>
                  <w:noWrap w:val="0"/>
                  <w:vAlign w:val="center"/>
                </w:tcPr>
                <w:p w14:paraId="21F2ADE1">
                  <w:pPr>
                    <w:pStyle w:val="73"/>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756" w:type="pct"/>
                  <w:vMerge w:val="continue"/>
                  <w:noWrap w:val="0"/>
                  <w:vAlign w:val="center"/>
                </w:tcPr>
                <w:p w14:paraId="22790AD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aps w:val="0"/>
                      <w:smallCaps w:val="0"/>
                      <w:color w:val="auto"/>
                      <w:sz w:val="21"/>
                      <w:szCs w:val="21"/>
                      <w:highlight w:val="none"/>
                    </w:rPr>
                  </w:pPr>
                </w:p>
              </w:tc>
              <w:tc>
                <w:tcPr>
                  <w:tcW w:w="464" w:type="pct"/>
                  <w:noWrap w:val="0"/>
                  <w:vAlign w:val="center"/>
                </w:tcPr>
                <w:p w14:paraId="7D6576D3">
                  <w:pPr>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达标</w:t>
                  </w:r>
                </w:p>
              </w:tc>
            </w:tr>
          </w:tbl>
          <w:p w14:paraId="4CDA4741">
            <w:pPr>
              <w:numPr>
                <w:ilvl w:val="0"/>
                <w:numId w:val="0"/>
              </w:numPr>
              <w:spacing w:line="360" w:lineRule="auto"/>
              <w:ind w:firstLine="480" w:firstLineChars="200"/>
              <w:rPr>
                <w:rFonts w:hint="eastAsia" w:ascii="Times New Roman" w:hAnsi="Times New Roman" w:cs="Times New Roman"/>
                <w:b/>
                <w:color w:val="auto"/>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根据监测结果，厂界无组织排放的颗粒物满足《大气污染物综合排放标准》（GB16297-1996）表2中无组织排放浓度要求；氨、硫化氢、臭气浓度排放满足《恶臭污染物排放标准》（GB14554-93）表1的二级标准</w:t>
            </w:r>
            <w:r>
              <w:rPr>
                <w:rFonts w:hint="default" w:ascii="Times New Roman" w:hAnsi="Times New Roman" w:eastAsia="宋体" w:cs="宋体"/>
                <w:caps w:val="0"/>
                <w:smallCaps w:val="0"/>
                <w:color w:val="auto"/>
                <w:sz w:val="24"/>
                <w:szCs w:val="24"/>
                <w:highlight w:val="none"/>
                <w:lang w:val="en-US" w:eastAsia="zh-CN"/>
              </w:rPr>
              <w:t>中相关规定</w:t>
            </w:r>
            <w:r>
              <w:rPr>
                <w:rFonts w:hint="eastAsia" w:ascii="Times New Roman" w:hAnsi="Times New Roman" w:eastAsia="宋体" w:cs="宋体"/>
                <w:caps w:val="0"/>
                <w:smallCaps w:val="0"/>
                <w:color w:val="auto"/>
                <w:sz w:val="24"/>
                <w:szCs w:val="24"/>
                <w:highlight w:val="none"/>
                <w:lang w:val="en-US" w:eastAsia="zh-CN"/>
              </w:rPr>
              <w:t>。</w:t>
            </w:r>
          </w:p>
          <w:p w14:paraId="5777A1D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废水污染物产排</w:t>
            </w:r>
            <w:r>
              <w:rPr>
                <w:rFonts w:hint="eastAsia" w:cs="Times New Roman"/>
                <w:b/>
                <w:bCs/>
                <w:color w:val="auto"/>
                <w:sz w:val="24"/>
                <w:szCs w:val="24"/>
                <w:highlight w:val="none"/>
                <w:lang w:val="en-US" w:eastAsia="zh-CN"/>
              </w:rPr>
              <w:t>及达标排放情况</w:t>
            </w:r>
          </w:p>
          <w:p w14:paraId="33469F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color w:val="auto"/>
                <w:sz w:val="24"/>
                <w:lang w:val="en-US" w:eastAsia="zh-CN"/>
              </w:rPr>
            </w:pPr>
            <w:r>
              <w:rPr>
                <w:rFonts w:hint="eastAsia"/>
                <w:color w:val="auto"/>
                <w:sz w:val="24"/>
                <w:lang w:val="en-US" w:eastAsia="zh-CN"/>
              </w:rPr>
              <w:t>1）废水产排情况</w:t>
            </w:r>
          </w:p>
          <w:p w14:paraId="09E81506">
            <w:pPr>
              <w:spacing w:line="360" w:lineRule="auto"/>
              <w:ind w:firstLine="480" w:firstLineChars="200"/>
              <w:rPr>
                <w:rFonts w:hint="default" w:ascii="Times New Roman" w:hAnsi="Times New Roman" w:cs="Times New Roman"/>
                <w:color w:val="auto"/>
                <w:sz w:val="24"/>
                <w:szCs w:val="24"/>
                <w:highlight w:val="none"/>
                <w:lang w:eastAsia="zh-CN"/>
              </w:rPr>
            </w:pPr>
            <w:r>
              <w:rPr>
                <w:rFonts w:hint="eastAsia" w:ascii="Times New Roman" w:hAnsi="Times New Roman"/>
                <w:color w:val="auto"/>
                <w:sz w:val="24"/>
                <w:szCs w:val="24"/>
                <w:highlight w:val="none"/>
                <w:lang w:val="en-US" w:eastAsia="zh-CN"/>
              </w:rPr>
              <w:t>现有项目</w:t>
            </w:r>
            <w:r>
              <w:rPr>
                <w:rFonts w:hint="default" w:ascii="Times New Roman" w:hAnsi="Times New Roman" w:cs="Times New Roman"/>
                <w:color w:val="auto"/>
                <w:sz w:val="24"/>
                <w:szCs w:val="24"/>
                <w:highlight w:val="none"/>
                <w:lang w:val="en-US" w:eastAsia="zh-CN"/>
              </w:rPr>
              <w:t>纯水制备系统浓水、反冲洗废水、</w:t>
            </w:r>
            <w:r>
              <w:rPr>
                <w:rFonts w:hint="eastAsia" w:ascii="Times New Roman" w:hAnsi="Times New Roman" w:cs="Times New Roman"/>
                <w:color w:val="auto"/>
                <w:sz w:val="24"/>
                <w:szCs w:val="24"/>
                <w:highlight w:val="none"/>
                <w:lang w:val="en-US" w:eastAsia="zh-CN"/>
              </w:rPr>
              <w:t>四道</w:t>
            </w:r>
            <w:r>
              <w:rPr>
                <w:rFonts w:hint="default" w:ascii="Times New Roman" w:hAnsi="Times New Roman" w:cs="Times New Roman"/>
                <w:color w:val="auto"/>
                <w:sz w:val="24"/>
                <w:szCs w:val="24"/>
                <w:highlight w:val="none"/>
                <w:lang w:val="en-US" w:eastAsia="zh-CN"/>
              </w:rPr>
              <w:t>水果清洗废水、生产车间地面清洗废水、实验器皿清洗废水、锅炉</w:t>
            </w:r>
            <w:r>
              <w:rPr>
                <w:rFonts w:hint="eastAsia" w:cs="Times New Roman"/>
                <w:color w:val="auto"/>
                <w:sz w:val="24"/>
                <w:szCs w:val="24"/>
                <w:highlight w:val="none"/>
                <w:lang w:val="en-US" w:eastAsia="zh-CN"/>
              </w:rPr>
              <w:t>排水</w:t>
            </w:r>
            <w:r>
              <w:rPr>
                <w:rFonts w:hint="default" w:ascii="Times New Roman" w:hAnsi="Times New Roman" w:cs="Times New Roman"/>
                <w:color w:val="auto"/>
                <w:sz w:val="24"/>
                <w:szCs w:val="24"/>
                <w:highlight w:val="none"/>
                <w:lang w:val="en-US" w:eastAsia="zh-CN"/>
              </w:rPr>
              <w:t>经沉淀池（1座，容积为70m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调节</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气浮</w:t>
            </w:r>
            <w:r>
              <w:rPr>
                <w:rFonts w:hint="default" w:ascii="Times New Roman" w:hAnsi="Times New Roman" w:cs="Times New Roman"/>
                <w:color w:val="auto"/>
                <w:sz w:val="24"/>
                <w:szCs w:val="24"/>
                <w:highlight w:val="none"/>
                <w:lang w:val="en-US" w:eastAsia="zh-CN"/>
              </w:rPr>
              <w:t>沉淀处理；CIP清洗系统设备清洗废水、化验室</w:t>
            </w:r>
            <w:r>
              <w:rPr>
                <w:rFonts w:hint="eastAsia" w:cs="Times New Roman"/>
                <w:color w:val="auto"/>
                <w:sz w:val="24"/>
                <w:szCs w:val="24"/>
                <w:highlight w:val="none"/>
                <w:lang w:val="en-US" w:eastAsia="zh-CN"/>
              </w:rPr>
              <w:t>废水</w:t>
            </w:r>
            <w:r>
              <w:rPr>
                <w:rFonts w:hint="default" w:ascii="Times New Roman" w:hAnsi="Times New Roman" w:cs="Times New Roman"/>
                <w:color w:val="auto"/>
                <w:sz w:val="24"/>
                <w:szCs w:val="24"/>
                <w:highlight w:val="none"/>
                <w:lang w:val="en-US" w:eastAsia="zh-CN"/>
              </w:rPr>
              <w:t>经自建一体化污水处理站（1座，处理规模为15m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cs="Times New Roman"/>
                <w:color w:val="auto"/>
                <w:sz w:val="24"/>
                <w:szCs w:val="24"/>
                <w:highlight w:val="none"/>
                <w:lang w:val="en-US" w:eastAsia="zh-CN"/>
              </w:rPr>
              <w:t>，采用</w:t>
            </w:r>
            <w:r>
              <w:rPr>
                <w:rFonts w:hint="default" w:ascii="Times New Roman" w:hAnsi="Times New Roman" w:cs="Times New Roman"/>
                <w:b w:val="0"/>
                <w:bCs w:val="0"/>
                <w:color w:val="auto"/>
                <w:sz w:val="24"/>
                <w:szCs w:val="24"/>
                <w:vertAlign w:val="baseline"/>
                <w:lang w:val="en-US" w:eastAsia="zh-CN"/>
              </w:rPr>
              <w:t>“</w:t>
            </w:r>
            <w:r>
              <w:rPr>
                <w:rFonts w:hint="default" w:ascii="Times New Roman" w:hAnsi="Times New Roman" w:cs="Times New Roman"/>
                <w:bCs/>
                <w:color w:val="auto"/>
                <w:sz w:val="24"/>
                <w:szCs w:val="24"/>
              </w:rPr>
              <w:t>UASB+AO+MBR</w:t>
            </w:r>
            <w:r>
              <w:rPr>
                <w:rFonts w:hint="default" w:ascii="Times New Roman" w:hAnsi="Times New Roman" w:cs="Times New Roman"/>
                <w:b w:val="0"/>
                <w:bCs w:val="0"/>
                <w:color w:val="auto"/>
                <w:sz w:val="24"/>
                <w:szCs w:val="24"/>
                <w:vertAlign w:val="baseline"/>
                <w:lang w:val="en-US" w:eastAsia="zh-CN"/>
              </w:rPr>
              <w:t>”</w:t>
            </w:r>
            <w:r>
              <w:rPr>
                <w:rFonts w:hint="default" w:ascii="Times New Roman" w:hAnsi="Times New Roman" w:cs="Times New Roman"/>
                <w:bCs/>
                <w:color w:val="auto"/>
                <w:sz w:val="24"/>
                <w:szCs w:val="24"/>
              </w:rPr>
              <w:t>组合处理工艺</w:t>
            </w:r>
            <w:r>
              <w:rPr>
                <w:rFonts w:hint="default" w:ascii="Times New Roman" w:hAnsi="Times New Roman" w:cs="Times New Roman"/>
                <w:color w:val="auto"/>
                <w:sz w:val="24"/>
                <w:szCs w:val="24"/>
                <w:highlight w:val="none"/>
                <w:lang w:val="en-US" w:eastAsia="zh-CN"/>
              </w:rPr>
              <w:t>）处理，处理达标的废水最终经项目区总排口排入</w:t>
            </w:r>
            <w:r>
              <w:rPr>
                <w:rFonts w:hint="default" w:ascii="Times New Roman" w:hAnsi="Times New Roman" w:cs="Times New Roman"/>
                <w:color w:val="auto"/>
                <w:sz w:val="24"/>
                <w:szCs w:val="24"/>
                <w:highlight w:val="none"/>
              </w:rPr>
              <w:t>元江工业园区MBR膜一体化300m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/d过渡式污水处理站处理</w:t>
            </w:r>
            <w:r>
              <w:rPr>
                <w:rFonts w:hint="default" w:ascii="Times New Roman" w:hAnsi="Times New Roman" w:cs="Times New Roman"/>
                <w:color w:val="auto"/>
                <w:sz w:val="24"/>
                <w:szCs w:val="24"/>
                <w:highlight w:val="none"/>
                <w:lang w:eastAsia="zh-CN"/>
              </w:rPr>
              <w:t>。</w:t>
            </w:r>
          </w:p>
          <w:p w14:paraId="3D477C67">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食堂废水及一般生活污水依托</w:t>
            </w:r>
            <w:r>
              <w:rPr>
                <w:rFonts w:hint="default" w:ascii="Times New Roman" w:hAnsi="Times New Roman" w:cs="Times New Roman"/>
                <w:color w:val="auto"/>
                <w:sz w:val="24"/>
                <w:szCs w:val="24"/>
                <w:highlight w:val="none"/>
              </w:rPr>
              <w:t>园区管理委员会</w:t>
            </w:r>
            <w:r>
              <w:rPr>
                <w:rFonts w:hint="default" w:ascii="Times New Roman" w:hAnsi="Times New Roman" w:cs="Times New Roman"/>
                <w:color w:val="auto"/>
                <w:sz w:val="24"/>
                <w:szCs w:val="24"/>
                <w:highlight w:val="none"/>
                <w:lang w:val="en-US" w:eastAsia="zh-CN"/>
              </w:rPr>
              <w:t>已建</w:t>
            </w:r>
            <w:r>
              <w:rPr>
                <w:rFonts w:hint="default" w:ascii="Times New Roman" w:hAnsi="Times New Roman" w:cs="Times New Roman"/>
                <w:color w:val="auto"/>
                <w:sz w:val="24"/>
                <w:szCs w:val="24"/>
                <w:highlight w:val="none"/>
              </w:rPr>
              <w:t>的综合楼</w:t>
            </w:r>
            <w:r>
              <w:rPr>
                <w:rFonts w:hint="default" w:ascii="Times New Roman" w:hAnsi="Times New Roman" w:cs="Times New Roman"/>
                <w:color w:val="auto"/>
                <w:sz w:val="24"/>
                <w:szCs w:val="24"/>
                <w:highlight w:val="none"/>
                <w:lang w:val="en-US" w:eastAsia="zh-CN"/>
              </w:rPr>
              <w:t>配套建设的一体化油水分离器（1座，容积为5m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）及化粪池（1座，容积为30m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）处理达标后排入</w:t>
            </w:r>
            <w:r>
              <w:rPr>
                <w:rFonts w:hint="default" w:ascii="Times New Roman" w:hAnsi="Times New Roman" w:cs="Times New Roman"/>
                <w:color w:val="auto"/>
                <w:sz w:val="24"/>
                <w:szCs w:val="24"/>
                <w:highlight w:val="none"/>
              </w:rPr>
              <w:t>元江工业园区MBR膜一体化300m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/d过渡式污水处理站</w:t>
            </w:r>
            <w:r>
              <w:rPr>
                <w:rFonts w:hint="eastAsia" w:cs="Times New Roman"/>
                <w:color w:val="auto"/>
                <w:sz w:val="24"/>
                <w:szCs w:val="24"/>
                <w:highlight w:val="none"/>
                <w:lang w:eastAsia="zh-CN"/>
              </w:rPr>
              <w:t>处理</w:t>
            </w:r>
            <w:r>
              <w:rPr>
                <w:rFonts w:hint="eastAsia"/>
                <w:color w:val="auto"/>
                <w:sz w:val="24"/>
                <w:szCs w:val="24"/>
                <w:lang w:val="en-US" w:eastAsia="zh-CN"/>
              </w:rPr>
              <w:t>达标后</w:t>
            </w:r>
            <w:r>
              <w:rPr>
                <w:rFonts w:hint="eastAsia" w:cs="Times New Roman"/>
                <w:color w:val="auto"/>
                <w:sz w:val="24"/>
                <w:szCs w:val="24"/>
                <w:highlight w:val="none"/>
                <w:lang w:val="en-US" w:eastAsia="zh-CN"/>
              </w:rPr>
              <w:t>排放，远期待园区污水处理厂建成后排入园区污水处理厂</w:t>
            </w:r>
            <w:r>
              <w:rPr>
                <w:color w:val="auto"/>
                <w:sz w:val="24"/>
                <w:szCs w:val="24"/>
              </w:rPr>
              <w:t>。</w:t>
            </w:r>
          </w:p>
          <w:p w14:paraId="5FE75EB1">
            <w:pPr>
              <w:pStyle w:val="21"/>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表2</w:t>
            </w:r>
            <w:r>
              <w:rPr>
                <w:rFonts w:hint="eastAsia" w:ascii="Times New Roman" w:hAnsi="Times New Roman" w:cs="Times New Roman"/>
                <w:b/>
                <w:color w:val="auto"/>
                <w:sz w:val="21"/>
                <w:szCs w:val="21"/>
                <w:highlight w:val="none"/>
                <w:lang w:val="en-US" w:eastAsia="zh-CN"/>
              </w:rPr>
              <w:t>-22</w:t>
            </w:r>
            <w:r>
              <w:rPr>
                <w:rFonts w:hint="default" w:ascii="Times New Roman" w:hAnsi="Times New Roman" w:cs="Times New Roman"/>
                <w:b/>
                <w:color w:val="auto"/>
                <w:sz w:val="21"/>
                <w:szCs w:val="21"/>
                <w:highlight w:val="none"/>
              </w:rPr>
              <w:t xml:space="preserve"> </w:t>
            </w:r>
            <w:r>
              <w:rPr>
                <w:rFonts w:hint="eastAsia" w:ascii="Times New Roman" w:hAnsi="Times New Roman" w:cs="Times New Roman"/>
                <w:b/>
                <w:color w:val="auto"/>
                <w:sz w:val="21"/>
                <w:szCs w:val="21"/>
                <w:highlight w:val="none"/>
                <w:lang w:val="en-US" w:eastAsia="zh-CN"/>
              </w:rPr>
              <w:t>现有</w:t>
            </w:r>
            <w:r>
              <w:rPr>
                <w:rFonts w:hint="default" w:ascii="Times New Roman" w:hAnsi="Times New Roman" w:cs="Times New Roman"/>
                <w:b/>
                <w:color w:val="auto"/>
                <w:sz w:val="21"/>
                <w:szCs w:val="21"/>
                <w:highlight w:val="none"/>
              </w:rPr>
              <w:t>项目用水</w:t>
            </w:r>
            <w:r>
              <w:rPr>
                <w:rFonts w:hint="eastAsia" w:ascii="Times New Roman" w:hAnsi="Times New Roman" w:cs="Times New Roman"/>
                <w:b/>
                <w:color w:val="auto"/>
                <w:sz w:val="21"/>
                <w:szCs w:val="21"/>
                <w:highlight w:val="none"/>
                <w:lang w:val="en-US" w:eastAsia="zh-CN"/>
              </w:rPr>
              <w:t>及污水</w:t>
            </w:r>
            <w:r>
              <w:rPr>
                <w:rFonts w:hint="default" w:ascii="Times New Roman" w:hAnsi="Times New Roman" w:cs="Times New Roman"/>
                <w:b/>
                <w:color w:val="auto"/>
                <w:sz w:val="21"/>
                <w:szCs w:val="21"/>
                <w:highlight w:val="none"/>
              </w:rPr>
              <w:t>情况一览表  单位：m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/d</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5"/>
              <w:gridCol w:w="744"/>
              <w:gridCol w:w="745"/>
              <w:gridCol w:w="1309"/>
              <w:gridCol w:w="1479"/>
              <w:gridCol w:w="1116"/>
              <w:gridCol w:w="2047"/>
            </w:tblGrid>
            <w:tr w14:paraId="017E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noWrap w:val="0"/>
                  <w:vAlign w:val="center"/>
                </w:tcPr>
                <w:p w14:paraId="2C29A76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1738" w:type="pct"/>
                  <w:gridSpan w:val="3"/>
                  <w:noWrap w:val="0"/>
                  <w:vAlign w:val="center"/>
                </w:tcPr>
                <w:p w14:paraId="5394140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用水项目</w:t>
                  </w:r>
                </w:p>
              </w:tc>
              <w:tc>
                <w:tcPr>
                  <w:tcW w:w="919" w:type="pct"/>
                  <w:noWrap w:val="0"/>
                  <w:vAlign w:val="center"/>
                </w:tcPr>
                <w:p w14:paraId="52210C6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用水量</w:t>
                  </w:r>
                </w:p>
                <w:p w14:paraId="3197ECC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/d）</w:t>
                  </w:r>
                </w:p>
              </w:tc>
              <w:tc>
                <w:tcPr>
                  <w:tcW w:w="693" w:type="pct"/>
                  <w:noWrap w:val="0"/>
                  <w:vAlign w:val="center"/>
                </w:tcPr>
                <w:p w14:paraId="5EFC162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污水量（m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/d）</w:t>
                  </w:r>
                </w:p>
              </w:tc>
              <w:tc>
                <w:tcPr>
                  <w:tcW w:w="1272" w:type="pct"/>
                  <w:noWrap w:val="0"/>
                  <w:vAlign w:val="center"/>
                </w:tcPr>
                <w:p w14:paraId="14DB995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去向</w:t>
                  </w:r>
                </w:p>
              </w:tc>
            </w:tr>
            <w:tr w14:paraId="0D271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noWrap w:val="0"/>
                  <w:vAlign w:val="center"/>
                </w:tcPr>
                <w:p w14:paraId="7B22072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b w:val="0"/>
                      <w:bCs/>
                      <w:color w:val="auto"/>
                      <w:sz w:val="21"/>
                      <w:szCs w:val="21"/>
                      <w:highlight w:val="none"/>
                      <w:lang w:val="en-US" w:eastAsia="zh-CN"/>
                    </w:rPr>
                    <w:t>1</w:t>
                  </w:r>
                </w:p>
              </w:tc>
              <w:tc>
                <w:tcPr>
                  <w:tcW w:w="925" w:type="pct"/>
                  <w:gridSpan w:val="2"/>
                  <w:noWrap w:val="0"/>
                  <w:vAlign w:val="center"/>
                </w:tcPr>
                <w:p w14:paraId="422B8A0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ascii="Times New Roman" w:hAnsi="Times New Roman"/>
                      <w:b w:val="0"/>
                      <w:bCs/>
                      <w:color w:val="auto"/>
                      <w:sz w:val="21"/>
                      <w:szCs w:val="21"/>
                      <w:highlight w:val="none"/>
                    </w:rPr>
                    <w:t>纯水</w:t>
                  </w:r>
                  <w:r>
                    <w:rPr>
                      <w:rFonts w:hint="eastAsia" w:ascii="Times New Roman" w:hAnsi="Times New Roman"/>
                      <w:b w:val="0"/>
                      <w:bCs/>
                      <w:color w:val="auto"/>
                      <w:sz w:val="21"/>
                      <w:szCs w:val="21"/>
                      <w:highlight w:val="none"/>
                      <w:lang w:val="en-US" w:eastAsia="zh-CN"/>
                    </w:rPr>
                    <w:t>制备</w:t>
                  </w:r>
                  <w:r>
                    <w:rPr>
                      <w:rFonts w:ascii="Times New Roman" w:hAnsi="Times New Roman"/>
                      <w:b w:val="0"/>
                      <w:bCs/>
                      <w:color w:val="auto"/>
                      <w:sz w:val="21"/>
                      <w:szCs w:val="21"/>
                      <w:highlight w:val="none"/>
                    </w:rPr>
                    <w:t>系统</w:t>
                  </w:r>
                  <w:r>
                    <w:rPr>
                      <w:rFonts w:hint="eastAsia" w:ascii="Times New Roman" w:hAnsi="Times New Roman"/>
                      <w:b w:val="0"/>
                      <w:bCs/>
                      <w:color w:val="auto"/>
                      <w:sz w:val="21"/>
                      <w:szCs w:val="21"/>
                      <w:highlight w:val="none"/>
                      <w:lang w:val="en-US" w:eastAsia="zh-CN"/>
                    </w:rPr>
                    <w:t>用水</w:t>
                  </w:r>
                </w:p>
              </w:tc>
              <w:tc>
                <w:tcPr>
                  <w:tcW w:w="813" w:type="pct"/>
                  <w:noWrap w:val="0"/>
                  <w:vAlign w:val="center"/>
                </w:tcPr>
                <w:p w14:paraId="2E3E82B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b w:val="0"/>
                      <w:bCs/>
                      <w:color w:val="auto"/>
                      <w:sz w:val="21"/>
                      <w:szCs w:val="21"/>
                      <w:highlight w:val="none"/>
                      <w:lang w:val="en-US" w:eastAsia="zh-CN"/>
                    </w:rPr>
                    <w:t>自来水</w:t>
                  </w:r>
                </w:p>
              </w:tc>
              <w:tc>
                <w:tcPr>
                  <w:tcW w:w="919" w:type="pct"/>
                  <w:noWrap w:val="0"/>
                  <w:vAlign w:val="center"/>
                </w:tcPr>
                <w:p w14:paraId="243EEB7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64.01</w:t>
                  </w:r>
                </w:p>
              </w:tc>
              <w:tc>
                <w:tcPr>
                  <w:tcW w:w="693" w:type="pct"/>
                  <w:noWrap w:val="0"/>
                  <w:vAlign w:val="center"/>
                </w:tcPr>
                <w:p w14:paraId="00D87A3D">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3.97</w:t>
                  </w:r>
                  <w:r>
                    <w:rPr>
                      <w:rFonts w:hint="eastAsia" w:ascii="Times New Roman" w:hAnsi="Times New Roman" w:eastAsia="宋体" w:cs="宋体"/>
                      <w:color w:val="auto"/>
                      <w:kern w:val="0"/>
                      <w:sz w:val="21"/>
                      <w:szCs w:val="21"/>
                      <w:highlight w:val="none"/>
                      <w:vertAlign w:val="superscript"/>
                      <w:lang w:val="en-US" w:eastAsia="zh-CN" w:bidi="ar"/>
                    </w:rPr>
                    <w:t>①</w:t>
                  </w:r>
                </w:p>
              </w:tc>
              <w:tc>
                <w:tcPr>
                  <w:tcW w:w="1272" w:type="pct"/>
                  <w:vMerge w:val="restart"/>
                  <w:noWrap w:val="0"/>
                  <w:vAlign w:val="center"/>
                </w:tcPr>
                <w:p w14:paraId="39E1DA69">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沉淀池+气浮</w:t>
                  </w:r>
                </w:p>
              </w:tc>
            </w:tr>
            <w:tr w14:paraId="3A9CC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noWrap w:val="0"/>
                  <w:vAlign w:val="center"/>
                </w:tcPr>
                <w:p w14:paraId="7654CFC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b w:val="0"/>
                      <w:bCs/>
                      <w:color w:val="auto"/>
                      <w:sz w:val="21"/>
                      <w:szCs w:val="21"/>
                      <w:highlight w:val="none"/>
                      <w:lang w:val="en-US" w:eastAsia="zh-CN"/>
                    </w:rPr>
                    <w:t>2</w:t>
                  </w:r>
                </w:p>
              </w:tc>
              <w:tc>
                <w:tcPr>
                  <w:tcW w:w="925" w:type="pct"/>
                  <w:gridSpan w:val="2"/>
                  <w:noWrap w:val="0"/>
                  <w:vAlign w:val="center"/>
                </w:tcPr>
                <w:p w14:paraId="1F0E445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ascii="Times New Roman" w:hAnsi="Times New Roman"/>
                      <w:b w:val="0"/>
                      <w:bCs/>
                      <w:color w:val="auto"/>
                      <w:sz w:val="21"/>
                      <w:szCs w:val="21"/>
                      <w:highlight w:val="none"/>
                    </w:rPr>
                    <w:t>纯水制备系统反冲洗</w:t>
                  </w:r>
                  <w:r>
                    <w:rPr>
                      <w:rFonts w:hint="eastAsia" w:ascii="Times New Roman" w:hAnsi="Times New Roman"/>
                      <w:b w:val="0"/>
                      <w:bCs/>
                      <w:color w:val="auto"/>
                      <w:sz w:val="21"/>
                      <w:szCs w:val="21"/>
                      <w:highlight w:val="none"/>
                      <w:lang w:val="en-US" w:eastAsia="zh-CN"/>
                    </w:rPr>
                    <w:t>用水</w:t>
                  </w:r>
                </w:p>
              </w:tc>
              <w:tc>
                <w:tcPr>
                  <w:tcW w:w="813" w:type="pct"/>
                  <w:noWrap w:val="0"/>
                  <w:vAlign w:val="center"/>
                </w:tcPr>
                <w:p w14:paraId="7DF63A3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b w:val="0"/>
                      <w:bCs/>
                      <w:color w:val="auto"/>
                      <w:sz w:val="21"/>
                      <w:szCs w:val="21"/>
                      <w:highlight w:val="none"/>
                      <w:lang w:val="en-US" w:eastAsia="zh-CN"/>
                    </w:rPr>
                    <w:t>自来水</w:t>
                  </w:r>
                </w:p>
              </w:tc>
              <w:tc>
                <w:tcPr>
                  <w:tcW w:w="919" w:type="pct"/>
                  <w:noWrap w:val="0"/>
                  <w:vAlign w:val="center"/>
                </w:tcPr>
                <w:p w14:paraId="4C7850F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93" w:type="pct"/>
                  <w:noWrap w:val="0"/>
                  <w:vAlign w:val="center"/>
                </w:tcPr>
                <w:p w14:paraId="38EB57C8">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1272" w:type="pct"/>
                  <w:vMerge w:val="continue"/>
                  <w:noWrap w:val="0"/>
                  <w:vAlign w:val="center"/>
                </w:tcPr>
                <w:p w14:paraId="0B4FCC6B">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r>
            <w:tr w14:paraId="6A06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vMerge w:val="restart"/>
                  <w:noWrap w:val="0"/>
                  <w:vAlign w:val="center"/>
                </w:tcPr>
                <w:p w14:paraId="152CF75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b w:val="0"/>
                      <w:bCs/>
                      <w:color w:val="auto"/>
                      <w:sz w:val="21"/>
                      <w:szCs w:val="21"/>
                      <w:highlight w:val="none"/>
                      <w:lang w:val="en-US" w:eastAsia="zh-CN"/>
                    </w:rPr>
                    <w:t>3</w:t>
                  </w:r>
                </w:p>
              </w:tc>
              <w:tc>
                <w:tcPr>
                  <w:tcW w:w="462" w:type="pct"/>
                  <w:vMerge w:val="restart"/>
                  <w:noWrap w:val="0"/>
                  <w:vAlign w:val="center"/>
                </w:tcPr>
                <w:p w14:paraId="65B2F5B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ascii="Times New Roman" w:hAnsi="Times New Roman"/>
                      <w:b w:val="0"/>
                      <w:bCs/>
                      <w:color w:val="auto"/>
                      <w:sz w:val="21"/>
                      <w:szCs w:val="21"/>
                      <w:highlight w:val="none"/>
                    </w:rPr>
                    <w:t>CIP清洗系统设备清洗</w:t>
                  </w:r>
                  <w:r>
                    <w:rPr>
                      <w:rFonts w:hint="eastAsia" w:ascii="Times New Roman" w:hAnsi="Times New Roman"/>
                      <w:b w:val="0"/>
                      <w:bCs/>
                      <w:color w:val="auto"/>
                      <w:sz w:val="21"/>
                      <w:szCs w:val="21"/>
                      <w:highlight w:val="none"/>
                      <w:lang w:val="en-US" w:eastAsia="zh-CN"/>
                    </w:rPr>
                    <w:t>用水</w:t>
                  </w:r>
                </w:p>
              </w:tc>
              <w:tc>
                <w:tcPr>
                  <w:tcW w:w="746" w:type="dxa"/>
                  <w:noWrap w:val="0"/>
                  <w:vAlign w:val="center"/>
                </w:tcPr>
                <w:p w14:paraId="0943BC96">
                  <w:pPr>
                    <w:adjustRightInd w:val="0"/>
                    <w:snapToGrid w:val="0"/>
                    <w:jc w:val="center"/>
                    <w:rPr>
                      <w:rFonts w:ascii="Times New Roman" w:hAnsi="Times New Roman"/>
                      <w:b w:val="0"/>
                      <w:bCs/>
                      <w:color w:val="auto"/>
                      <w:sz w:val="21"/>
                      <w:szCs w:val="21"/>
                      <w:highlight w:val="none"/>
                    </w:rPr>
                  </w:pPr>
                  <w:r>
                    <w:rPr>
                      <w:rFonts w:hint="eastAsia" w:cs="Times New Roman"/>
                      <w:b w:val="0"/>
                      <w:bCs/>
                      <w:color w:val="auto"/>
                      <w:sz w:val="21"/>
                      <w:szCs w:val="21"/>
                      <w:highlight w:val="none"/>
                      <w:lang w:val="en-US" w:eastAsia="zh-CN"/>
                    </w:rPr>
                    <w:t>杀菌机</w:t>
                  </w:r>
                </w:p>
              </w:tc>
              <w:tc>
                <w:tcPr>
                  <w:tcW w:w="813" w:type="pct"/>
                  <w:vMerge w:val="restart"/>
                  <w:noWrap w:val="0"/>
                  <w:vAlign w:val="center"/>
                </w:tcPr>
                <w:p w14:paraId="787AD58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b w:val="0"/>
                      <w:bCs/>
                      <w:color w:val="auto"/>
                      <w:sz w:val="21"/>
                      <w:szCs w:val="21"/>
                      <w:highlight w:val="none"/>
                      <w:lang w:val="en-US" w:eastAsia="zh-CN"/>
                    </w:rPr>
                    <w:t>纯水</w:t>
                  </w:r>
                </w:p>
              </w:tc>
              <w:tc>
                <w:tcPr>
                  <w:tcW w:w="1482" w:type="dxa"/>
                  <w:noWrap w:val="0"/>
                  <w:vAlign w:val="center"/>
                </w:tcPr>
                <w:p w14:paraId="2F7D98EA">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cs="Times New Roman"/>
                      <w:b w:val="0"/>
                      <w:bCs/>
                      <w:color w:val="auto"/>
                      <w:sz w:val="21"/>
                      <w:szCs w:val="21"/>
                      <w:highlight w:val="none"/>
                      <w:lang w:val="en-US" w:eastAsia="zh-CN"/>
                    </w:rPr>
                    <w:t>3</w:t>
                  </w:r>
                </w:p>
              </w:tc>
              <w:tc>
                <w:tcPr>
                  <w:tcW w:w="1118" w:type="dxa"/>
                  <w:noWrap w:val="0"/>
                  <w:vAlign w:val="center"/>
                </w:tcPr>
                <w:p w14:paraId="393D1348">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cs="Times New Roman"/>
                      <w:i w:val="0"/>
                      <w:iCs w:val="0"/>
                      <w:color w:val="auto"/>
                      <w:kern w:val="0"/>
                      <w:sz w:val="21"/>
                      <w:szCs w:val="21"/>
                      <w:u w:val="none"/>
                      <w:lang w:val="en-US" w:eastAsia="zh-CN" w:bidi="ar"/>
                    </w:rPr>
                    <w:t>2.7</w:t>
                  </w:r>
                </w:p>
              </w:tc>
              <w:tc>
                <w:tcPr>
                  <w:tcW w:w="1272" w:type="pct"/>
                  <w:vMerge w:val="restart"/>
                  <w:noWrap w:val="0"/>
                  <w:vAlign w:val="center"/>
                </w:tcPr>
                <w:p w14:paraId="419F648C">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一体化污水处理站</w:t>
                  </w:r>
                </w:p>
              </w:tc>
            </w:tr>
            <w:tr w14:paraId="0649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vMerge w:val="continue"/>
                  <w:noWrap w:val="0"/>
                  <w:vAlign w:val="center"/>
                </w:tcPr>
                <w:p w14:paraId="05E6322B">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b w:val="0"/>
                      <w:bCs/>
                      <w:color w:val="auto"/>
                      <w:sz w:val="21"/>
                      <w:szCs w:val="21"/>
                      <w:highlight w:val="none"/>
                      <w:lang w:val="en-US" w:eastAsia="zh-CN"/>
                    </w:rPr>
                  </w:pPr>
                </w:p>
              </w:tc>
              <w:tc>
                <w:tcPr>
                  <w:tcW w:w="462" w:type="pct"/>
                  <w:vMerge w:val="continue"/>
                  <w:noWrap w:val="0"/>
                  <w:vAlign w:val="center"/>
                </w:tcPr>
                <w:p w14:paraId="67E89BFB">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val="0"/>
                      <w:bCs/>
                      <w:color w:val="auto"/>
                      <w:sz w:val="21"/>
                      <w:szCs w:val="21"/>
                      <w:highlight w:val="none"/>
                    </w:rPr>
                  </w:pPr>
                </w:p>
              </w:tc>
              <w:tc>
                <w:tcPr>
                  <w:tcW w:w="746" w:type="dxa"/>
                  <w:noWrap w:val="0"/>
                  <w:vAlign w:val="center"/>
                </w:tcPr>
                <w:p w14:paraId="37D3FB05">
                  <w:pPr>
                    <w:adjustRightInd w:val="0"/>
                    <w:snapToGrid w:val="0"/>
                    <w:jc w:val="center"/>
                    <w:rPr>
                      <w:rFonts w:ascii="Times New Roman" w:hAnsi="Times New Roman"/>
                      <w:b w:val="0"/>
                      <w:bCs/>
                      <w:color w:val="auto"/>
                      <w:sz w:val="21"/>
                      <w:szCs w:val="21"/>
                      <w:highlight w:val="none"/>
                    </w:rPr>
                  </w:pPr>
                  <w:r>
                    <w:rPr>
                      <w:rFonts w:hint="eastAsia" w:cs="Times New Roman"/>
                      <w:b w:val="0"/>
                      <w:bCs/>
                      <w:color w:val="auto"/>
                      <w:sz w:val="21"/>
                      <w:szCs w:val="21"/>
                      <w:highlight w:val="none"/>
                      <w:lang w:val="en-US" w:eastAsia="zh-CN"/>
                    </w:rPr>
                    <w:t>其他设备、管道</w:t>
                  </w:r>
                </w:p>
              </w:tc>
              <w:tc>
                <w:tcPr>
                  <w:tcW w:w="813" w:type="pct"/>
                  <w:vMerge w:val="continue"/>
                  <w:noWrap w:val="0"/>
                  <w:vAlign w:val="center"/>
                </w:tcPr>
                <w:p w14:paraId="303E38F4">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b w:val="0"/>
                      <w:bCs/>
                      <w:color w:val="auto"/>
                      <w:sz w:val="21"/>
                      <w:szCs w:val="21"/>
                      <w:highlight w:val="none"/>
                      <w:lang w:val="en-US" w:eastAsia="zh-CN"/>
                    </w:rPr>
                  </w:pPr>
                </w:p>
              </w:tc>
              <w:tc>
                <w:tcPr>
                  <w:tcW w:w="1482" w:type="dxa"/>
                  <w:noWrap w:val="0"/>
                  <w:vAlign w:val="center"/>
                </w:tcPr>
                <w:p w14:paraId="44E906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9.99</w:t>
                  </w:r>
                </w:p>
              </w:tc>
              <w:tc>
                <w:tcPr>
                  <w:tcW w:w="1118" w:type="dxa"/>
                  <w:noWrap w:val="0"/>
                  <w:vAlign w:val="center"/>
                </w:tcPr>
                <w:p w14:paraId="52D07C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8.99</w:t>
                  </w:r>
                </w:p>
              </w:tc>
              <w:tc>
                <w:tcPr>
                  <w:tcW w:w="1272" w:type="pct"/>
                  <w:vMerge w:val="continue"/>
                  <w:noWrap w:val="0"/>
                  <w:vAlign w:val="center"/>
                </w:tcPr>
                <w:p w14:paraId="142269DC">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p>
              </w:tc>
            </w:tr>
            <w:tr w14:paraId="51AF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noWrap w:val="0"/>
                  <w:vAlign w:val="center"/>
                </w:tcPr>
                <w:p w14:paraId="035CDE6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b w:val="0"/>
                      <w:bCs/>
                      <w:color w:val="auto"/>
                      <w:sz w:val="21"/>
                      <w:szCs w:val="21"/>
                      <w:highlight w:val="none"/>
                      <w:lang w:val="en-US" w:eastAsia="zh-CN"/>
                    </w:rPr>
                    <w:t>4</w:t>
                  </w:r>
                </w:p>
              </w:tc>
              <w:tc>
                <w:tcPr>
                  <w:tcW w:w="925" w:type="pct"/>
                  <w:gridSpan w:val="2"/>
                  <w:noWrap w:val="0"/>
                  <w:vAlign w:val="center"/>
                </w:tcPr>
                <w:p w14:paraId="7E71DF9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cs="宋体"/>
                      <w:b w:val="0"/>
                      <w:bCs w:val="0"/>
                      <w:color w:val="auto"/>
                      <w:sz w:val="21"/>
                      <w:szCs w:val="21"/>
                      <w:highlight w:val="none"/>
                      <w:lang w:val="en-US" w:eastAsia="zh-CN"/>
                    </w:rPr>
                    <w:t>第一道</w:t>
                  </w:r>
                  <w:r>
                    <w:rPr>
                      <w:rFonts w:hint="eastAsia" w:ascii="Times New Roman" w:hAnsi="Times New Roman" w:eastAsia="宋体"/>
                      <w:b w:val="0"/>
                      <w:bCs w:val="0"/>
                      <w:color w:val="auto"/>
                      <w:sz w:val="21"/>
                      <w:szCs w:val="21"/>
                      <w:highlight w:val="none"/>
                      <w:lang w:val="en-US" w:eastAsia="zh-CN"/>
                    </w:rPr>
                    <w:t>水果</w:t>
                  </w:r>
                  <w:r>
                    <w:rPr>
                      <w:rFonts w:hint="eastAsia" w:ascii="Times New Roman" w:hAnsi="Times New Roman"/>
                      <w:b w:val="0"/>
                      <w:bCs w:val="0"/>
                      <w:color w:val="auto"/>
                      <w:sz w:val="21"/>
                      <w:szCs w:val="21"/>
                      <w:highlight w:val="none"/>
                      <w:lang w:val="en-US" w:eastAsia="zh-CN"/>
                    </w:rPr>
                    <w:t>鼓泡</w:t>
                  </w:r>
                  <w:r>
                    <w:rPr>
                      <w:rFonts w:ascii="Times New Roman" w:hAnsi="Times New Roman"/>
                      <w:b w:val="0"/>
                      <w:bCs w:val="0"/>
                      <w:color w:val="auto"/>
                      <w:sz w:val="21"/>
                      <w:szCs w:val="21"/>
                      <w:highlight w:val="none"/>
                    </w:rPr>
                    <w:t>清洗用水</w:t>
                  </w:r>
                </w:p>
              </w:tc>
              <w:tc>
                <w:tcPr>
                  <w:tcW w:w="813" w:type="pct"/>
                  <w:noWrap w:val="0"/>
                  <w:vAlign w:val="center"/>
                </w:tcPr>
                <w:p w14:paraId="00511360">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b w:val="0"/>
                      <w:bCs/>
                      <w:color w:val="auto"/>
                      <w:sz w:val="21"/>
                      <w:szCs w:val="21"/>
                      <w:highlight w:val="none"/>
                      <w:lang w:val="en-US" w:eastAsia="zh-CN"/>
                    </w:rPr>
                    <w:t>浓水</w:t>
                  </w:r>
                </w:p>
              </w:tc>
              <w:tc>
                <w:tcPr>
                  <w:tcW w:w="919" w:type="pct"/>
                  <w:noWrap w:val="0"/>
                  <w:vAlign w:val="center"/>
                </w:tcPr>
                <w:p w14:paraId="45FF2A1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7.52</w:t>
                  </w:r>
                </w:p>
              </w:tc>
              <w:tc>
                <w:tcPr>
                  <w:tcW w:w="693" w:type="pct"/>
                  <w:noWrap w:val="0"/>
                  <w:vAlign w:val="center"/>
                </w:tcPr>
                <w:p w14:paraId="2E0AC7E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6.77</w:t>
                  </w:r>
                </w:p>
              </w:tc>
              <w:tc>
                <w:tcPr>
                  <w:tcW w:w="1272" w:type="pct"/>
                  <w:vMerge w:val="restart"/>
                  <w:noWrap w:val="0"/>
                  <w:vAlign w:val="center"/>
                </w:tcPr>
                <w:p w14:paraId="7D276FE5">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沉淀池</w:t>
                  </w:r>
                  <w:r>
                    <w:rPr>
                      <w:rFonts w:hint="eastAsia" w:cs="Times New Roman"/>
                      <w:color w:val="auto"/>
                      <w:kern w:val="0"/>
                      <w:sz w:val="21"/>
                      <w:szCs w:val="21"/>
                      <w:highlight w:val="none"/>
                      <w:lang w:val="en-US" w:eastAsia="zh-CN" w:bidi="ar"/>
                    </w:rPr>
                    <w:t>（</w:t>
                  </w:r>
                  <w:r>
                    <w:rPr>
                      <w:rFonts w:hint="eastAsia" w:ascii="Times New Roman" w:hAnsi="Times New Roman"/>
                      <w:color w:val="auto"/>
                      <w:sz w:val="21"/>
                      <w:szCs w:val="21"/>
                      <w:highlight w:val="none"/>
                      <w:lang w:val="en-US" w:eastAsia="zh-CN"/>
                    </w:rPr>
                    <w:t>调节+气浮沉淀</w:t>
                  </w:r>
                  <w:r>
                    <w:rPr>
                      <w:rFonts w:hint="eastAsia" w:cs="Times New Roman"/>
                      <w:color w:val="auto"/>
                      <w:kern w:val="0"/>
                      <w:sz w:val="21"/>
                      <w:szCs w:val="21"/>
                      <w:highlight w:val="none"/>
                      <w:lang w:val="en-US" w:eastAsia="zh-CN" w:bidi="ar"/>
                    </w:rPr>
                    <w:t>）</w:t>
                  </w:r>
                </w:p>
              </w:tc>
            </w:tr>
            <w:tr w14:paraId="6C04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noWrap w:val="0"/>
                  <w:vAlign w:val="center"/>
                </w:tcPr>
                <w:p w14:paraId="7FA8ED4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b w:val="0"/>
                      <w:bCs/>
                      <w:color w:val="auto"/>
                      <w:sz w:val="21"/>
                      <w:szCs w:val="21"/>
                      <w:highlight w:val="none"/>
                      <w:lang w:val="en-US" w:eastAsia="zh-CN"/>
                    </w:rPr>
                    <w:t>5</w:t>
                  </w:r>
                </w:p>
              </w:tc>
              <w:tc>
                <w:tcPr>
                  <w:tcW w:w="925" w:type="pct"/>
                  <w:gridSpan w:val="2"/>
                  <w:noWrap w:val="0"/>
                  <w:vAlign w:val="center"/>
                </w:tcPr>
                <w:p w14:paraId="2A07151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eastAsia="宋体"/>
                      <w:b w:val="0"/>
                      <w:bCs w:val="0"/>
                      <w:color w:val="auto"/>
                      <w:sz w:val="21"/>
                      <w:szCs w:val="21"/>
                      <w:highlight w:val="none"/>
                      <w:lang w:val="en-US" w:eastAsia="zh-CN"/>
                    </w:rPr>
                    <w:t>第二道水果毛刷清洗用水</w:t>
                  </w:r>
                </w:p>
              </w:tc>
              <w:tc>
                <w:tcPr>
                  <w:tcW w:w="813" w:type="pct"/>
                  <w:noWrap w:val="0"/>
                  <w:vAlign w:val="center"/>
                </w:tcPr>
                <w:p w14:paraId="5F381C7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b w:val="0"/>
                      <w:bCs/>
                      <w:color w:val="auto"/>
                      <w:sz w:val="21"/>
                      <w:szCs w:val="21"/>
                      <w:highlight w:val="none"/>
                      <w:lang w:val="en-US" w:eastAsia="zh-CN"/>
                    </w:rPr>
                    <w:t>浓水</w:t>
                  </w:r>
                </w:p>
              </w:tc>
              <w:tc>
                <w:tcPr>
                  <w:tcW w:w="919" w:type="pct"/>
                  <w:noWrap w:val="0"/>
                  <w:vAlign w:val="center"/>
                </w:tcPr>
                <w:p w14:paraId="19AD40D0">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4.51</w:t>
                  </w:r>
                </w:p>
              </w:tc>
              <w:tc>
                <w:tcPr>
                  <w:tcW w:w="693" w:type="pct"/>
                  <w:noWrap w:val="0"/>
                  <w:vAlign w:val="center"/>
                </w:tcPr>
                <w:p w14:paraId="5F1B8D6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4.06</w:t>
                  </w:r>
                </w:p>
              </w:tc>
              <w:tc>
                <w:tcPr>
                  <w:tcW w:w="1272" w:type="pct"/>
                  <w:vMerge w:val="continue"/>
                  <w:noWrap w:val="0"/>
                  <w:vAlign w:val="center"/>
                </w:tcPr>
                <w:p w14:paraId="2E149FEB">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r>
            <w:tr w14:paraId="139D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375" w:type="pct"/>
                  <w:noWrap w:val="0"/>
                  <w:vAlign w:val="center"/>
                </w:tcPr>
                <w:p w14:paraId="3B03290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b w:val="0"/>
                      <w:bCs/>
                      <w:color w:val="auto"/>
                      <w:sz w:val="21"/>
                      <w:szCs w:val="21"/>
                      <w:highlight w:val="none"/>
                      <w:lang w:val="en-US" w:eastAsia="zh-CN"/>
                    </w:rPr>
                    <w:t>6</w:t>
                  </w:r>
                </w:p>
              </w:tc>
              <w:tc>
                <w:tcPr>
                  <w:tcW w:w="925" w:type="pct"/>
                  <w:gridSpan w:val="2"/>
                  <w:noWrap w:val="0"/>
                  <w:vAlign w:val="center"/>
                </w:tcPr>
                <w:p w14:paraId="68796B4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第三道水果鼓泡消毒用水</w:t>
                  </w:r>
                </w:p>
              </w:tc>
              <w:tc>
                <w:tcPr>
                  <w:tcW w:w="813" w:type="pct"/>
                  <w:noWrap w:val="0"/>
                  <w:vAlign w:val="center"/>
                </w:tcPr>
                <w:p w14:paraId="79E5F92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b w:val="0"/>
                      <w:bCs/>
                      <w:color w:val="auto"/>
                      <w:sz w:val="21"/>
                      <w:szCs w:val="21"/>
                      <w:highlight w:val="none"/>
                      <w:lang w:val="en-US" w:eastAsia="zh-CN"/>
                    </w:rPr>
                    <w:t>纯水</w:t>
                  </w:r>
                </w:p>
              </w:tc>
              <w:tc>
                <w:tcPr>
                  <w:tcW w:w="919" w:type="pct"/>
                  <w:noWrap w:val="0"/>
                  <w:vAlign w:val="center"/>
                </w:tcPr>
                <w:p w14:paraId="07D401B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2.82</w:t>
                  </w:r>
                </w:p>
              </w:tc>
              <w:tc>
                <w:tcPr>
                  <w:tcW w:w="693" w:type="pct"/>
                  <w:noWrap w:val="0"/>
                  <w:vAlign w:val="center"/>
                </w:tcPr>
                <w:p w14:paraId="30CA3760">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2.54</w:t>
                  </w:r>
                </w:p>
              </w:tc>
              <w:tc>
                <w:tcPr>
                  <w:tcW w:w="1272" w:type="pct"/>
                  <w:vMerge w:val="continue"/>
                  <w:noWrap w:val="0"/>
                  <w:vAlign w:val="center"/>
                </w:tcPr>
                <w:p w14:paraId="00A5DA41">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r>
            <w:tr w14:paraId="7ED0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noWrap w:val="0"/>
                  <w:vAlign w:val="center"/>
                </w:tcPr>
                <w:p w14:paraId="19C9593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b w:val="0"/>
                      <w:bCs/>
                      <w:color w:val="auto"/>
                      <w:sz w:val="21"/>
                      <w:szCs w:val="21"/>
                      <w:highlight w:val="none"/>
                      <w:lang w:val="en-US" w:eastAsia="zh-CN"/>
                    </w:rPr>
                    <w:t>7</w:t>
                  </w:r>
                </w:p>
              </w:tc>
              <w:tc>
                <w:tcPr>
                  <w:tcW w:w="925" w:type="pct"/>
                  <w:gridSpan w:val="2"/>
                  <w:noWrap w:val="0"/>
                  <w:vAlign w:val="center"/>
                </w:tcPr>
                <w:p w14:paraId="7E548A6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b w:val="0"/>
                      <w:bCs w:val="0"/>
                      <w:color w:val="auto"/>
                      <w:sz w:val="21"/>
                      <w:szCs w:val="21"/>
                      <w:highlight w:val="none"/>
                      <w:lang w:val="en-US" w:eastAsia="zh-CN"/>
                    </w:rPr>
                    <w:t>第四道水果鼓泡清洗用水</w:t>
                  </w:r>
                </w:p>
              </w:tc>
              <w:tc>
                <w:tcPr>
                  <w:tcW w:w="813" w:type="pct"/>
                  <w:noWrap w:val="0"/>
                  <w:vAlign w:val="center"/>
                </w:tcPr>
                <w:p w14:paraId="2E54160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b w:val="0"/>
                      <w:bCs/>
                      <w:color w:val="auto"/>
                      <w:sz w:val="21"/>
                      <w:szCs w:val="21"/>
                      <w:highlight w:val="none"/>
                      <w:lang w:val="en-US" w:eastAsia="zh-CN"/>
                    </w:rPr>
                    <w:t>纯水</w:t>
                  </w:r>
                </w:p>
              </w:tc>
              <w:tc>
                <w:tcPr>
                  <w:tcW w:w="919" w:type="pct"/>
                  <w:noWrap w:val="0"/>
                  <w:vAlign w:val="center"/>
                </w:tcPr>
                <w:p w14:paraId="3A32CD48">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15.04</w:t>
                  </w:r>
                </w:p>
              </w:tc>
              <w:tc>
                <w:tcPr>
                  <w:tcW w:w="693" w:type="pct"/>
                  <w:noWrap w:val="0"/>
                  <w:vAlign w:val="center"/>
                </w:tcPr>
                <w:p w14:paraId="291855E1">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13.54</w:t>
                  </w:r>
                </w:p>
              </w:tc>
              <w:tc>
                <w:tcPr>
                  <w:tcW w:w="1272" w:type="pct"/>
                  <w:vMerge w:val="continue"/>
                  <w:noWrap w:val="0"/>
                  <w:vAlign w:val="center"/>
                </w:tcPr>
                <w:p w14:paraId="00FAC4BA">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kern w:val="2"/>
                      <w:sz w:val="21"/>
                      <w:szCs w:val="21"/>
                      <w:highlight w:val="none"/>
                      <w:lang w:val="en-US" w:eastAsia="zh-CN" w:bidi="ar-SA"/>
                    </w:rPr>
                  </w:pPr>
                </w:p>
              </w:tc>
            </w:tr>
            <w:tr w14:paraId="5B19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noWrap w:val="0"/>
                  <w:vAlign w:val="center"/>
                </w:tcPr>
                <w:p w14:paraId="0C2A576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8</w:t>
                  </w:r>
                </w:p>
              </w:tc>
              <w:tc>
                <w:tcPr>
                  <w:tcW w:w="925" w:type="pct"/>
                  <w:gridSpan w:val="2"/>
                  <w:noWrap w:val="0"/>
                  <w:vAlign w:val="center"/>
                </w:tcPr>
                <w:p w14:paraId="06B835B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b w:val="0"/>
                      <w:bCs/>
                      <w:color w:val="auto"/>
                      <w:sz w:val="21"/>
                      <w:szCs w:val="21"/>
                      <w:highlight w:val="none"/>
                    </w:rPr>
                    <w:t>化验室用水</w:t>
                  </w:r>
                </w:p>
              </w:tc>
              <w:tc>
                <w:tcPr>
                  <w:tcW w:w="813" w:type="pct"/>
                  <w:noWrap w:val="0"/>
                  <w:vAlign w:val="center"/>
                </w:tcPr>
                <w:p w14:paraId="1601172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rPr>
                  </w:pPr>
                  <w:r>
                    <w:rPr>
                      <w:rFonts w:hint="eastAsia" w:ascii="Times New Roman" w:hAnsi="Times New Roman"/>
                      <w:b w:val="0"/>
                      <w:bCs/>
                      <w:color w:val="auto"/>
                      <w:sz w:val="21"/>
                      <w:szCs w:val="21"/>
                      <w:highlight w:val="none"/>
                      <w:lang w:val="en-US" w:eastAsia="zh-CN"/>
                    </w:rPr>
                    <w:t>纯水</w:t>
                  </w:r>
                </w:p>
              </w:tc>
              <w:tc>
                <w:tcPr>
                  <w:tcW w:w="919" w:type="pct"/>
                  <w:noWrap w:val="0"/>
                  <w:vAlign w:val="center"/>
                </w:tcPr>
                <w:p w14:paraId="538FED88">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0.38</w:t>
                  </w:r>
                </w:p>
              </w:tc>
              <w:tc>
                <w:tcPr>
                  <w:tcW w:w="693" w:type="pct"/>
                  <w:noWrap w:val="0"/>
                  <w:vAlign w:val="center"/>
                </w:tcPr>
                <w:p w14:paraId="719733EE">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0.32</w:t>
                  </w:r>
                </w:p>
              </w:tc>
              <w:tc>
                <w:tcPr>
                  <w:tcW w:w="1272" w:type="pct"/>
                  <w:noWrap w:val="0"/>
                  <w:vAlign w:val="center"/>
                </w:tcPr>
                <w:p w14:paraId="12F2FB30">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一体化污水处理站</w:t>
                  </w:r>
                </w:p>
              </w:tc>
            </w:tr>
            <w:tr w14:paraId="3009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noWrap w:val="0"/>
                  <w:vAlign w:val="center"/>
                </w:tcPr>
                <w:p w14:paraId="68008F4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9</w:t>
                  </w:r>
                </w:p>
              </w:tc>
              <w:tc>
                <w:tcPr>
                  <w:tcW w:w="925" w:type="pct"/>
                  <w:gridSpan w:val="2"/>
                  <w:noWrap w:val="0"/>
                  <w:vAlign w:val="center"/>
                </w:tcPr>
                <w:p w14:paraId="7817E41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ascii="Times New Roman" w:hAnsi="Times New Roman"/>
                      <w:b w:val="0"/>
                      <w:bCs/>
                      <w:color w:val="auto"/>
                      <w:sz w:val="21"/>
                      <w:szCs w:val="21"/>
                      <w:highlight w:val="none"/>
                    </w:rPr>
                    <w:t>设备冷却</w:t>
                  </w:r>
                  <w:r>
                    <w:rPr>
                      <w:rFonts w:hint="eastAsia" w:ascii="Times New Roman" w:hAnsi="Times New Roman"/>
                      <w:b w:val="0"/>
                      <w:bCs/>
                      <w:color w:val="auto"/>
                      <w:sz w:val="21"/>
                      <w:szCs w:val="21"/>
                      <w:highlight w:val="none"/>
                      <w:lang w:val="en-US" w:eastAsia="zh-CN"/>
                    </w:rPr>
                    <w:t>用</w:t>
                  </w:r>
                  <w:r>
                    <w:rPr>
                      <w:rFonts w:ascii="Times New Roman" w:hAnsi="Times New Roman"/>
                      <w:b w:val="0"/>
                      <w:bCs/>
                      <w:color w:val="auto"/>
                      <w:sz w:val="21"/>
                      <w:szCs w:val="21"/>
                      <w:highlight w:val="none"/>
                    </w:rPr>
                    <w:t>水</w:t>
                  </w:r>
                </w:p>
              </w:tc>
              <w:tc>
                <w:tcPr>
                  <w:tcW w:w="813" w:type="pct"/>
                  <w:noWrap w:val="0"/>
                  <w:vAlign w:val="center"/>
                </w:tcPr>
                <w:p w14:paraId="32859D9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自来水</w:t>
                  </w:r>
                </w:p>
              </w:tc>
              <w:tc>
                <w:tcPr>
                  <w:tcW w:w="919" w:type="pct"/>
                  <w:noWrap w:val="0"/>
                  <w:vAlign w:val="center"/>
                </w:tcPr>
                <w:p w14:paraId="51A6874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b w:val="0"/>
                      <w:bCs/>
                      <w:color w:val="auto"/>
                      <w:sz w:val="21"/>
                      <w:szCs w:val="21"/>
                      <w:highlight w:val="none"/>
                      <w:lang w:val="en-US" w:eastAsia="zh-CN"/>
                    </w:rPr>
                    <w:t>2.5</w:t>
                  </w:r>
                </w:p>
              </w:tc>
              <w:tc>
                <w:tcPr>
                  <w:tcW w:w="693" w:type="pct"/>
                  <w:noWrap w:val="0"/>
                  <w:vAlign w:val="center"/>
                </w:tcPr>
                <w:p w14:paraId="32E80FE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b w:val="0"/>
                      <w:bCs/>
                      <w:color w:val="auto"/>
                      <w:sz w:val="21"/>
                      <w:szCs w:val="21"/>
                      <w:highlight w:val="none"/>
                      <w:lang w:val="en-US" w:eastAsia="zh-CN"/>
                    </w:rPr>
                    <w:t>0</w:t>
                  </w:r>
                </w:p>
              </w:tc>
              <w:tc>
                <w:tcPr>
                  <w:tcW w:w="1272" w:type="pct"/>
                  <w:noWrap w:val="0"/>
                  <w:vAlign w:val="center"/>
                </w:tcPr>
                <w:p w14:paraId="0902F9C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循环使用，不外排</w:t>
                  </w:r>
                </w:p>
              </w:tc>
            </w:tr>
            <w:tr w14:paraId="04B7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noWrap w:val="0"/>
                  <w:vAlign w:val="center"/>
                </w:tcPr>
                <w:p w14:paraId="64BE277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10</w:t>
                  </w:r>
                </w:p>
              </w:tc>
              <w:tc>
                <w:tcPr>
                  <w:tcW w:w="925" w:type="pct"/>
                  <w:gridSpan w:val="2"/>
                  <w:noWrap w:val="0"/>
                  <w:vAlign w:val="center"/>
                </w:tcPr>
                <w:p w14:paraId="6D33CD1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锅炉用水</w:t>
                  </w:r>
                </w:p>
              </w:tc>
              <w:tc>
                <w:tcPr>
                  <w:tcW w:w="813" w:type="pct"/>
                  <w:noWrap w:val="0"/>
                  <w:vAlign w:val="center"/>
                </w:tcPr>
                <w:p w14:paraId="5E91FB3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纯水</w:t>
                  </w:r>
                </w:p>
              </w:tc>
              <w:tc>
                <w:tcPr>
                  <w:tcW w:w="919" w:type="pct"/>
                  <w:noWrap w:val="0"/>
                  <w:vAlign w:val="center"/>
                </w:tcPr>
                <w:p w14:paraId="198FB29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b w:val="0"/>
                      <w:bCs/>
                      <w:color w:val="auto"/>
                      <w:sz w:val="21"/>
                      <w:szCs w:val="21"/>
                      <w:highlight w:val="none"/>
                      <w:lang w:val="en-US" w:eastAsia="zh-CN"/>
                    </w:rPr>
                    <w:t>16.78</w:t>
                  </w:r>
                </w:p>
              </w:tc>
              <w:tc>
                <w:tcPr>
                  <w:tcW w:w="693" w:type="pct"/>
                  <w:noWrap w:val="0"/>
                  <w:vAlign w:val="center"/>
                </w:tcPr>
                <w:p w14:paraId="047DEDB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b w:val="0"/>
                      <w:bCs/>
                      <w:color w:val="auto"/>
                      <w:sz w:val="21"/>
                      <w:szCs w:val="21"/>
                      <w:highlight w:val="none"/>
                      <w:lang w:val="en-US" w:eastAsia="zh-CN"/>
                    </w:rPr>
                    <w:t>0.78</w:t>
                  </w:r>
                </w:p>
              </w:tc>
              <w:tc>
                <w:tcPr>
                  <w:tcW w:w="1272" w:type="pct"/>
                  <w:noWrap w:val="0"/>
                  <w:vAlign w:val="center"/>
                </w:tcPr>
                <w:p w14:paraId="17FA5107">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沉淀池</w:t>
                  </w:r>
                  <w:r>
                    <w:rPr>
                      <w:rFonts w:hint="eastAsia" w:cs="Times New Roman"/>
                      <w:color w:val="auto"/>
                      <w:kern w:val="0"/>
                      <w:sz w:val="21"/>
                      <w:szCs w:val="21"/>
                      <w:highlight w:val="none"/>
                      <w:lang w:val="en-US" w:eastAsia="zh-CN" w:bidi="ar"/>
                    </w:rPr>
                    <w:t>（</w:t>
                  </w:r>
                  <w:r>
                    <w:rPr>
                      <w:rFonts w:hint="eastAsia" w:ascii="Times New Roman" w:hAnsi="Times New Roman"/>
                      <w:color w:val="auto"/>
                      <w:sz w:val="21"/>
                      <w:szCs w:val="21"/>
                      <w:highlight w:val="none"/>
                      <w:lang w:val="en-US" w:eastAsia="zh-CN"/>
                    </w:rPr>
                    <w:t>调节+气浮沉淀</w:t>
                  </w:r>
                  <w:r>
                    <w:rPr>
                      <w:rFonts w:hint="eastAsia" w:cs="Times New Roman"/>
                      <w:color w:val="auto"/>
                      <w:kern w:val="0"/>
                      <w:sz w:val="21"/>
                      <w:szCs w:val="21"/>
                      <w:highlight w:val="none"/>
                      <w:lang w:val="en-US" w:eastAsia="zh-CN" w:bidi="ar"/>
                    </w:rPr>
                    <w:t>）</w:t>
                  </w:r>
                </w:p>
              </w:tc>
            </w:tr>
            <w:tr w14:paraId="0FD4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noWrap w:val="0"/>
                  <w:vAlign w:val="center"/>
                </w:tcPr>
                <w:p w14:paraId="5EA51D6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11</w:t>
                  </w:r>
                </w:p>
              </w:tc>
              <w:tc>
                <w:tcPr>
                  <w:tcW w:w="925" w:type="pct"/>
                  <w:gridSpan w:val="2"/>
                  <w:noWrap w:val="0"/>
                  <w:vAlign w:val="center"/>
                </w:tcPr>
                <w:p w14:paraId="38478C0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ascii="Times New Roman" w:hAnsi="Times New Roman"/>
                      <w:b w:val="0"/>
                      <w:bCs/>
                      <w:color w:val="auto"/>
                      <w:sz w:val="21"/>
                      <w:szCs w:val="21"/>
                      <w:highlight w:val="none"/>
                    </w:rPr>
                    <w:t>生产车间地面清洗</w:t>
                  </w:r>
                  <w:r>
                    <w:rPr>
                      <w:rFonts w:hint="eastAsia" w:ascii="Times New Roman" w:hAnsi="Times New Roman"/>
                      <w:b w:val="0"/>
                      <w:bCs/>
                      <w:color w:val="auto"/>
                      <w:sz w:val="21"/>
                      <w:szCs w:val="21"/>
                      <w:highlight w:val="none"/>
                      <w:lang w:val="en-US" w:eastAsia="zh-CN"/>
                    </w:rPr>
                    <w:t>用</w:t>
                  </w:r>
                  <w:r>
                    <w:rPr>
                      <w:rFonts w:ascii="Times New Roman" w:hAnsi="Times New Roman"/>
                      <w:b w:val="0"/>
                      <w:bCs/>
                      <w:color w:val="auto"/>
                      <w:sz w:val="21"/>
                      <w:szCs w:val="21"/>
                      <w:highlight w:val="none"/>
                    </w:rPr>
                    <w:t>水</w:t>
                  </w:r>
                </w:p>
              </w:tc>
              <w:tc>
                <w:tcPr>
                  <w:tcW w:w="813" w:type="pct"/>
                  <w:noWrap w:val="0"/>
                  <w:vAlign w:val="center"/>
                </w:tcPr>
                <w:p w14:paraId="31909D2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自来水</w:t>
                  </w:r>
                </w:p>
              </w:tc>
              <w:tc>
                <w:tcPr>
                  <w:tcW w:w="919" w:type="pct"/>
                  <w:noWrap w:val="0"/>
                  <w:vAlign w:val="center"/>
                </w:tcPr>
                <w:p w14:paraId="20DFEE9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b w:val="0"/>
                      <w:bCs/>
                      <w:color w:val="auto"/>
                      <w:sz w:val="21"/>
                      <w:szCs w:val="21"/>
                      <w:highlight w:val="none"/>
                      <w:lang w:val="en-US" w:eastAsia="zh-CN"/>
                    </w:rPr>
                    <w:t>2</w:t>
                  </w:r>
                </w:p>
              </w:tc>
              <w:tc>
                <w:tcPr>
                  <w:tcW w:w="693" w:type="pct"/>
                  <w:noWrap w:val="0"/>
                  <w:vAlign w:val="center"/>
                </w:tcPr>
                <w:p w14:paraId="0825392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b w:val="0"/>
                      <w:bCs/>
                      <w:color w:val="auto"/>
                      <w:sz w:val="21"/>
                      <w:szCs w:val="21"/>
                      <w:highlight w:val="none"/>
                      <w:lang w:val="en-US" w:eastAsia="zh-CN"/>
                    </w:rPr>
                    <w:t>1.6</w:t>
                  </w:r>
                </w:p>
              </w:tc>
              <w:tc>
                <w:tcPr>
                  <w:tcW w:w="1272" w:type="pct"/>
                  <w:noWrap w:val="0"/>
                  <w:vAlign w:val="center"/>
                </w:tcPr>
                <w:p w14:paraId="08941888">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沉淀池</w:t>
                  </w:r>
                  <w:r>
                    <w:rPr>
                      <w:rFonts w:hint="eastAsia" w:cs="Times New Roman"/>
                      <w:color w:val="auto"/>
                      <w:kern w:val="0"/>
                      <w:sz w:val="21"/>
                      <w:szCs w:val="21"/>
                      <w:highlight w:val="none"/>
                      <w:lang w:val="en-US" w:eastAsia="zh-CN" w:bidi="ar"/>
                    </w:rPr>
                    <w:t>（</w:t>
                  </w:r>
                  <w:r>
                    <w:rPr>
                      <w:rFonts w:hint="eastAsia" w:ascii="Times New Roman" w:hAnsi="Times New Roman"/>
                      <w:color w:val="auto"/>
                      <w:sz w:val="21"/>
                      <w:szCs w:val="21"/>
                      <w:highlight w:val="none"/>
                      <w:lang w:val="en-US" w:eastAsia="zh-CN"/>
                    </w:rPr>
                    <w:t>调节+气浮沉淀</w:t>
                  </w:r>
                  <w:r>
                    <w:rPr>
                      <w:rFonts w:hint="eastAsia" w:cs="Times New Roman"/>
                      <w:color w:val="auto"/>
                      <w:kern w:val="0"/>
                      <w:sz w:val="21"/>
                      <w:szCs w:val="21"/>
                      <w:highlight w:val="none"/>
                      <w:lang w:val="en-US" w:eastAsia="zh-CN" w:bidi="ar"/>
                    </w:rPr>
                    <w:t>）</w:t>
                  </w:r>
                </w:p>
              </w:tc>
            </w:tr>
            <w:tr w14:paraId="5F25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noWrap w:val="0"/>
                  <w:vAlign w:val="center"/>
                </w:tcPr>
                <w:p w14:paraId="411D879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12</w:t>
                  </w:r>
                </w:p>
              </w:tc>
              <w:tc>
                <w:tcPr>
                  <w:tcW w:w="925" w:type="pct"/>
                  <w:gridSpan w:val="2"/>
                  <w:noWrap w:val="0"/>
                  <w:vAlign w:val="center"/>
                </w:tcPr>
                <w:p w14:paraId="5D24871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实验器皿清洗用水</w:t>
                  </w:r>
                </w:p>
              </w:tc>
              <w:tc>
                <w:tcPr>
                  <w:tcW w:w="813" w:type="pct"/>
                  <w:noWrap w:val="0"/>
                  <w:vAlign w:val="center"/>
                </w:tcPr>
                <w:p w14:paraId="195D7BB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自来水</w:t>
                  </w:r>
                </w:p>
              </w:tc>
              <w:tc>
                <w:tcPr>
                  <w:tcW w:w="919" w:type="pct"/>
                  <w:noWrap w:val="0"/>
                  <w:vAlign w:val="center"/>
                </w:tcPr>
                <w:p w14:paraId="2B61532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b w:val="0"/>
                      <w:bCs/>
                      <w:color w:val="auto"/>
                      <w:sz w:val="21"/>
                      <w:szCs w:val="21"/>
                      <w:highlight w:val="none"/>
                      <w:lang w:val="en-US" w:eastAsia="zh-CN"/>
                    </w:rPr>
                    <w:t>0.1</w:t>
                  </w:r>
                </w:p>
              </w:tc>
              <w:tc>
                <w:tcPr>
                  <w:tcW w:w="693" w:type="pct"/>
                  <w:noWrap w:val="0"/>
                  <w:vAlign w:val="center"/>
                </w:tcPr>
                <w:p w14:paraId="711D58F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b w:val="0"/>
                      <w:bCs/>
                      <w:color w:val="auto"/>
                      <w:sz w:val="21"/>
                      <w:szCs w:val="21"/>
                      <w:highlight w:val="none"/>
                      <w:lang w:val="en-US" w:eastAsia="zh-CN"/>
                    </w:rPr>
                    <w:t>0.08</w:t>
                  </w:r>
                </w:p>
              </w:tc>
              <w:tc>
                <w:tcPr>
                  <w:tcW w:w="1272" w:type="pct"/>
                  <w:noWrap w:val="0"/>
                  <w:vAlign w:val="center"/>
                </w:tcPr>
                <w:p w14:paraId="07E56C8C">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沉淀池</w:t>
                  </w:r>
                  <w:r>
                    <w:rPr>
                      <w:rFonts w:hint="eastAsia" w:cs="Times New Roman"/>
                      <w:color w:val="auto"/>
                      <w:kern w:val="0"/>
                      <w:sz w:val="21"/>
                      <w:szCs w:val="21"/>
                      <w:highlight w:val="none"/>
                      <w:lang w:val="en-US" w:eastAsia="zh-CN" w:bidi="ar"/>
                    </w:rPr>
                    <w:t>（</w:t>
                  </w:r>
                  <w:r>
                    <w:rPr>
                      <w:rFonts w:hint="eastAsia" w:ascii="Times New Roman" w:hAnsi="Times New Roman"/>
                      <w:color w:val="auto"/>
                      <w:sz w:val="21"/>
                      <w:szCs w:val="21"/>
                      <w:highlight w:val="none"/>
                      <w:lang w:val="en-US" w:eastAsia="zh-CN"/>
                    </w:rPr>
                    <w:t>调节+气浮沉淀</w:t>
                  </w:r>
                  <w:r>
                    <w:rPr>
                      <w:rFonts w:hint="eastAsia" w:cs="Times New Roman"/>
                      <w:color w:val="auto"/>
                      <w:kern w:val="0"/>
                      <w:sz w:val="21"/>
                      <w:szCs w:val="21"/>
                      <w:highlight w:val="none"/>
                      <w:lang w:val="en-US" w:eastAsia="zh-CN" w:bidi="ar"/>
                    </w:rPr>
                    <w:t>）</w:t>
                  </w:r>
                </w:p>
              </w:tc>
            </w:tr>
            <w:tr w14:paraId="6222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noWrap w:val="0"/>
                  <w:vAlign w:val="center"/>
                </w:tcPr>
                <w:p w14:paraId="2CFCD83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13</w:t>
                  </w:r>
                </w:p>
              </w:tc>
              <w:tc>
                <w:tcPr>
                  <w:tcW w:w="925" w:type="pct"/>
                  <w:gridSpan w:val="2"/>
                  <w:noWrap w:val="0"/>
                  <w:vAlign w:val="center"/>
                </w:tcPr>
                <w:p w14:paraId="7D3B787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生物质锅炉风机冷却水</w:t>
                  </w:r>
                </w:p>
              </w:tc>
              <w:tc>
                <w:tcPr>
                  <w:tcW w:w="813" w:type="pct"/>
                  <w:noWrap w:val="0"/>
                  <w:vAlign w:val="center"/>
                </w:tcPr>
                <w:p w14:paraId="1610790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自来水</w:t>
                  </w:r>
                </w:p>
              </w:tc>
              <w:tc>
                <w:tcPr>
                  <w:tcW w:w="919" w:type="pct"/>
                  <w:noWrap w:val="0"/>
                  <w:vAlign w:val="center"/>
                </w:tcPr>
                <w:p w14:paraId="10DB75D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b w:val="0"/>
                      <w:bCs/>
                      <w:color w:val="auto"/>
                      <w:sz w:val="21"/>
                      <w:szCs w:val="21"/>
                      <w:highlight w:val="none"/>
                      <w:lang w:val="en-US" w:eastAsia="zh-CN"/>
                    </w:rPr>
                    <w:t>1</w:t>
                  </w:r>
                </w:p>
              </w:tc>
              <w:tc>
                <w:tcPr>
                  <w:tcW w:w="693" w:type="pct"/>
                  <w:noWrap w:val="0"/>
                  <w:vAlign w:val="center"/>
                </w:tcPr>
                <w:p w14:paraId="3F66640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b w:val="0"/>
                      <w:bCs/>
                      <w:color w:val="auto"/>
                      <w:sz w:val="21"/>
                      <w:szCs w:val="21"/>
                      <w:highlight w:val="none"/>
                      <w:lang w:val="en-US" w:eastAsia="zh-CN"/>
                    </w:rPr>
                    <w:t>0</w:t>
                  </w:r>
                  <w:r>
                    <w:rPr>
                      <w:rFonts w:hint="eastAsia" w:ascii="Times New Roman" w:hAnsi="Times New Roman" w:eastAsia="宋体" w:cs="宋体"/>
                      <w:b w:val="0"/>
                      <w:bCs/>
                      <w:color w:val="auto"/>
                      <w:sz w:val="21"/>
                      <w:szCs w:val="21"/>
                      <w:highlight w:val="none"/>
                      <w:vertAlign w:val="superscript"/>
                      <w:lang w:val="en-US" w:eastAsia="zh-CN"/>
                    </w:rPr>
                    <w:t>②</w:t>
                  </w:r>
                </w:p>
              </w:tc>
              <w:tc>
                <w:tcPr>
                  <w:tcW w:w="1272" w:type="pct"/>
                  <w:noWrap w:val="0"/>
                  <w:vAlign w:val="center"/>
                </w:tcPr>
                <w:p w14:paraId="73C30FC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用于水膜除尘用水</w:t>
                  </w:r>
                </w:p>
              </w:tc>
            </w:tr>
            <w:tr w14:paraId="0E13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noWrap w:val="0"/>
                  <w:vAlign w:val="center"/>
                </w:tcPr>
                <w:p w14:paraId="0B50507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14</w:t>
                  </w:r>
                </w:p>
              </w:tc>
              <w:tc>
                <w:tcPr>
                  <w:tcW w:w="925" w:type="pct"/>
                  <w:gridSpan w:val="2"/>
                  <w:noWrap w:val="0"/>
                  <w:vAlign w:val="center"/>
                </w:tcPr>
                <w:p w14:paraId="421C972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水膜除尘器除尘用水</w:t>
                  </w:r>
                </w:p>
              </w:tc>
              <w:tc>
                <w:tcPr>
                  <w:tcW w:w="813" w:type="pct"/>
                  <w:noWrap w:val="0"/>
                  <w:vAlign w:val="center"/>
                </w:tcPr>
                <w:p w14:paraId="2446583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生物质锅炉风机冷却水</w:t>
                  </w:r>
                </w:p>
              </w:tc>
              <w:tc>
                <w:tcPr>
                  <w:tcW w:w="919" w:type="pct"/>
                  <w:noWrap w:val="0"/>
                  <w:vAlign w:val="center"/>
                </w:tcPr>
                <w:p w14:paraId="0438D7E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b w:val="0"/>
                      <w:bCs/>
                      <w:color w:val="auto"/>
                      <w:sz w:val="21"/>
                      <w:szCs w:val="21"/>
                      <w:highlight w:val="none"/>
                      <w:lang w:val="en-US" w:eastAsia="zh-CN"/>
                    </w:rPr>
                    <w:t>0.9</w:t>
                  </w:r>
                </w:p>
              </w:tc>
              <w:tc>
                <w:tcPr>
                  <w:tcW w:w="693" w:type="pct"/>
                  <w:noWrap w:val="0"/>
                  <w:vAlign w:val="center"/>
                </w:tcPr>
                <w:p w14:paraId="2CD7AB1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b w:val="0"/>
                      <w:bCs/>
                      <w:color w:val="auto"/>
                      <w:sz w:val="21"/>
                      <w:szCs w:val="21"/>
                      <w:highlight w:val="none"/>
                      <w:lang w:val="en-US" w:eastAsia="zh-CN"/>
                    </w:rPr>
                    <w:t>0</w:t>
                  </w:r>
                </w:p>
              </w:tc>
              <w:tc>
                <w:tcPr>
                  <w:tcW w:w="1272" w:type="pct"/>
                  <w:noWrap w:val="0"/>
                  <w:vAlign w:val="center"/>
                </w:tcPr>
                <w:p w14:paraId="7365068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循环使用，不外排</w:t>
                  </w:r>
                </w:p>
              </w:tc>
            </w:tr>
            <w:tr w14:paraId="5CEC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noWrap w:val="0"/>
                  <w:vAlign w:val="center"/>
                </w:tcPr>
                <w:p w14:paraId="657C496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15</w:t>
                  </w:r>
                </w:p>
              </w:tc>
              <w:tc>
                <w:tcPr>
                  <w:tcW w:w="925" w:type="pct"/>
                  <w:gridSpan w:val="2"/>
                  <w:noWrap w:val="0"/>
                  <w:vAlign w:val="center"/>
                </w:tcPr>
                <w:p w14:paraId="2D727F1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食堂用水</w:t>
                  </w:r>
                </w:p>
              </w:tc>
              <w:tc>
                <w:tcPr>
                  <w:tcW w:w="813" w:type="pct"/>
                  <w:noWrap w:val="0"/>
                  <w:vAlign w:val="center"/>
                </w:tcPr>
                <w:p w14:paraId="433DA15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自来水</w:t>
                  </w:r>
                </w:p>
              </w:tc>
              <w:tc>
                <w:tcPr>
                  <w:tcW w:w="919" w:type="pct"/>
                  <w:noWrap w:val="0"/>
                  <w:vAlign w:val="center"/>
                </w:tcPr>
                <w:p w14:paraId="402A4EE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b w:val="0"/>
                      <w:bCs/>
                      <w:color w:val="auto"/>
                      <w:sz w:val="21"/>
                      <w:szCs w:val="21"/>
                      <w:highlight w:val="none"/>
                      <w:lang w:val="en-US" w:eastAsia="zh-CN"/>
                    </w:rPr>
                    <w:t>0.9</w:t>
                  </w:r>
                </w:p>
              </w:tc>
              <w:tc>
                <w:tcPr>
                  <w:tcW w:w="693" w:type="pct"/>
                  <w:noWrap w:val="0"/>
                  <w:vAlign w:val="center"/>
                </w:tcPr>
                <w:p w14:paraId="731FEDF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b w:val="0"/>
                      <w:bCs/>
                      <w:color w:val="auto"/>
                      <w:sz w:val="21"/>
                      <w:szCs w:val="21"/>
                      <w:highlight w:val="none"/>
                      <w:lang w:val="en-US" w:eastAsia="zh-CN"/>
                    </w:rPr>
                    <w:t>0.72</w:t>
                  </w:r>
                </w:p>
              </w:tc>
              <w:tc>
                <w:tcPr>
                  <w:tcW w:w="1272" w:type="pct"/>
                  <w:vMerge w:val="restart"/>
                  <w:noWrap w:val="0"/>
                  <w:vAlign w:val="center"/>
                </w:tcPr>
                <w:p w14:paraId="6F4FA55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依托园区</w:t>
                  </w:r>
                  <w:r>
                    <w:rPr>
                      <w:rFonts w:hint="eastAsia" w:cs="Times New Roman"/>
                      <w:color w:val="auto"/>
                      <w:sz w:val="21"/>
                      <w:szCs w:val="21"/>
                      <w:highlight w:val="none"/>
                      <w:lang w:val="en-US" w:eastAsia="zh-CN"/>
                    </w:rPr>
                    <w:t>油水分离器</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化粪池</w:t>
                  </w:r>
                  <w:r>
                    <w:rPr>
                      <w:rFonts w:hint="eastAsia" w:ascii="Times New Roman" w:hAnsi="Times New Roman" w:cs="Times New Roman"/>
                      <w:color w:val="auto"/>
                      <w:sz w:val="21"/>
                      <w:szCs w:val="21"/>
                      <w:highlight w:val="none"/>
                      <w:lang w:val="en-US" w:eastAsia="zh-CN"/>
                    </w:rPr>
                    <w:t>，最终进入元江工业园区</w:t>
                  </w:r>
                  <w:r>
                    <w:rPr>
                      <w:rFonts w:hint="eastAsia" w:cs="Times New Roman"/>
                      <w:color w:val="auto"/>
                      <w:sz w:val="21"/>
                      <w:szCs w:val="21"/>
                      <w:highlight w:val="none"/>
                      <w:lang w:val="en-US" w:eastAsia="zh-CN"/>
                    </w:rPr>
                    <w:t>过渡</w:t>
                  </w:r>
                  <w:r>
                    <w:rPr>
                      <w:rFonts w:hint="eastAsia" w:ascii="Times New Roman" w:hAnsi="Times New Roman" w:cs="Times New Roman"/>
                      <w:color w:val="auto"/>
                      <w:sz w:val="21"/>
                      <w:szCs w:val="21"/>
                      <w:highlight w:val="none"/>
                      <w:lang w:val="en-US" w:eastAsia="zh-CN"/>
                    </w:rPr>
                    <w:t>式污水处理站</w:t>
                  </w:r>
                </w:p>
              </w:tc>
            </w:tr>
            <w:tr w14:paraId="2DB28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5" w:type="pct"/>
                  <w:noWrap w:val="0"/>
                  <w:vAlign w:val="center"/>
                </w:tcPr>
                <w:p w14:paraId="48D5A2C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16</w:t>
                  </w:r>
                </w:p>
              </w:tc>
              <w:tc>
                <w:tcPr>
                  <w:tcW w:w="925" w:type="pct"/>
                  <w:gridSpan w:val="2"/>
                  <w:noWrap w:val="0"/>
                  <w:vAlign w:val="center"/>
                </w:tcPr>
                <w:p w14:paraId="4D32103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生活用水</w:t>
                  </w:r>
                </w:p>
              </w:tc>
              <w:tc>
                <w:tcPr>
                  <w:tcW w:w="813" w:type="pct"/>
                  <w:noWrap w:val="0"/>
                  <w:vAlign w:val="center"/>
                </w:tcPr>
                <w:p w14:paraId="172D951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自来水</w:t>
                  </w:r>
                </w:p>
              </w:tc>
              <w:tc>
                <w:tcPr>
                  <w:tcW w:w="919" w:type="pct"/>
                  <w:noWrap w:val="0"/>
                  <w:vAlign w:val="center"/>
                </w:tcPr>
                <w:p w14:paraId="2189FDB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b w:val="0"/>
                      <w:bCs/>
                      <w:color w:val="auto"/>
                      <w:sz w:val="21"/>
                      <w:szCs w:val="21"/>
                      <w:highlight w:val="none"/>
                      <w:lang w:val="en-US" w:eastAsia="zh-CN"/>
                    </w:rPr>
                    <w:t>2.4</w:t>
                  </w:r>
                </w:p>
              </w:tc>
              <w:tc>
                <w:tcPr>
                  <w:tcW w:w="693" w:type="pct"/>
                  <w:noWrap w:val="0"/>
                  <w:vAlign w:val="center"/>
                </w:tcPr>
                <w:p w14:paraId="6B2AEF5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b w:val="0"/>
                      <w:bCs/>
                      <w:color w:val="auto"/>
                      <w:sz w:val="21"/>
                      <w:szCs w:val="21"/>
                      <w:highlight w:val="none"/>
                      <w:lang w:val="en-US" w:eastAsia="zh-CN"/>
                    </w:rPr>
                    <w:t>1.92</w:t>
                  </w:r>
                </w:p>
              </w:tc>
              <w:tc>
                <w:tcPr>
                  <w:tcW w:w="1272" w:type="pct"/>
                  <w:vMerge w:val="continue"/>
                  <w:noWrap w:val="0"/>
                  <w:vAlign w:val="center"/>
                </w:tcPr>
                <w:p w14:paraId="37BF9445">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r>
            <w:tr w14:paraId="0C08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14" w:type="pct"/>
                  <w:gridSpan w:val="4"/>
                  <w:noWrap w:val="0"/>
                  <w:vAlign w:val="center"/>
                </w:tcPr>
                <w:p w14:paraId="35ADE06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919" w:type="pct"/>
                  <w:noWrap w:val="0"/>
                  <w:vAlign w:val="center"/>
                </w:tcPr>
                <w:p w14:paraId="518EA538">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134.85（其中自来水73.91，纯水48.01，浓水12</w:t>
                  </w: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03，冷却水用水量）</w:t>
                  </w:r>
                </w:p>
              </w:tc>
              <w:tc>
                <w:tcPr>
                  <w:tcW w:w="693" w:type="pct"/>
                  <w:noWrap w:val="0"/>
                  <w:vAlign w:val="center"/>
                </w:tcPr>
                <w:p w14:paraId="4450452D">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48.79</w:t>
                  </w:r>
                  <w:r>
                    <w:rPr>
                      <w:rFonts w:hint="eastAsia" w:cs="Times New Roman"/>
                      <w:i w:val="0"/>
                      <w:iCs w:val="0"/>
                      <w:color w:val="auto"/>
                      <w:kern w:val="0"/>
                      <w:sz w:val="21"/>
                      <w:szCs w:val="21"/>
                      <w:highlight w:val="none"/>
                      <w:u w:val="none"/>
                      <w:lang w:val="en-US" w:eastAsia="zh-CN" w:bidi="ar"/>
                    </w:rPr>
                    <w:t>（其中生产废水：45.95，生活污水2.64）</w:t>
                  </w:r>
                </w:p>
              </w:tc>
              <w:tc>
                <w:tcPr>
                  <w:tcW w:w="1272" w:type="pct"/>
                  <w:noWrap w:val="0"/>
                  <w:vAlign w:val="center"/>
                </w:tcPr>
                <w:p w14:paraId="025D747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3234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7"/>
                  <w:noWrap w:val="0"/>
                  <w:vAlign w:val="center"/>
                </w:tcPr>
                <w:p w14:paraId="4096E03D">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备注：①本项目纯水制备机组浓水产生量为16</w:t>
                  </w:r>
                  <w:r>
                    <w:rPr>
                      <w:rFonts w:hint="default" w:ascii="Times New Roman" w:hAnsi="Times New Roman"/>
                      <w:color w:val="auto"/>
                      <w:sz w:val="21"/>
                      <w:szCs w:val="21"/>
                      <w:highlight w:val="none"/>
                      <w:lang w:val="en-US" w:eastAsia="zh-CN"/>
                    </w:rPr>
                    <w:t>m</w:t>
                  </w:r>
                  <w:r>
                    <w:rPr>
                      <w:rFonts w:hint="default" w:ascii="Times New Roman" w:hAnsi="Times New Roman"/>
                      <w:color w:val="auto"/>
                      <w:sz w:val="21"/>
                      <w:szCs w:val="21"/>
                      <w:highlight w:val="none"/>
                      <w:vertAlign w:val="superscript"/>
                      <w:lang w:val="en-US" w:eastAsia="zh-CN"/>
                    </w:rPr>
                    <w:t>3</w:t>
                  </w:r>
                  <w:r>
                    <w:rPr>
                      <w:rFonts w:hint="default" w:ascii="Times New Roman" w:hAnsi="Times New Roman"/>
                      <w:color w:val="auto"/>
                      <w:sz w:val="21"/>
                      <w:szCs w:val="21"/>
                      <w:highlight w:val="none"/>
                      <w:lang w:val="en-US" w:eastAsia="zh-CN"/>
                    </w:rPr>
                    <w:t>/d</w:t>
                  </w:r>
                  <w:r>
                    <w:rPr>
                      <w:rFonts w:hint="eastAsia" w:ascii="Times New Roman" w:hAnsi="Times New Roman"/>
                      <w:color w:val="auto"/>
                      <w:sz w:val="21"/>
                      <w:szCs w:val="21"/>
                      <w:highlight w:val="none"/>
                      <w:lang w:val="en-US" w:eastAsia="zh-CN"/>
                    </w:rPr>
                    <w:t>，其中12.03m</w:t>
                  </w:r>
                  <w:r>
                    <w:rPr>
                      <w:rFonts w:hint="eastAsia" w:ascii="Times New Roman" w:hAnsi="Times New Roman"/>
                      <w:color w:val="auto"/>
                      <w:sz w:val="21"/>
                      <w:szCs w:val="21"/>
                      <w:highlight w:val="none"/>
                      <w:vertAlign w:val="superscript"/>
                      <w:lang w:val="en-US" w:eastAsia="zh-CN"/>
                    </w:rPr>
                    <w:t>3</w:t>
                  </w:r>
                  <w:r>
                    <w:rPr>
                      <w:rFonts w:hint="eastAsia" w:ascii="Times New Roman" w:hAnsi="Times New Roman"/>
                      <w:color w:val="auto"/>
                      <w:sz w:val="21"/>
                      <w:szCs w:val="21"/>
                      <w:highlight w:val="none"/>
                      <w:lang w:val="en-US" w:eastAsia="zh-CN"/>
                    </w:rPr>
                    <w:t>/d的浓水用于第一道、第二道水果清洗，排放</w:t>
                  </w:r>
                  <w:r>
                    <w:rPr>
                      <w:rFonts w:hint="eastAsia"/>
                      <w:color w:val="auto"/>
                      <w:sz w:val="21"/>
                      <w:szCs w:val="21"/>
                      <w:highlight w:val="none"/>
                      <w:lang w:val="en-US" w:eastAsia="zh-CN"/>
                    </w:rPr>
                    <w:t>量为</w:t>
                  </w:r>
                  <w:r>
                    <w:rPr>
                      <w:rFonts w:hint="eastAsia" w:ascii="Times New Roman" w:hAnsi="Times New Roman"/>
                      <w:color w:val="auto"/>
                      <w:sz w:val="21"/>
                      <w:szCs w:val="21"/>
                      <w:highlight w:val="none"/>
                      <w:lang w:val="en-US" w:eastAsia="zh-CN"/>
                    </w:rPr>
                    <w:t>3.97</w:t>
                  </w:r>
                  <w:r>
                    <w:rPr>
                      <w:rFonts w:hint="default" w:ascii="Times New Roman" w:hAnsi="Times New Roman"/>
                      <w:color w:val="auto"/>
                      <w:sz w:val="21"/>
                      <w:szCs w:val="21"/>
                      <w:highlight w:val="none"/>
                      <w:lang w:val="en-US" w:eastAsia="zh-CN"/>
                    </w:rPr>
                    <w:t>m</w:t>
                  </w:r>
                  <w:r>
                    <w:rPr>
                      <w:rFonts w:hint="default" w:ascii="Times New Roman" w:hAnsi="Times New Roman"/>
                      <w:color w:val="auto"/>
                      <w:sz w:val="21"/>
                      <w:szCs w:val="21"/>
                      <w:highlight w:val="none"/>
                      <w:vertAlign w:val="superscript"/>
                      <w:lang w:val="en-US" w:eastAsia="zh-CN"/>
                    </w:rPr>
                    <w:t>3</w:t>
                  </w:r>
                  <w:r>
                    <w:rPr>
                      <w:rFonts w:hint="default" w:ascii="Times New Roman" w:hAnsi="Times New Roman"/>
                      <w:color w:val="auto"/>
                      <w:sz w:val="21"/>
                      <w:szCs w:val="21"/>
                      <w:highlight w:val="none"/>
                      <w:lang w:val="en-US" w:eastAsia="zh-CN"/>
                    </w:rPr>
                    <w:t>/d</w:t>
                  </w:r>
                  <w:r>
                    <w:rPr>
                      <w:rFonts w:hint="eastAsia" w:ascii="Times New Roman" w:hAnsi="Times New Roman"/>
                      <w:color w:val="auto"/>
                      <w:sz w:val="21"/>
                      <w:szCs w:val="21"/>
                      <w:highlight w:val="none"/>
                      <w:lang w:val="en-US" w:eastAsia="zh-CN"/>
                    </w:rPr>
                    <w:t>。</w:t>
                  </w:r>
                </w:p>
                <w:p w14:paraId="646E82D4">
                  <w:pPr>
                    <w:keepNext w:val="0"/>
                    <w:keepLines w:val="0"/>
                    <w:pageBreakBefore w:val="0"/>
                    <w:kinsoku/>
                    <w:wordWrap/>
                    <w:overflowPunct/>
                    <w:topLinePunct w:val="0"/>
                    <w:autoSpaceDE/>
                    <w:autoSpaceDN/>
                    <w:bidi w:val="0"/>
                    <w:adjustRightInd w:val="0"/>
                    <w:snapToGrid w:val="0"/>
                    <w:spacing w:line="240" w:lineRule="auto"/>
                    <w:jc w:val="left"/>
                    <w:rPr>
                      <w:rFonts w:hint="default" w:ascii="Times New Roman" w:hAnsi="Times New Roman" w:cs="Times New Roman"/>
                      <w:color w:val="auto"/>
                      <w:sz w:val="21"/>
                      <w:szCs w:val="21"/>
                      <w:highlight w:val="none"/>
                    </w:rPr>
                  </w:pPr>
                  <w:r>
                    <w:rPr>
                      <w:rFonts w:hint="eastAsia" w:ascii="Times New Roman" w:hAnsi="Times New Roman" w:eastAsia="宋体" w:cs="宋体"/>
                      <w:color w:val="auto"/>
                      <w:sz w:val="21"/>
                      <w:szCs w:val="21"/>
                      <w:highlight w:val="none"/>
                      <w:lang w:val="en-US" w:eastAsia="zh-CN"/>
                    </w:rPr>
                    <w:t>②</w:t>
                  </w:r>
                  <w:r>
                    <w:rPr>
                      <w:rFonts w:hint="eastAsia" w:ascii="Times New Roman" w:hAnsi="Times New Roman"/>
                      <w:b w:val="0"/>
                      <w:bCs w:val="0"/>
                      <w:color w:val="auto"/>
                      <w:sz w:val="21"/>
                      <w:szCs w:val="21"/>
                      <w:highlight w:val="none"/>
                      <w:lang w:val="en-US" w:eastAsia="zh-CN"/>
                    </w:rPr>
                    <w:t>水膜除尘器除尘用水使用</w:t>
                  </w:r>
                  <w:r>
                    <w:rPr>
                      <w:rFonts w:hint="eastAsia" w:ascii="Times New Roman" w:hAnsi="Times New Roman" w:eastAsia="宋体" w:cs="宋体"/>
                      <w:color w:val="auto"/>
                      <w:sz w:val="21"/>
                      <w:szCs w:val="21"/>
                      <w:highlight w:val="none"/>
                      <w:lang w:val="en-US" w:eastAsia="zh-CN"/>
                    </w:rPr>
                    <w:t>生物质锅炉风机冷却水，故风机冷却环节无污水产生。</w:t>
                  </w:r>
                </w:p>
              </w:tc>
            </w:tr>
          </w:tbl>
          <w:p w14:paraId="09DD2AA0">
            <w:pPr>
              <w:pStyle w:val="6"/>
              <w:spacing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具体水平衡见图2-</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w:t>
            </w:r>
          </w:p>
          <w:p w14:paraId="295C68A1">
            <w:pPr>
              <w:pStyle w:val="6"/>
              <w:spacing w:line="360" w:lineRule="auto"/>
              <w:ind w:firstLine="0"/>
              <w:jc w:val="center"/>
              <w:rPr>
                <w:rFonts w:hint="default" w:ascii="Times New Roman" w:hAnsi="Times New Roman" w:cs="Times New Roman"/>
                <w:b/>
                <w:bCs/>
                <w:color w:val="auto"/>
                <w:sz w:val="24"/>
                <w:szCs w:val="24"/>
                <w:highlight w:val="none"/>
              </w:rPr>
            </w:pPr>
            <w:r>
              <w:rPr>
                <w:rFonts w:ascii="Times New Roman" w:hAnsi="Times New Roman"/>
                <w:b/>
                <w:bCs/>
                <w:color w:val="auto"/>
                <w:sz w:val="21"/>
                <w:szCs w:val="21"/>
                <w:highlight w:val="none"/>
              </w:rPr>
              <w:object>
                <v:shape id="_x0000_i1031" o:spt="75" type="#_x0000_t75" style="height:536.6pt;width:372.55pt;" o:ole="t" filled="f" o:preferrelative="t" stroked="f" coordsize="21600,21600">
                  <v:path/>
                  <v:fill on="f" focussize="0,0"/>
                  <v:stroke on="f"/>
                  <v:imagedata r:id="rId24" croptop="1382f" o:title=""/>
                  <o:lock v:ext="edit" aspectratio="f"/>
                  <w10:wrap type="none"/>
                  <w10:anchorlock/>
                </v:shape>
                <o:OLEObject Type="Embed" ProgID="Visio.Drawing.11" ShapeID="_x0000_i1031" DrawAspect="Content" ObjectID="_1468075731" r:id="rId23">
                  <o:LockedField>false</o:LockedField>
                </o:OLEObject>
              </w:object>
            </w:r>
          </w:p>
          <w:p w14:paraId="453E9680">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Times New Roman" w:hAnsi="Times New Roman" w:eastAsia="新宋体" w:cs="Times New Roman"/>
                <w:b/>
                <w:color w:val="auto"/>
                <w:sz w:val="21"/>
                <w:szCs w:val="21"/>
                <w:highlight w:val="none"/>
              </w:rPr>
            </w:pPr>
            <w:r>
              <w:rPr>
                <w:rFonts w:hint="default" w:ascii="Times New Roman" w:hAnsi="Times New Roman" w:cs="Times New Roman"/>
                <w:b/>
                <w:color w:val="auto"/>
                <w:sz w:val="21"/>
                <w:szCs w:val="21"/>
                <w:highlight w:val="none"/>
              </w:rPr>
              <w:t>图2-</w:t>
            </w:r>
            <w:r>
              <w:rPr>
                <w:rFonts w:hint="eastAsia" w:cs="Times New Roman"/>
                <w:b/>
                <w:color w:val="auto"/>
                <w:sz w:val="21"/>
                <w:szCs w:val="21"/>
                <w:highlight w:val="none"/>
                <w:lang w:val="en-US" w:eastAsia="zh-CN"/>
              </w:rPr>
              <w:t>8</w:t>
            </w:r>
            <w:r>
              <w:rPr>
                <w:rFonts w:hint="default" w:ascii="Times New Roman" w:hAnsi="Times New Roman" w:cs="Times New Roman"/>
                <w:b/>
                <w:color w:val="auto"/>
                <w:sz w:val="21"/>
                <w:szCs w:val="21"/>
                <w:highlight w:val="none"/>
              </w:rPr>
              <w:t xml:space="preserve">    </w:t>
            </w:r>
            <w:r>
              <w:rPr>
                <w:rFonts w:hint="eastAsia" w:ascii="Times New Roman" w:hAnsi="Times New Roman" w:cs="Times New Roman"/>
                <w:b/>
                <w:color w:val="auto"/>
                <w:sz w:val="21"/>
                <w:szCs w:val="21"/>
                <w:highlight w:val="none"/>
                <w:lang w:val="en-US" w:eastAsia="zh-CN"/>
              </w:rPr>
              <w:t>现有项目</w:t>
            </w:r>
            <w:r>
              <w:rPr>
                <w:rFonts w:hint="default" w:ascii="Times New Roman" w:hAnsi="Times New Roman" w:cs="Times New Roman"/>
                <w:b/>
                <w:color w:val="auto"/>
                <w:sz w:val="21"/>
                <w:szCs w:val="21"/>
                <w:highlight w:val="none"/>
              </w:rPr>
              <w:t xml:space="preserve">水量平衡图   </w:t>
            </w:r>
            <w:r>
              <w:rPr>
                <w:rFonts w:hint="default" w:ascii="Times New Roman" w:hAnsi="Times New Roman" w:eastAsia="新宋体" w:cs="Times New Roman"/>
                <w:b/>
                <w:color w:val="auto"/>
                <w:sz w:val="21"/>
                <w:szCs w:val="21"/>
                <w:highlight w:val="none"/>
              </w:rPr>
              <w:t>单位：m</w:t>
            </w:r>
            <w:r>
              <w:rPr>
                <w:rFonts w:hint="default" w:ascii="Times New Roman" w:hAnsi="Times New Roman" w:eastAsia="新宋体" w:cs="Times New Roman"/>
                <w:b/>
                <w:color w:val="auto"/>
                <w:sz w:val="21"/>
                <w:szCs w:val="21"/>
                <w:highlight w:val="none"/>
                <w:vertAlign w:val="superscript"/>
              </w:rPr>
              <w:t>3</w:t>
            </w:r>
            <w:r>
              <w:rPr>
                <w:rFonts w:hint="default" w:ascii="Times New Roman" w:hAnsi="Times New Roman" w:eastAsia="新宋体" w:cs="Times New Roman"/>
                <w:b/>
                <w:color w:val="auto"/>
                <w:sz w:val="21"/>
                <w:szCs w:val="21"/>
                <w:highlight w:val="none"/>
              </w:rPr>
              <w:t>/d</w:t>
            </w:r>
          </w:p>
          <w:p w14:paraId="72A57827">
            <w:pPr>
              <w:spacing w:line="360" w:lineRule="auto"/>
              <w:ind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现有项目自建污水处理站处理工艺详见下图。</w:t>
            </w:r>
          </w:p>
          <w:p w14:paraId="58597DEE">
            <w:pPr>
              <w:pStyle w:val="2"/>
              <w:jc w:val="center"/>
              <w:rPr>
                <w:rFonts w:hint="eastAsia" w:cs="Times New Roman"/>
                <w:color w:val="auto"/>
                <w:sz w:val="24"/>
                <w:szCs w:val="24"/>
                <w:highlight w:val="none"/>
                <w:lang w:val="en-US" w:eastAsia="zh-CN"/>
              </w:rPr>
            </w:pPr>
            <w:r>
              <w:rPr>
                <w:rFonts w:hint="default" w:ascii="Times New Roman" w:hAnsi="Times New Roman" w:cs="Times New Roman"/>
                <w:color w:val="auto"/>
                <w:highlight w:val="none"/>
              </w:rPr>
              <w:object>
                <v:shape id="_x0000_i1032" o:spt="75" type="#_x0000_t75" style="height:255.9pt;width:300.9pt;" o:ole="t" filled="f" o:preferrelative="t" stroked="f" coordsize="21600,21600">
                  <v:path/>
                  <v:fill on="f" focussize="0,0"/>
                  <v:stroke on="f"/>
                  <v:imagedata r:id="rId26" o:title=""/>
                  <o:lock v:ext="edit" aspectratio="t"/>
                  <w10:wrap type="none"/>
                  <w10:anchorlock/>
                </v:shape>
                <o:OLEObject Type="Embed" ProgID="Visio.Drawing.11" ShapeID="_x0000_i1032" DrawAspect="Content" ObjectID="_1468075732" r:id="rId25">
                  <o:LockedField>false</o:LockedField>
                </o:OLEObject>
              </w:object>
            </w:r>
          </w:p>
          <w:p w14:paraId="3CF8F2CE">
            <w:pPr>
              <w:keepNext w:val="0"/>
              <w:keepLines w:val="0"/>
              <w:pageBreakBefore w:val="0"/>
              <w:widowControl w:val="0"/>
              <w:tabs>
                <w:tab w:val="left" w:pos="264"/>
                <w:tab w:val="left" w:pos="1695"/>
              </w:tabs>
              <w:kinsoku/>
              <w:wordWrap/>
              <w:overflowPunct/>
              <w:topLinePunct w:val="0"/>
              <w:autoSpaceDE/>
              <w:autoSpaceDN/>
              <w:bidi w:val="0"/>
              <w:adjustRightInd/>
              <w:snapToGrid/>
              <w:spacing w:after="157" w:afterLines="50"/>
              <w:jc w:val="center"/>
              <w:textAlignment w:val="auto"/>
              <w:rPr>
                <w:rFonts w:hint="eastAsia" w:ascii="Times New Roman" w:hAnsi="Times New Roman" w:eastAsia="宋体"/>
                <w:color w:val="auto"/>
                <w:highlight w:val="none"/>
                <w:lang w:val="en-US" w:eastAsia="zh-CN"/>
              </w:rPr>
            </w:pPr>
            <w:r>
              <w:rPr>
                <w:rFonts w:hint="default" w:ascii="Times New Roman" w:hAnsi="Times New Roman" w:cs="Times New Roman"/>
                <w:b/>
                <w:bCs/>
                <w:color w:val="auto"/>
                <w:sz w:val="21"/>
                <w:szCs w:val="21"/>
                <w:highlight w:val="none"/>
              </w:rPr>
              <w:t>图</w:t>
            </w:r>
            <w:r>
              <w:rPr>
                <w:rFonts w:hint="eastAsia" w:cs="Times New Roman"/>
                <w:b/>
                <w:bCs/>
                <w:color w:val="auto"/>
                <w:sz w:val="21"/>
                <w:szCs w:val="21"/>
                <w:highlight w:val="none"/>
                <w:lang w:val="en-US" w:eastAsia="zh-CN"/>
              </w:rPr>
              <w:t>2-9</w:t>
            </w:r>
            <w:r>
              <w:rPr>
                <w:rFonts w:hint="default" w:ascii="Times New Roman" w:hAnsi="Times New Roman" w:cs="Times New Roman"/>
                <w:b/>
                <w:bCs/>
                <w:color w:val="auto"/>
                <w:sz w:val="21"/>
                <w:szCs w:val="21"/>
                <w:highlight w:val="none"/>
              </w:rPr>
              <w:t xml:space="preserve">  </w:t>
            </w:r>
            <w:r>
              <w:rPr>
                <w:rFonts w:hint="eastAsia" w:ascii="Times New Roman" w:hAnsi="Times New Roman" w:cs="Times New Roman"/>
                <w:b/>
                <w:bCs/>
                <w:color w:val="auto"/>
                <w:sz w:val="21"/>
                <w:szCs w:val="21"/>
                <w:highlight w:val="none"/>
                <w:lang w:val="en-US" w:eastAsia="zh-CN"/>
              </w:rPr>
              <w:t xml:space="preserve"> 现有项目自建</w:t>
            </w:r>
            <w:r>
              <w:rPr>
                <w:rFonts w:hint="default" w:ascii="Times New Roman" w:hAnsi="Times New Roman" w:cs="Times New Roman"/>
                <w:b/>
                <w:bCs/>
                <w:color w:val="auto"/>
                <w:sz w:val="21"/>
                <w:szCs w:val="21"/>
                <w:highlight w:val="none"/>
              </w:rPr>
              <w:t>污水处理工艺流程</w:t>
            </w:r>
            <w:r>
              <w:rPr>
                <w:rFonts w:hint="eastAsia" w:ascii="Times New Roman" w:hAnsi="Times New Roman" w:cs="Times New Roman"/>
                <w:b/>
                <w:bCs/>
                <w:color w:val="auto"/>
                <w:sz w:val="21"/>
                <w:szCs w:val="21"/>
                <w:highlight w:val="none"/>
                <w:lang w:val="en-US" w:eastAsia="zh-CN"/>
              </w:rPr>
              <w:t>图</w:t>
            </w:r>
          </w:p>
          <w:p w14:paraId="0E547D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color w:val="auto"/>
                <w:sz w:val="24"/>
                <w:lang w:val="en-US" w:eastAsia="zh-CN"/>
              </w:rPr>
            </w:pPr>
            <w:r>
              <w:rPr>
                <w:rFonts w:hint="eastAsia"/>
                <w:color w:val="auto"/>
                <w:sz w:val="24"/>
                <w:lang w:val="en-US" w:eastAsia="zh-CN"/>
              </w:rPr>
              <w:t>2）达标排放情况</w:t>
            </w:r>
          </w:p>
          <w:p w14:paraId="195A8F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auto"/>
                <w:sz w:val="24"/>
                <w:szCs w:val="24"/>
                <w:highlight w:val="none"/>
              </w:rPr>
            </w:pPr>
            <w:r>
              <w:rPr>
                <w:rFonts w:hint="eastAsia" w:ascii="Times New Roman" w:hAnsi="Times New Roman" w:cs="Times New Roman"/>
                <w:caps w:val="0"/>
                <w:smallCaps w:val="0"/>
                <w:color w:val="auto"/>
                <w:sz w:val="24"/>
                <w:szCs w:val="24"/>
                <w:highlight w:val="none"/>
                <w:lang w:val="en-US" w:eastAsia="zh-CN"/>
              </w:rPr>
              <w:t>根据</w:t>
            </w:r>
            <w:r>
              <w:rPr>
                <w:rFonts w:hint="eastAsia" w:cs="Times New Roman"/>
                <w:caps w:val="0"/>
                <w:smallCaps w:val="0"/>
                <w:color w:val="auto"/>
                <w:sz w:val="24"/>
                <w:szCs w:val="24"/>
                <w:highlight w:val="none"/>
                <w:lang w:val="en-US" w:eastAsia="zh-CN"/>
              </w:rPr>
              <w:t>2024年</w:t>
            </w:r>
            <w:r>
              <w:rPr>
                <w:rFonts w:hint="eastAsia" w:ascii="Times New Roman" w:hAnsi="Times New Roman" w:cs="Times New Roman"/>
                <w:caps w:val="0"/>
                <w:smallCaps w:val="0"/>
                <w:color w:val="auto"/>
                <w:sz w:val="24"/>
                <w:szCs w:val="24"/>
                <w:highlight w:val="none"/>
                <w:lang w:val="en-US" w:eastAsia="zh-CN"/>
              </w:rPr>
              <w:t>《云南果研社农业科技发展有限公司自行监测（第三季度）</w:t>
            </w:r>
            <w:r>
              <w:rPr>
                <w:rFonts w:hint="eastAsia" w:cs="Times New Roman"/>
                <w:caps w:val="0"/>
                <w:smallCaps w:val="0"/>
                <w:color w:val="auto"/>
                <w:sz w:val="24"/>
                <w:szCs w:val="24"/>
                <w:highlight w:val="none"/>
                <w:lang w:val="en-US" w:eastAsia="zh-CN"/>
              </w:rPr>
              <w:t>检测报告</w:t>
            </w:r>
            <w:r>
              <w:rPr>
                <w:rFonts w:hint="eastAsia" w:ascii="Times New Roman" w:hAnsi="Times New Roman" w:cs="Times New Roman"/>
                <w:caps w:val="0"/>
                <w:smallCaps w:val="0"/>
                <w:color w:val="auto"/>
                <w:sz w:val="24"/>
                <w:szCs w:val="24"/>
                <w:highlight w:val="none"/>
                <w:lang w:val="en-US" w:eastAsia="zh-CN"/>
              </w:rPr>
              <w:t>》</w:t>
            </w:r>
            <w:r>
              <w:rPr>
                <w:rFonts w:hint="eastAsia" w:cs="Times New Roman"/>
                <w:caps w:val="0"/>
                <w:smallCaps w:val="0"/>
                <w:color w:val="auto"/>
                <w:sz w:val="24"/>
                <w:szCs w:val="24"/>
                <w:highlight w:val="none"/>
                <w:lang w:val="en-US" w:eastAsia="zh-CN"/>
              </w:rPr>
              <w:t>（YNHP24080510），生产废水总排口（DW001）</w:t>
            </w:r>
            <w:r>
              <w:rPr>
                <w:rFonts w:hint="eastAsia" w:ascii="Times New Roman" w:hAnsi="Times New Roman" w:cs="Times New Roman"/>
                <w:caps w:val="0"/>
                <w:smallCaps w:val="0"/>
                <w:color w:val="auto"/>
                <w:sz w:val="24"/>
                <w:szCs w:val="24"/>
                <w:highlight w:val="none"/>
                <w:lang w:val="en-US" w:eastAsia="zh-CN"/>
              </w:rPr>
              <w:t>监测结果如下：</w:t>
            </w:r>
          </w:p>
          <w:p w14:paraId="415EC62D">
            <w:pPr>
              <w:keepNext w:val="0"/>
              <w:keepLines w:val="0"/>
              <w:pageBreakBefore w:val="0"/>
              <w:widowControl w:val="0"/>
              <w:kinsoku/>
              <w:wordWrap/>
              <w:overflowPunct/>
              <w:topLinePunct w:val="0"/>
              <w:bidi w:val="0"/>
              <w:snapToGrid/>
              <w:jc w:val="center"/>
              <w:rPr>
                <w:rFonts w:hint="default" w:ascii="Times New Roman" w:hAnsi="Times New Roman"/>
                <w:color w:val="auto"/>
                <w:highlight w:val="none"/>
                <w:lang w:eastAsia="zh-CN"/>
              </w:rPr>
            </w:pPr>
            <w:r>
              <w:rPr>
                <w:rFonts w:hint="default" w:ascii="Times New Roman" w:hAnsi="Times New Roman" w:cs="Times New Roman"/>
                <w:b/>
                <w:bCs/>
                <w:color w:val="auto"/>
                <w:sz w:val="21"/>
                <w:szCs w:val="21"/>
                <w:highlight w:val="none"/>
              </w:rPr>
              <w:t>表</w:t>
            </w:r>
            <w:r>
              <w:rPr>
                <w:rFonts w:hint="eastAsia" w:cs="Times New Roman"/>
                <w:b/>
                <w:bCs/>
                <w:color w:val="auto"/>
                <w:sz w:val="21"/>
                <w:szCs w:val="21"/>
                <w:highlight w:val="none"/>
                <w:lang w:val="en-US" w:eastAsia="zh-CN"/>
              </w:rPr>
              <w:t>2-23</w:t>
            </w:r>
            <w:r>
              <w:rPr>
                <w:rFonts w:hint="default" w:ascii="Times New Roman" w:hAnsi="Times New Roman" w:cs="Times New Roman"/>
                <w:b/>
                <w:bCs/>
                <w:color w:val="auto"/>
                <w:sz w:val="21"/>
                <w:szCs w:val="21"/>
                <w:highlight w:val="none"/>
              </w:rPr>
              <w:t xml:space="preserve">  </w:t>
            </w:r>
            <w:r>
              <w:rPr>
                <w:rFonts w:hint="eastAsia" w:cs="Times New Roman"/>
                <w:b/>
                <w:bCs/>
                <w:caps w:val="0"/>
                <w:smallCaps w:val="0"/>
                <w:color w:val="auto"/>
                <w:sz w:val="21"/>
                <w:szCs w:val="21"/>
                <w:highlight w:val="none"/>
                <w:lang w:val="en-US" w:eastAsia="zh-CN"/>
              </w:rPr>
              <w:t>生产废水总排口监测</w:t>
            </w:r>
            <w:r>
              <w:rPr>
                <w:rFonts w:hint="default" w:ascii="Times New Roman" w:hAnsi="Times New Roman" w:cs="Times New Roman"/>
                <w:b/>
                <w:bCs/>
                <w:color w:val="auto"/>
                <w:sz w:val="21"/>
                <w:szCs w:val="21"/>
                <w:highlight w:val="none"/>
              </w:rPr>
              <w:t>结果  单位：</w:t>
            </w:r>
            <w:r>
              <w:rPr>
                <w:rFonts w:hint="default" w:ascii="Times New Roman" w:hAnsi="Times New Roman" w:cs="Times New Roman"/>
                <w:b/>
                <w:color w:val="auto"/>
                <w:kern w:val="0"/>
                <w:sz w:val="21"/>
                <w:szCs w:val="21"/>
                <w:highlight w:val="none"/>
              </w:rPr>
              <w:t>mg/L</w:t>
            </w:r>
            <w:r>
              <w:rPr>
                <w:rFonts w:hint="default" w:ascii="Times New Roman" w:hAnsi="Times New Roman" w:cs="Times New Roman"/>
                <w:b/>
                <w:color w:val="auto"/>
                <w:kern w:val="0"/>
                <w:sz w:val="21"/>
                <w:szCs w:val="21"/>
                <w:highlight w:val="none"/>
                <w:lang w:val="en-US" w:eastAsia="zh-CN"/>
              </w:rPr>
              <w:t xml:space="preserve"> </w:t>
            </w:r>
            <w:r>
              <w:rPr>
                <w:rFonts w:hint="default" w:ascii="Times New Roman" w:hAnsi="Times New Roman" w:cs="Times New Roman"/>
                <w:b/>
                <w:color w:val="auto"/>
                <w:kern w:val="0"/>
                <w:sz w:val="21"/>
                <w:szCs w:val="21"/>
                <w:highlight w:val="none"/>
                <w:lang w:eastAsia="zh-CN"/>
              </w:rPr>
              <w:t>（</w:t>
            </w:r>
            <w:r>
              <w:rPr>
                <w:rFonts w:hint="default" w:ascii="Times New Roman" w:hAnsi="Times New Roman" w:cs="Times New Roman"/>
                <w:b/>
                <w:color w:val="auto"/>
                <w:kern w:val="0"/>
                <w:sz w:val="21"/>
                <w:szCs w:val="21"/>
                <w:highlight w:val="none"/>
              </w:rPr>
              <w:t>pH</w:t>
            </w:r>
            <w:r>
              <w:rPr>
                <w:rFonts w:hint="default" w:ascii="Times New Roman" w:hAnsi="Times New Roman" w:cs="Times New Roman"/>
                <w:b/>
                <w:color w:val="auto"/>
                <w:kern w:val="0"/>
                <w:sz w:val="21"/>
                <w:szCs w:val="21"/>
                <w:highlight w:val="none"/>
                <w:lang w:val="en-US" w:eastAsia="zh-CN"/>
              </w:rPr>
              <w:t>无量纲</w:t>
            </w:r>
            <w:r>
              <w:rPr>
                <w:rFonts w:hint="default" w:ascii="Times New Roman" w:hAnsi="Times New Roman" w:cs="Times New Roman"/>
                <w:b/>
                <w:color w:val="auto"/>
                <w:kern w:val="0"/>
                <w:sz w:val="21"/>
                <w:szCs w:val="21"/>
                <w:highlight w:val="none"/>
                <w:lang w:eastAsia="zh-CN"/>
              </w:rPr>
              <w:t>）</w:t>
            </w:r>
          </w:p>
          <w:tbl>
            <w:tblPr>
              <w:tblStyle w:val="23"/>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1342"/>
              <w:gridCol w:w="1349"/>
              <w:gridCol w:w="1361"/>
              <w:gridCol w:w="1290"/>
              <w:gridCol w:w="925"/>
            </w:tblGrid>
            <w:tr w14:paraId="2324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blHeader/>
                <w:jc w:val="center"/>
              </w:trPr>
              <w:tc>
                <w:tcPr>
                  <w:tcW w:w="1120" w:type="pct"/>
                  <w:tcBorders>
                    <w:tl2br w:val="nil"/>
                    <w:tr2bl w:val="nil"/>
                  </w:tcBorders>
                  <w:noWrap w:val="0"/>
                  <w:vAlign w:val="center"/>
                </w:tcPr>
                <w:p w14:paraId="44E2B8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sz w:val="21"/>
                      <w:szCs w:val="21"/>
                      <w:highlight w:val="none"/>
                      <w:vertAlign w:val="baseline"/>
                      <w:lang w:val="en-US" w:eastAsia="zh-CN"/>
                    </w:rPr>
                    <w:t>采样日期</w:t>
                  </w:r>
                </w:p>
              </w:tc>
              <w:tc>
                <w:tcPr>
                  <w:tcW w:w="2508" w:type="pct"/>
                  <w:gridSpan w:val="3"/>
                  <w:tcBorders>
                    <w:tl2br w:val="nil"/>
                    <w:tr2bl w:val="nil"/>
                  </w:tcBorders>
                  <w:noWrap w:val="0"/>
                  <w:vAlign w:val="center"/>
                </w:tcPr>
                <w:p w14:paraId="261F03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2024.08.12</w:t>
                  </w:r>
                </w:p>
              </w:tc>
              <w:tc>
                <w:tcPr>
                  <w:tcW w:w="798" w:type="pct"/>
                  <w:vMerge w:val="restart"/>
                  <w:tcBorders>
                    <w:tl2br w:val="nil"/>
                    <w:tr2bl w:val="nil"/>
                  </w:tcBorders>
                  <w:noWrap w:val="0"/>
                  <w:vAlign w:val="center"/>
                </w:tcPr>
                <w:p w14:paraId="0678091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sz w:val="21"/>
                      <w:szCs w:val="21"/>
                      <w:highlight w:val="none"/>
                      <w:vertAlign w:val="baseline"/>
                      <w:lang w:val="en-US" w:eastAsia="zh-CN"/>
                    </w:rPr>
                    <w:t>标准</w:t>
                  </w:r>
                </w:p>
              </w:tc>
              <w:tc>
                <w:tcPr>
                  <w:tcW w:w="572" w:type="pct"/>
                  <w:vMerge w:val="restart"/>
                  <w:tcBorders>
                    <w:tl2br w:val="nil"/>
                    <w:tr2bl w:val="nil"/>
                  </w:tcBorders>
                  <w:noWrap w:val="0"/>
                  <w:vAlign w:val="center"/>
                </w:tcPr>
                <w:p w14:paraId="7D5EB76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sz w:val="21"/>
                      <w:szCs w:val="21"/>
                      <w:highlight w:val="none"/>
                      <w:vertAlign w:val="baseline"/>
                      <w:lang w:val="en-US" w:eastAsia="zh-CN"/>
                    </w:rPr>
                    <w:t>达标情况</w:t>
                  </w:r>
                </w:p>
              </w:tc>
            </w:tr>
            <w:tr w14:paraId="414A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blHeader/>
                <w:jc w:val="center"/>
              </w:trPr>
              <w:tc>
                <w:tcPr>
                  <w:tcW w:w="1120" w:type="pct"/>
                  <w:tcBorders>
                    <w:tl2br w:val="nil"/>
                    <w:tr2bl w:val="nil"/>
                  </w:tcBorders>
                  <w:noWrap w:val="0"/>
                  <w:vAlign w:val="center"/>
                </w:tcPr>
                <w:p w14:paraId="07BB0C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sz w:val="21"/>
                      <w:szCs w:val="21"/>
                      <w:highlight w:val="none"/>
                      <w:vertAlign w:val="baseline"/>
                      <w:lang w:val="en-US" w:eastAsia="zh-CN"/>
                    </w:rPr>
                    <w:t>采样点位</w:t>
                  </w:r>
                </w:p>
              </w:tc>
              <w:tc>
                <w:tcPr>
                  <w:tcW w:w="2508" w:type="pct"/>
                  <w:gridSpan w:val="3"/>
                  <w:tcBorders>
                    <w:tl2br w:val="nil"/>
                    <w:tr2bl w:val="nil"/>
                  </w:tcBorders>
                  <w:noWrap w:val="0"/>
                  <w:vAlign w:val="center"/>
                </w:tcPr>
                <w:p w14:paraId="6B67D8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DW001总排口</w:t>
                  </w:r>
                </w:p>
              </w:tc>
              <w:tc>
                <w:tcPr>
                  <w:tcW w:w="798" w:type="pct"/>
                  <w:vMerge w:val="continue"/>
                  <w:tcBorders>
                    <w:tl2br w:val="nil"/>
                    <w:tr2bl w:val="nil"/>
                  </w:tcBorders>
                  <w:noWrap w:val="0"/>
                  <w:vAlign w:val="center"/>
                </w:tcPr>
                <w:p w14:paraId="288C45F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572" w:type="pct"/>
                  <w:vMerge w:val="continue"/>
                  <w:tcBorders>
                    <w:tl2br w:val="nil"/>
                    <w:tr2bl w:val="nil"/>
                  </w:tcBorders>
                  <w:noWrap w:val="0"/>
                  <w:vAlign w:val="center"/>
                </w:tcPr>
                <w:p w14:paraId="51AA6FA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p>
              </w:tc>
            </w:tr>
            <w:tr w14:paraId="6A5E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blHeader/>
                <w:jc w:val="center"/>
              </w:trPr>
              <w:tc>
                <w:tcPr>
                  <w:tcW w:w="1120" w:type="pct"/>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69F8B474">
                  <w:pPr>
                    <w:keepNext w:val="0"/>
                    <w:keepLines w:val="0"/>
                    <w:pageBreakBefore w:val="0"/>
                    <w:widowControl w:val="0"/>
                    <w:kinsoku/>
                    <w:wordWrap/>
                    <w:overflowPunct/>
                    <w:topLinePunct w:val="0"/>
                    <w:autoSpaceDE/>
                    <w:autoSpaceDN/>
                    <w:bidi w:val="0"/>
                    <w:adjustRightInd/>
                    <w:snapToGrid/>
                    <w:spacing w:line="240" w:lineRule="auto"/>
                    <w:jc w:val="both"/>
                    <w:textAlignment w:val="auto"/>
                    <mc:AlternateContent>
                      <mc:Choice Requires="wpsCustomData">
                        <wpsCustomData:diagonalParaType/>
                      </mc:Choice>
                    </mc:AlternateContent>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检测项</w:t>
                  </w:r>
                </w:p>
                <w:p w14:paraId="312E48F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样品编号</w:t>
                  </w:r>
                </w:p>
              </w:tc>
              <w:tc>
                <w:tcPr>
                  <w:tcW w:w="830" w:type="pct"/>
                  <w:tcBorders>
                    <w:tl2br w:val="nil"/>
                    <w:tr2bl w:val="nil"/>
                  </w:tcBorders>
                  <w:noWrap w:val="0"/>
                  <w:vAlign w:val="center"/>
                </w:tcPr>
                <w:p w14:paraId="3CE2AE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24080510F101-1</w:t>
                  </w:r>
                </w:p>
              </w:tc>
              <w:tc>
                <w:tcPr>
                  <w:tcW w:w="834" w:type="pct"/>
                  <w:tcBorders>
                    <w:tl2br w:val="nil"/>
                    <w:tr2bl w:val="nil"/>
                  </w:tcBorders>
                  <w:noWrap w:val="0"/>
                  <w:vAlign w:val="center"/>
                </w:tcPr>
                <w:p w14:paraId="332F21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24080510F102-1</w:t>
                  </w:r>
                </w:p>
              </w:tc>
              <w:tc>
                <w:tcPr>
                  <w:tcW w:w="842" w:type="pct"/>
                  <w:tcBorders>
                    <w:tl2br w:val="nil"/>
                    <w:tr2bl w:val="nil"/>
                  </w:tcBorders>
                  <w:noWrap w:val="0"/>
                  <w:vAlign w:val="center"/>
                </w:tcPr>
                <w:p w14:paraId="21E671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24080510F103-1</w:t>
                  </w:r>
                </w:p>
              </w:tc>
              <w:tc>
                <w:tcPr>
                  <w:tcW w:w="798" w:type="pct"/>
                  <w:vMerge w:val="continue"/>
                  <w:tcBorders>
                    <w:tl2br w:val="nil"/>
                    <w:tr2bl w:val="nil"/>
                  </w:tcBorders>
                  <w:noWrap w:val="0"/>
                  <w:vAlign w:val="center"/>
                </w:tcPr>
                <w:p w14:paraId="13D626F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572" w:type="pct"/>
                  <w:vMerge w:val="continue"/>
                  <w:tcBorders>
                    <w:tl2br w:val="nil"/>
                    <w:tr2bl w:val="nil"/>
                  </w:tcBorders>
                  <w:noWrap w:val="0"/>
                  <w:vAlign w:val="center"/>
                </w:tcPr>
                <w:p w14:paraId="3E0EEA5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p>
              </w:tc>
            </w:tr>
            <w:tr w14:paraId="0C74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120" w:type="pct"/>
                  <w:tcBorders>
                    <w:tl2br w:val="nil"/>
                    <w:tr2bl w:val="nil"/>
                  </w:tcBorders>
                  <w:noWrap w:val="0"/>
                  <w:vAlign w:val="center"/>
                </w:tcPr>
                <w:p w14:paraId="48D63B9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sz w:val="21"/>
                      <w:szCs w:val="21"/>
                      <w:highlight w:val="none"/>
                      <w:lang w:val="en-US" w:eastAsia="zh-CN"/>
                    </w:rPr>
                    <w:t>pH（无量纲）</w:t>
                  </w:r>
                </w:p>
              </w:tc>
              <w:tc>
                <w:tcPr>
                  <w:tcW w:w="830" w:type="pct"/>
                  <w:tcBorders>
                    <w:tl2br w:val="nil"/>
                    <w:tr2bl w:val="nil"/>
                  </w:tcBorders>
                  <w:noWrap w:val="0"/>
                  <w:vAlign w:val="center"/>
                </w:tcPr>
                <w:p w14:paraId="754876D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7.3</w:t>
                  </w:r>
                </w:p>
              </w:tc>
              <w:tc>
                <w:tcPr>
                  <w:tcW w:w="834" w:type="pct"/>
                  <w:tcBorders>
                    <w:tl2br w:val="nil"/>
                    <w:tr2bl w:val="nil"/>
                  </w:tcBorders>
                  <w:noWrap w:val="0"/>
                  <w:vAlign w:val="center"/>
                </w:tcPr>
                <w:p w14:paraId="4699C93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7.2</w:t>
                  </w:r>
                </w:p>
              </w:tc>
              <w:tc>
                <w:tcPr>
                  <w:tcW w:w="842" w:type="pct"/>
                  <w:tcBorders>
                    <w:tl2br w:val="nil"/>
                    <w:tr2bl w:val="nil"/>
                  </w:tcBorders>
                  <w:noWrap w:val="0"/>
                  <w:vAlign w:val="center"/>
                </w:tcPr>
                <w:p w14:paraId="027A1FA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7.2</w:t>
                  </w:r>
                </w:p>
              </w:tc>
              <w:tc>
                <w:tcPr>
                  <w:tcW w:w="798" w:type="pct"/>
                  <w:tcBorders>
                    <w:tl2br w:val="nil"/>
                    <w:tr2bl w:val="nil"/>
                  </w:tcBorders>
                  <w:noWrap w:val="0"/>
                  <w:vAlign w:val="center"/>
                </w:tcPr>
                <w:p w14:paraId="0FB805D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6～9</w:t>
                  </w:r>
                </w:p>
              </w:tc>
              <w:tc>
                <w:tcPr>
                  <w:tcW w:w="572" w:type="pct"/>
                  <w:tcBorders>
                    <w:tl2br w:val="nil"/>
                    <w:tr2bl w:val="nil"/>
                  </w:tcBorders>
                  <w:noWrap w:val="0"/>
                  <w:vAlign w:val="center"/>
                </w:tcPr>
                <w:p w14:paraId="12EDB78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达标</w:t>
                  </w:r>
                </w:p>
              </w:tc>
            </w:tr>
            <w:tr w14:paraId="44B7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120" w:type="pct"/>
                  <w:tcBorders>
                    <w:tl2br w:val="nil"/>
                    <w:tr2bl w:val="nil"/>
                  </w:tcBorders>
                  <w:shd w:val="clear" w:color="auto" w:fill="auto"/>
                  <w:noWrap w:val="0"/>
                  <w:vAlign w:val="center"/>
                </w:tcPr>
                <w:p w14:paraId="1DA8DBA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Cs/>
                      <w:color w:val="auto"/>
                      <w:kern w:val="2"/>
                      <w:sz w:val="21"/>
                      <w:szCs w:val="21"/>
                      <w:highlight w:val="none"/>
                      <w:lang w:val="en-US" w:eastAsia="zh-CN" w:bidi="ar-SA"/>
                    </w:rPr>
                  </w:pPr>
                  <w:r>
                    <w:rPr>
                      <w:rFonts w:hint="eastAsia" w:ascii="Times New Roman" w:hAnsi="Times New Roman" w:cs="Times New Roman"/>
                      <w:b w:val="0"/>
                      <w:bCs w:val="0"/>
                      <w:color w:val="auto"/>
                      <w:kern w:val="0"/>
                      <w:sz w:val="21"/>
                      <w:szCs w:val="21"/>
                      <w:highlight w:val="none"/>
                      <w:lang w:val="en-US" w:eastAsia="zh-CN" w:bidi="ar"/>
                    </w:rPr>
                    <w:t>色度（倍）</w:t>
                  </w:r>
                </w:p>
              </w:tc>
              <w:tc>
                <w:tcPr>
                  <w:tcW w:w="830" w:type="pct"/>
                  <w:tcBorders>
                    <w:tl2br w:val="nil"/>
                    <w:tr2bl w:val="nil"/>
                  </w:tcBorders>
                  <w:shd w:val="clear" w:color="auto" w:fill="auto"/>
                  <w:noWrap w:val="0"/>
                  <w:vAlign w:val="center"/>
                </w:tcPr>
                <w:p w14:paraId="36D0237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&lt;</w:t>
                  </w:r>
                  <w:r>
                    <w:rPr>
                      <w:rFonts w:hint="eastAsia" w:ascii="Times New Roman" w:hAnsi="Times New Roman" w:eastAsia="宋体" w:cs="Times New Roman"/>
                      <w:color w:val="auto"/>
                      <w:sz w:val="21"/>
                      <w:szCs w:val="21"/>
                      <w:highlight w:val="none"/>
                      <w:lang w:val="en-US" w:eastAsia="zh-CN"/>
                    </w:rPr>
                    <w:t>2</w:t>
                  </w:r>
                </w:p>
              </w:tc>
              <w:tc>
                <w:tcPr>
                  <w:tcW w:w="834" w:type="pct"/>
                  <w:tcBorders>
                    <w:tl2br w:val="nil"/>
                    <w:tr2bl w:val="nil"/>
                  </w:tcBorders>
                  <w:shd w:val="clear" w:color="auto" w:fill="auto"/>
                  <w:noWrap w:val="0"/>
                  <w:vAlign w:val="center"/>
                </w:tcPr>
                <w:p w14:paraId="118A9F46">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&lt;</w:t>
                  </w:r>
                  <w:r>
                    <w:rPr>
                      <w:rFonts w:hint="eastAsia" w:ascii="Times New Roman" w:hAnsi="Times New Roman" w:eastAsia="宋体" w:cs="Times New Roman"/>
                      <w:color w:val="auto"/>
                      <w:sz w:val="21"/>
                      <w:szCs w:val="21"/>
                      <w:highlight w:val="none"/>
                      <w:lang w:val="en-US" w:eastAsia="zh-CN"/>
                    </w:rPr>
                    <w:t>2</w:t>
                  </w:r>
                </w:p>
              </w:tc>
              <w:tc>
                <w:tcPr>
                  <w:tcW w:w="842" w:type="pct"/>
                  <w:tcBorders>
                    <w:tl2br w:val="nil"/>
                    <w:tr2bl w:val="nil"/>
                  </w:tcBorders>
                  <w:shd w:val="clear" w:color="auto" w:fill="auto"/>
                  <w:noWrap w:val="0"/>
                  <w:vAlign w:val="center"/>
                </w:tcPr>
                <w:p w14:paraId="0F7D9EA8">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&lt;</w:t>
                  </w:r>
                  <w:r>
                    <w:rPr>
                      <w:rFonts w:hint="eastAsia" w:ascii="Times New Roman" w:hAnsi="Times New Roman" w:eastAsia="宋体" w:cs="Times New Roman"/>
                      <w:color w:val="auto"/>
                      <w:sz w:val="21"/>
                      <w:szCs w:val="21"/>
                      <w:highlight w:val="none"/>
                      <w:lang w:val="en-US" w:eastAsia="zh-CN"/>
                    </w:rPr>
                    <w:t>2</w:t>
                  </w:r>
                </w:p>
              </w:tc>
              <w:tc>
                <w:tcPr>
                  <w:tcW w:w="798" w:type="pct"/>
                  <w:tcBorders>
                    <w:tl2br w:val="nil"/>
                    <w:tr2bl w:val="nil"/>
                  </w:tcBorders>
                  <w:shd w:val="clear" w:color="auto" w:fill="auto"/>
                  <w:noWrap w:val="0"/>
                  <w:vAlign w:val="center"/>
                </w:tcPr>
                <w:p w14:paraId="317AAFF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64</w:t>
                  </w:r>
                </w:p>
              </w:tc>
              <w:tc>
                <w:tcPr>
                  <w:tcW w:w="572" w:type="pct"/>
                  <w:tcBorders>
                    <w:tl2br w:val="nil"/>
                    <w:tr2bl w:val="nil"/>
                  </w:tcBorders>
                  <w:shd w:val="clear" w:color="auto" w:fill="auto"/>
                  <w:noWrap w:val="0"/>
                  <w:vAlign w:val="center"/>
                </w:tcPr>
                <w:p w14:paraId="19015E7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达标</w:t>
                  </w:r>
                </w:p>
              </w:tc>
            </w:tr>
            <w:tr w14:paraId="7951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120" w:type="pct"/>
                  <w:tcBorders>
                    <w:tl2br w:val="nil"/>
                    <w:tr2bl w:val="nil"/>
                  </w:tcBorders>
                  <w:shd w:val="clear" w:color="auto" w:fill="auto"/>
                  <w:noWrap w:val="0"/>
                  <w:vAlign w:val="center"/>
                </w:tcPr>
                <w:p w14:paraId="07BA4F80">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sz w:val="21"/>
                      <w:szCs w:val="21"/>
                      <w:highlight w:val="none"/>
                    </w:rPr>
                    <w:t>化学需氧量</w:t>
                  </w:r>
                </w:p>
              </w:tc>
              <w:tc>
                <w:tcPr>
                  <w:tcW w:w="830" w:type="pct"/>
                  <w:tcBorders>
                    <w:tl2br w:val="nil"/>
                    <w:tr2bl w:val="nil"/>
                  </w:tcBorders>
                  <w:shd w:val="clear" w:color="auto" w:fill="auto"/>
                  <w:noWrap w:val="0"/>
                  <w:vAlign w:val="center"/>
                </w:tcPr>
                <w:p w14:paraId="27CD81D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472</w:t>
                  </w:r>
                </w:p>
              </w:tc>
              <w:tc>
                <w:tcPr>
                  <w:tcW w:w="834" w:type="pct"/>
                  <w:tcBorders>
                    <w:tl2br w:val="nil"/>
                    <w:tr2bl w:val="nil"/>
                  </w:tcBorders>
                  <w:shd w:val="clear" w:color="auto" w:fill="auto"/>
                  <w:noWrap w:val="0"/>
                  <w:vAlign w:val="center"/>
                </w:tcPr>
                <w:p w14:paraId="0A634FD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486</w:t>
                  </w:r>
                </w:p>
              </w:tc>
              <w:tc>
                <w:tcPr>
                  <w:tcW w:w="842" w:type="pct"/>
                  <w:tcBorders>
                    <w:tl2br w:val="nil"/>
                    <w:tr2bl w:val="nil"/>
                  </w:tcBorders>
                  <w:shd w:val="clear" w:color="auto" w:fill="auto"/>
                  <w:noWrap w:val="0"/>
                  <w:vAlign w:val="center"/>
                </w:tcPr>
                <w:p w14:paraId="669B5FA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479</w:t>
                  </w:r>
                </w:p>
              </w:tc>
              <w:tc>
                <w:tcPr>
                  <w:tcW w:w="798" w:type="pct"/>
                  <w:tcBorders>
                    <w:tl2br w:val="nil"/>
                    <w:tr2bl w:val="nil"/>
                  </w:tcBorders>
                  <w:shd w:val="clear" w:color="auto" w:fill="auto"/>
                  <w:noWrap w:val="0"/>
                  <w:vAlign w:val="center"/>
                </w:tcPr>
                <w:p w14:paraId="330F439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500</w:t>
                  </w:r>
                </w:p>
              </w:tc>
              <w:tc>
                <w:tcPr>
                  <w:tcW w:w="572" w:type="pct"/>
                  <w:tcBorders>
                    <w:tl2br w:val="nil"/>
                    <w:tr2bl w:val="nil"/>
                  </w:tcBorders>
                  <w:shd w:val="clear" w:color="auto" w:fill="auto"/>
                  <w:noWrap w:val="0"/>
                  <w:vAlign w:val="center"/>
                </w:tcPr>
                <w:p w14:paraId="005CF81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达标</w:t>
                  </w:r>
                </w:p>
              </w:tc>
            </w:tr>
            <w:tr w14:paraId="3F02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120" w:type="pct"/>
                  <w:tcBorders>
                    <w:tl2br w:val="nil"/>
                    <w:tr2bl w:val="nil"/>
                  </w:tcBorders>
                  <w:shd w:val="clear" w:color="auto" w:fill="auto"/>
                  <w:noWrap w:val="0"/>
                  <w:vAlign w:val="center"/>
                </w:tcPr>
                <w:p w14:paraId="58DD6278">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sz w:val="21"/>
                      <w:szCs w:val="21"/>
                      <w:highlight w:val="none"/>
                    </w:rPr>
                    <w:t>五日生化需氧量</w:t>
                  </w:r>
                </w:p>
              </w:tc>
              <w:tc>
                <w:tcPr>
                  <w:tcW w:w="830" w:type="pct"/>
                  <w:tcBorders>
                    <w:tl2br w:val="nil"/>
                    <w:tr2bl w:val="nil"/>
                  </w:tcBorders>
                  <w:shd w:val="clear" w:color="auto" w:fill="auto"/>
                  <w:noWrap w:val="0"/>
                  <w:vAlign w:val="center"/>
                </w:tcPr>
                <w:p w14:paraId="14C8EEB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204</w:t>
                  </w:r>
                </w:p>
              </w:tc>
              <w:tc>
                <w:tcPr>
                  <w:tcW w:w="834" w:type="pct"/>
                  <w:tcBorders>
                    <w:tl2br w:val="nil"/>
                    <w:tr2bl w:val="nil"/>
                  </w:tcBorders>
                  <w:shd w:val="clear" w:color="auto" w:fill="auto"/>
                  <w:noWrap w:val="0"/>
                  <w:vAlign w:val="center"/>
                </w:tcPr>
                <w:p w14:paraId="30C2A32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216</w:t>
                  </w:r>
                </w:p>
              </w:tc>
              <w:tc>
                <w:tcPr>
                  <w:tcW w:w="842" w:type="pct"/>
                  <w:tcBorders>
                    <w:tl2br w:val="nil"/>
                    <w:tr2bl w:val="nil"/>
                  </w:tcBorders>
                  <w:shd w:val="clear" w:color="auto" w:fill="auto"/>
                  <w:noWrap w:val="0"/>
                  <w:vAlign w:val="center"/>
                </w:tcPr>
                <w:p w14:paraId="500A1E7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207</w:t>
                  </w:r>
                </w:p>
              </w:tc>
              <w:tc>
                <w:tcPr>
                  <w:tcW w:w="798" w:type="pct"/>
                  <w:tcBorders>
                    <w:tl2br w:val="nil"/>
                    <w:tr2bl w:val="nil"/>
                  </w:tcBorders>
                  <w:shd w:val="clear" w:color="auto" w:fill="auto"/>
                  <w:noWrap w:val="0"/>
                  <w:vAlign w:val="center"/>
                </w:tcPr>
                <w:p w14:paraId="02A3D16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300</w:t>
                  </w:r>
                </w:p>
              </w:tc>
              <w:tc>
                <w:tcPr>
                  <w:tcW w:w="572" w:type="pct"/>
                  <w:tcBorders>
                    <w:tl2br w:val="nil"/>
                    <w:tr2bl w:val="nil"/>
                  </w:tcBorders>
                  <w:shd w:val="clear" w:color="auto" w:fill="auto"/>
                  <w:noWrap w:val="0"/>
                  <w:vAlign w:val="center"/>
                </w:tcPr>
                <w:p w14:paraId="52BC3FE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达标</w:t>
                  </w:r>
                </w:p>
              </w:tc>
            </w:tr>
            <w:tr w14:paraId="427B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0" w:type="pct"/>
                  <w:tcBorders>
                    <w:tl2br w:val="nil"/>
                    <w:tr2bl w:val="nil"/>
                  </w:tcBorders>
                  <w:shd w:val="clear" w:color="auto" w:fill="auto"/>
                  <w:noWrap w:val="0"/>
                  <w:vAlign w:val="center"/>
                </w:tcPr>
                <w:p w14:paraId="3BF5208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氨氮</w:t>
                  </w:r>
                </w:p>
              </w:tc>
              <w:tc>
                <w:tcPr>
                  <w:tcW w:w="830" w:type="pct"/>
                  <w:tcBorders>
                    <w:tl2br w:val="nil"/>
                    <w:tr2bl w:val="nil"/>
                  </w:tcBorders>
                  <w:shd w:val="clear" w:color="auto" w:fill="auto"/>
                  <w:noWrap w:val="0"/>
                  <w:vAlign w:val="center"/>
                </w:tcPr>
                <w:p w14:paraId="5B28E2D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2.27</w:t>
                  </w:r>
                </w:p>
              </w:tc>
              <w:tc>
                <w:tcPr>
                  <w:tcW w:w="834" w:type="pct"/>
                  <w:tcBorders>
                    <w:tl2br w:val="nil"/>
                    <w:tr2bl w:val="nil"/>
                  </w:tcBorders>
                  <w:shd w:val="clear" w:color="auto" w:fill="auto"/>
                  <w:noWrap w:val="0"/>
                  <w:vAlign w:val="center"/>
                </w:tcPr>
                <w:p w14:paraId="1CDAF25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2.29</w:t>
                  </w:r>
                </w:p>
              </w:tc>
              <w:tc>
                <w:tcPr>
                  <w:tcW w:w="842" w:type="pct"/>
                  <w:tcBorders>
                    <w:tl2br w:val="nil"/>
                    <w:tr2bl w:val="nil"/>
                  </w:tcBorders>
                  <w:shd w:val="clear" w:color="auto" w:fill="auto"/>
                  <w:noWrap w:val="0"/>
                  <w:vAlign w:val="center"/>
                </w:tcPr>
                <w:p w14:paraId="2416C9A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2.26</w:t>
                  </w:r>
                </w:p>
              </w:tc>
              <w:tc>
                <w:tcPr>
                  <w:tcW w:w="798" w:type="pct"/>
                  <w:tcBorders>
                    <w:tl2br w:val="nil"/>
                    <w:tr2bl w:val="nil"/>
                  </w:tcBorders>
                  <w:shd w:val="clear" w:color="auto" w:fill="auto"/>
                  <w:noWrap w:val="0"/>
                  <w:vAlign w:val="center"/>
                </w:tcPr>
                <w:p w14:paraId="31B39F8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45</w:t>
                  </w:r>
                </w:p>
              </w:tc>
              <w:tc>
                <w:tcPr>
                  <w:tcW w:w="572" w:type="pct"/>
                  <w:tcBorders>
                    <w:tl2br w:val="nil"/>
                    <w:tr2bl w:val="nil"/>
                  </w:tcBorders>
                  <w:shd w:val="clear" w:color="auto" w:fill="auto"/>
                  <w:noWrap w:val="0"/>
                  <w:vAlign w:val="center"/>
                </w:tcPr>
                <w:p w14:paraId="2BC0170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达标</w:t>
                  </w:r>
                </w:p>
              </w:tc>
            </w:tr>
            <w:tr w14:paraId="5538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0" w:type="pct"/>
                  <w:tcBorders>
                    <w:tl2br w:val="nil"/>
                    <w:tr2bl w:val="nil"/>
                  </w:tcBorders>
                  <w:shd w:val="clear" w:color="auto" w:fill="auto"/>
                  <w:noWrap w:val="0"/>
                  <w:vAlign w:val="center"/>
                </w:tcPr>
                <w:p w14:paraId="4121AD1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b w:val="0"/>
                      <w:bCs w:val="0"/>
                      <w:color w:val="auto"/>
                      <w:kern w:val="0"/>
                      <w:sz w:val="21"/>
                      <w:szCs w:val="21"/>
                      <w:highlight w:val="none"/>
                      <w:lang w:val="en-US" w:eastAsia="zh-CN" w:bidi="ar"/>
                    </w:rPr>
                    <w:t>总磷</w:t>
                  </w:r>
                </w:p>
              </w:tc>
              <w:tc>
                <w:tcPr>
                  <w:tcW w:w="830" w:type="pct"/>
                  <w:tcBorders>
                    <w:tl2br w:val="nil"/>
                    <w:tr2bl w:val="nil"/>
                  </w:tcBorders>
                  <w:shd w:val="clear" w:color="auto" w:fill="auto"/>
                  <w:noWrap w:val="0"/>
                  <w:vAlign w:val="center"/>
                </w:tcPr>
                <w:p w14:paraId="4336CA1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0.27</w:t>
                  </w:r>
                </w:p>
              </w:tc>
              <w:tc>
                <w:tcPr>
                  <w:tcW w:w="834" w:type="pct"/>
                  <w:tcBorders>
                    <w:tl2br w:val="nil"/>
                    <w:tr2bl w:val="nil"/>
                  </w:tcBorders>
                  <w:shd w:val="clear" w:color="auto" w:fill="auto"/>
                  <w:noWrap w:val="0"/>
                  <w:vAlign w:val="center"/>
                </w:tcPr>
                <w:p w14:paraId="458C176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0.28</w:t>
                  </w:r>
                </w:p>
              </w:tc>
              <w:tc>
                <w:tcPr>
                  <w:tcW w:w="842" w:type="pct"/>
                  <w:tcBorders>
                    <w:tl2br w:val="nil"/>
                    <w:tr2bl w:val="nil"/>
                  </w:tcBorders>
                  <w:shd w:val="clear" w:color="auto" w:fill="auto"/>
                  <w:noWrap w:val="0"/>
                  <w:vAlign w:val="center"/>
                </w:tcPr>
                <w:p w14:paraId="45ED077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0.25</w:t>
                  </w:r>
                </w:p>
              </w:tc>
              <w:tc>
                <w:tcPr>
                  <w:tcW w:w="798" w:type="pct"/>
                  <w:tcBorders>
                    <w:tl2br w:val="nil"/>
                    <w:tr2bl w:val="nil"/>
                  </w:tcBorders>
                  <w:shd w:val="clear" w:color="auto" w:fill="auto"/>
                  <w:noWrap w:val="0"/>
                  <w:vAlign w:val="center"/>
                </w:tcPr>
                <w:p w14:paraId="6B8C802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8</w:t>
                  </w:r>
                </w:p>
              </w:tc>
              <w:tc>
                <w:tcPr>
                  <w:tcW w:w="572" w:type="pct"/>
                  <w:tcBorders>
                    <w:tl2br w:val="nil"/>
                    <w:tr2bl w:val="nil"/>
                  </w:tcBorders>
                  <w:shd w:val="clear" w:color="auto" w:fill="auto"/>
                  <w:noWrap w:val="0"/>
                  <w:vAlign w:val="center"/>
                </w:tcPr>
                <w:p w14:paraId="215AA6D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达标</w:t>
                  </w:r>
                </w:p>
              </w:tc>
            </w:tr>
            <w:tr w14:paraId="14377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120" w:type="pct"/>
                  <w:tcBorders>
                    <w:tl2br w:val="nil"/>
                    <w:tr2bl w:val="nil"/>
                  </w:tcBorders>
                  <w:shd w:val="clear" w:color="auto" w:fill="auto"/>
                  <w:noWrap w:val="0"/>
                  <w:vAlign w:val="center"/>
                </w:tcPr>
                <w:p w14:paraId="7B89F28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悬浮物</w:t>
                  </w:r>
                </w:p>
              </w:tc>
              <w:tc>
                <w:tcPr>
                  <w:tcW w:w="830" w:type="pct"/>
                  <w:tcBorders>
                    <w:tl2br w:val="nil"/>
                    <w:tr2bl w:val="nil"/>
                  </w:tcBorders>
                  <w:shd w:val="clear" w:color="auto" w:fill="auto"/>
                  <w:noWrap w:val="0"/>
                  <w:vAlign w:val="center"/>
                </w:tcPr>
                <w:p w14:paraId="5EF2128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31</w:t>
                  </w:r>
                </w:p>
              </w:tc>
              <w:tc>
                <w:tcPr>
                  <w:tcW w:w="834" w:type="pct"/>
                  <w:tcBorders>
                    <w:tl2br w:val="nil"/>
                    <w:tr2bl w:val="nil"/>
                  </w:tcBorders>
                  <w:shd w:val="clear" w:color="auto" w:fill="auto"/>
                  <w:noWrap w:val="0"/>
                  <w:vAlign w:val="center"/>
                </w:tcPr>
                <w:p w14:paraId="35A7773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36</w:t>
                  </w:r>
                </w:p>
              </w:tc>
              <w:tc>
                <w:tcPr>
                  <w:tcW w:w="842" w:type="pct"/>
                  <w:tcBorders>
                    <w:tl2br w:val="nil"/>
                    <w:tr2bl w:val="nil"/>
                  </w:tcBorders>
                  <w:shd w:val="clear" w:color="auto" w:fill="auto"/>
                  <w:noWrap w:val="0"/>
                  <w:vAlign w:val="center"/>
                </w:tcPr>
                <w:p w14:paraId="751DD6B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28</w:t>
                  </w:r>
                </w:p>
              </w:tc>
              <w:tc>
                <w:tcPr>
                  <w:tcW w:w="798" w:type="pct"/>
                  <w:tcBorders>
                    <w:tl2br w:val="nil"/>
                    <w:tr2bl w:val="nil"/>
                  </w:tcBorders>
                  <w:shd w:val="clear" w:color="auto" w:fill="auto"/>
                  <w:noWrap w:val="0"/>
                  <w:vAlign w:val="center"/>
                </w:tcPr>
                <w:p w14:paraId="1C01667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400</w:t>
                  </w:r>
                </w:p>
              </w:tc>
              <w:tc>
                <w:tcPr>
                  <w:tcW w:w="572" w:type="pct"/>
                  <w:tcBorders>
                    <w:tl2br w:val="nil"/>
                    <w:tr2bl w:val="nil"/>
                  </w:tcBorders>
                  <w:shd w:val="clear" w:color="auto" w:fill="auto"/>
                  <w:noWrap w:val="0"/>
                  <w:vAlign w:val="center"/>
                </w:tcPr>
                <w:p w14:paraId="5A0D088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达标</w:t>
                  </w:r>
                </w:p>
              </w:tc>
            </w:tr>
            <w:tr w14:paraId="21AB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000" w:type="pct"/>
                  <w:gridSpan w:val="6"/>
                  <w:tcBorders>
                    <w:tl2br w:val="nil"/>
                    <w:tr2bl w:val="nil"/>
                  </w:tcBorders>
                  <w:shd w:val="clear" w:color="auto" w:fill="auto"/>
                  <w:noWrap w:val="0"/>
                  <w:vAlign w:val="center"/>
                </w:tcPr>
                <w:p w14:paraId="057271B9">
                  <w:pPr>
                    <w:keepNext w:val="0"/>
                    <w:keepLines w:val="0"/>
                    <w:pageBreakBefore w:val="0"/>
                    <w:kinsoku/>
                    <w:wordWrap/>
                    <w:overflowPunct/>
                    <w:topLinePunct w:val="0"/>
                    <w:autoSpaceDE/>
                    <w:autoSpaceDN/>
                    <w:bidi w:val="0"/>
                    <w:adjustRightInd/>
                    <w:snapToGrid/>
                    <w:spacing w:line="240" w:lineRule="auto"/>
                    <w:jc w:val="left"/>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备注：“&lt;+数值”表示检测结果低于方法检出限。</w:t>
                  </w:r>
                </w:p>
              </w:tc>
            </w:tr>
          </w:tbl>
          <w:p w14:paraId="0DBDFAF7">
            <w:pPr>
              <w:pStyle w:val="51"/>
              <w:jc w:val="both"/>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根据监测结果，</w:t>
            </w:r>
            <w:r>
              <w:rPr>
                <w:rFonts w:hint="eastAsia" w:cs="Times New Roman"/>
                <w:caps w:val="0"/>
                <w:smallCaps w:val="0"/>
                <w:color w:val="auto"/>
                <w:sz w:val="24"/>
                <w:szCs w:val="24"/>
                <w:highlight w:val="none"/>
                <w:lang w:val="en-US" w:eastAsia="zh-CN"/>
              </w:rPr>
              <w:t>生产废水总排口（DW001）外排废水</w:t>
            </w:r>
            <w:r>
              <w:rPr>
                <w:rFonts w:hint="default" w:ascii="Times New Roman" w:hAnsi="Times New Roman" w:eastAsia="宋体" w:cs="Times New Roman"/>
                <w:color w:val="auto"/>
                <w:highlight w:val="none"/>
                <w:lang w:val="en-US" w:eastAsia="zh-CN"/>
              </w:rPr>
              <w:t>水质满足</w:t>
            </w:r>
            <w:r>
              <w:rPr>
                <w:rFonts w:hint="default" w:ascii="Times New Roman" w:hAnsi="Times New Roman" w:cs="Times New Roman"/>
                <w:b w:val="0"/>
                <w:bCs w:val="0"/>
                <w:color w:val="auto"/>
                <w:sz w:val="24"/>
                <w:szCs w:val="24"/>
              </w:rPr>
              <w:t>《污水综合排放标准》（GB8978-1996）</w:t>
            </w:r>
            <w:r>
              <w:rPr>
                <w:rFonts w:hint="eastAsia" w:ascii="Times New Roman" w:hAnsi="Times New Roman" w:cs="Times New Roman"/>
                <w:b w:val="0"/>
                <w:bCs w:val="0"/>
                <w:color w:val="auto"/>
                <w:sz w:val="24"/>
                <w:szCs w:val="24"/>
                <w:lang w:val="en-US" w:eastAsia="zh-CN"/>
              </w:rPr>
              <w:t>三级标准</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氨氮、总磷达到</w:t>
            </w:r>
            <w:r>
              <w:rPr>
                <w:color w:val="auto"/>
                <w:sz w:val="24"/>
                <w:szCs w:val="24"/>
                <w:highlight w:val="none"/>
              </w:rPr>
              <w:t>《</w:t>
            </w:r>
            <w:r>
              <w:rPr>
                <w:bCs/>
                <w:color w:val="auto"/>
                <w:sz w:val="24"/>
                <w:szCs w:val="24"/>
                <w:highlight w:val="none"/>
              </w:rPr>
              <w:t>污水排入城镇下水道水质标准</w:t>
            </w:r>
            <w:r>
              <w:rPr>
                <w:color w:val="auto"/>
                <w:sz w:val="24"/>
                <w:szCs w:val="24"/>
                <w:highlight w:val="none"/>
              </w:rPr>
              <w:t>》（</w:t>
            </w:r>
            <w:r>
              <w:rPr>
                <w:bCs/>
                <w:color w:val="auto"/>
                <w:sz w:val="24"/>
                <w:szCs w:val="24"/>
                <w:highlight w:val="none"/>
              </w:rPr>
              <w:t>GB/T31962-2015</w:t>
            </w:r>
            <w:r>
              <w:rPr>
                <w:color w:val="auto"/>
                <w:sz w:val="24"/>
                <w:szCs w:val="24"/>
                <w:highlight w:val="none"/>
              </w:rPr>
              <w:t>）</w:t>
            </w:r>
            <w:r>
              <w:rPr>
                <w:bCs/>
                <w:color w:val="auto"/>
                <w:sz w:val="24"/>
                <w:szCs w:val="24"/>
                <w:highlight w:val="none"/>
              </w:rPr>
              <w:t>B等级标准</w:t>
            </w:r>
            <w:r>
              <w:rPr>
                <w:rFonts w:hint="default" w:ascii="Times New Roman" w:hAnsi="Times New Roman" w:eastAsia="宋体" w:cs="Times New Roman"/>
                <w:color w:val="auto"/>
                <w:highlight w:val="none"/>
                <w:lang w:val="en-US" w:eastAsia="zh-CN"/>
              </w:rPr>
              <w:t>。</w:t>
            </w:r>
          </w:p>
          <w:p w14:paraId="0354276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噪声</w:t>
            </w:r>
            <w:r>
              <w:rPr>
                <w:rFonts w:hint="eastAsia" w:cs="Times New Roman"/>
                <w:b/>
                <w:bCs/>
                <w:color w:val="auto"/>
                <w:sz w:val="24"/>
                <w:szCs w:val="24"/>
                <w:highlight w:val="none"/>
                <w:lang w:val="en-US" w:eastAsia="zh-CN"/>
              </w:rPr>
              <w:t>达标排放情况</w:t>
            </w:r>
          </w:p>
          <w:p w14:paraId="3F8CA1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color w:val="auto"/>
                <w:sz w:val="24"/>
                <w:lang w:val="en-US" w:eastAsia="zh-CN"/>
              </w:rPr>
            </w:pPr>
            <w:r>
              <w:rPr>
                <w:rFonts w:hint="eastAsia"/>
                <w:color w:val="auto"/>
                <w:sz w:val="24"/>
                <w:lang w:val="en-US" w:eastAsia="zh-CN"/>
              </w:rPr>
              <w:t>现有项目噪声主要来源于</w:t>
            </w:r>
            <w:r>
              <w:rPr>
                <w:rFonts w:hint="default" w:ascii="Times New Roman" w:hAnsi="Times New Roman" w:cs="Times New Roman"/>
                <w:color w:val="auto"/>
                <w:sz w:val="24"/>
                <w:szCs w:val="24"/>
                <w:highlight w:val="none"/>
                <w:lang w:val="en-US" w:eastAsia="zh-CN"/>
              </w:rPr>
              <w:t>清洗机、输送机、提升机、空压机</w:t>
            </w:r>
            <w:r>
              <w:rPr>
                <w:rFonts w:hint="default" w:ascii="Times New Roman" w:hAnsi="Times New Roman" w:cs="Times New Roman"/>
                <w:color w:val="auto"/>
                <w:sz w:val="24"/>
                <w:szCs w:val="24"/>
                <w:highlight w:val="none"/>
                <w:lang w:eastAsia="zh-CN"/>
              </w:rPr>
              <w:t>等运行过程中产生的噪声</w:t>
            </w:r>
            <w:r>
              <w:rPr>
                <w:rFonts w:hint="eastAsia" w:ascii="Times New Roman" w:hAnsi="Times New Roman" w:cs="Times New Roman"/>
                <w:color w:val="auto"/>
                <w:sz w:val="24"/>
                <w:szCs w:val="24"/>
                <w:highlight w:val="none"/>
                <w:lang w:eastAsia="zh-CN"/>
              </w:rPr>
              <w:t>。</w:t>
            </w:r>
          </w:p>
          <w:p w14:paraId="1ADDC1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auto"/>
                <w:sz w:val="24"/>
                <w:szCs w:val="24"/>
                <w:highlight w:val="none"/>
              </w:rPr>
            </w:pPr>
            <w:r>
              <w:rPr>
                <w:rFonts w:hint="eastAsia" w:ascii="Times New Roman" w:hAnsi="Times New Roman" w:cs="Times New Roman"/>
                <w:caps w:val="0"/>
                <w:smallCaps w:val="0"/>
                <w:color w:val="auto"/>
                <w:sz w:val="24"/>
                <w:szCs w:val="24"/>
                <w:highlight w:val="none"/>
                <w:lang w:val="en-US" w:eastAsia="zh-CN"/>
              </w:rPr>
              <w:t>根据</w:t>
            </w:r>
            <w:r>
              <w:rPr>
                <w:rFonts w:hint="eastAsia" w:cs="Times New Roman"/>
                <w:caps w:val="0"/>
                <w:smallCaps w:val="0"/>
                <w:color w:val="auto"/>
                <w:sz w:val="24"/>
                <w:szCs w:val="24"/>
                <w:highlight w:val="none"/>
                <w:lang w:val="en-US" w:eastAsia="zh-CN"/>
              </w:rPr>
              <w:t>2024年</w:t>
            </w:r>
            <w:r>
              <w:rPr>
                <w:rFonts w:hint="eastAsia" w:ascii="Times New Roman" w:hAnsi="Times New Roman" w:cs="Times New Roman"/>
                <w:caps w:val="0"/>
                <w:smallCaps w:val="0"/>
                <w:color w:val="auto"/>
                <w:sz w:val="24"/>
                <w:szCs w:val="24"/>
                <w:highlight w:val="none"/>
                <w:lang w:val="en-US" w:eastAsia="zh-CN"/>
              </w:rPr>
              <w:t>《云南果研社农业科技发展有限公司自行监测（第三季度）</w:t>
            </w:r>
            <w:r>
              <w:rPr>
                <w:rFonts w:hint="eastAsia" w:cs="Times New Roman"/>
                <w:caps w:val="0"/>
                <w:smallCaps w:val="0"/>
                <w:color w:val="auto"/>
                <w:sz w:val="24"/>
                <w:szCs w:val="24"/>
                <w:highlight w:val="none"/>
                <w:lang w:val="en-US" w:eastAsia="zh-CN"/>
              </w:rPr>
              <w:t>检测报告</w:t>
            </w:r>
            <w:r>
              <w:rPr>
                <w:rFonts w:hint="eastAsia" w:ascii="Times New Roman" w:hAnsi="Times New Roman" w:cs="Times New Roman"/>
                <w:caps w:val="0"/>
                <w:smallCaps w:val="0"/>
                <w:color w:val="auto"/>
                <w:sz w:val="24"/>
                <w:szCs w:val="24"/>
                <w:highlight w:val="none"/>
                <w:lang w:val="en-US" w:eastAsia="zh-CN"/>
              </w:rPr>
              <w:t>》</w:t>
            </w:r>
            <w:r>
              <w:rPr>
                <w:rFonts w:hint="eastAsia" w:cs="Times New Roman"/>
                <w:caps w:val="0"/>
                <w:smallCaps w:val="0"/>
                <w:color w:val="auto"/>
                <w:sz w:val="24"/>
                <w:szCs w:val="24"/>
                <w:highlight w:val="none"/>
                <w:lang w:val="en-US" w:eastAsia="zh-CN"/>
              </w:rPr>
              <w:t>（YNHP24080510），</w:t>
            </w:r>
            <w:r>
              <w:rPr>
                <w:rFonts w:hint="eastAsia" w:ascii="Times New Roman" w:hAnsi="Times New Roman" w:cs="Times New Roman"/>
                <w:caps w:val="0"/>
                <w:smallCaps w:val="0"/>
                <w:color w:val="auto"/>
                <w:sz w:val="24"/>
                <w:szCs w:val="24"/>
                <w:highlight w:val="none"/>
                <w:lang w:val="en-US" w:eastAsia="zh-CN"/>
              </w:rPr>
              <w:t>厂界噪声监测结果如下：</w:t>
            </w:r>
          </w:p>
          <w:p w14:paraId="554A159D">
            <w:pPr>
              <w:ind w:firstLine="422" w:firstLineChars="20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eastAsia" w:cs="Times New Roman"/>
                <w:b/>
                <w:color w:val="auto"/>
                <w:sz w:val="21"/>
                <w:szCs w:val="21"/>
                <w:highlight w:val="none"/>
                <w:lang w:val="en-US" w:eastAsia="zh-CN"/>
              </w:rPr>
              <w:t>2-24</w:t>
            </w:r>
            <w:r>
              <w:rPr>
                <w:rFonts w:hint="default" w:ascii="Times New Roman" w:hAnsi="Times New Roman" w:cs="Times New Roman"/>
                <w:b/>
                <w:color w:val="auto"/>
                <w:sz w:val="21"/>
                <w:szCs w:val="21"/>
                <w:highlight w:val="none"/>
              </w:rPr>
              <w:t xml:space="preserve">   厂界噪声</w:t>
            </w:r>
            <w:r>
              <w:rPr>
                <w:rFonts w:hint="eastAsia" w:cs="Times New Roman"/>
                <w:b/>
                <w:color w:val="auto"/>
                <w:sz w:val="21"/>
                <w:szCs w:val="21"/>
                <w:highlight w:val="none"/>
                <w:lang w:val="en-US" w:eastAsia="zh-CN"/>
              </w:rPr>
              <w:t>监测结果</w:t>
            </w:r>
            <w:r>
              <w:rPr>
                <w:rFonts w:hint="default" w:ascii="Times New Roman" w:hAnsi="Times New Roman" w:cs="Times New Roman"/>
                <w:b/>
                <w:color w:val="auto"/>
                <w:sz w:val="21"/>
                <w:szCs w:val="21"/>
                <w:highlight w:val="none"/>
              </w:rPr>
              <w:t xml:space="preserve">    单位：dB(A)</w:t>
            </w:r>
          </w:p>
          <w:tbl>
            <w:tblPr>
              <w:tblStyle w:val="22"/>
              <w:tblW w:w="4935"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090"/>
              <w:gridCol w:w="1951"/>
              <w:gridCol w:w="1130"/>
              <w:gridCol w:w="1201"/>
              <w:gridCol w:w="2571"/>
            </w:tblGrid>
            <w:tr w14:paraId="0C7BB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tblHeader/>
              </w:trPr>
              <w:tc>
                <w:tcPr>
                  <w:tcW w:w="686" w:type="pct"/>
                  <w:vMerge w:val="restart"/>
                  <w:tcBorders>
                    <w:tl2br w:val="nil"/>
                    <w:tr2bl w:val="nil"/>
                  </w:tcBorders>
                  <w:noWrap w:val="0"/>
                  <w:vAlign w:val="center"/>
                </w:tcPr>
                <w:p w14:paraId="799D921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监测时间</w:t>
                  </w:r>
                </w:p>
              </w:tc>
              <w:tc>
                <w:tcPr>
                  <w:tcW w:w="1228" w:type="pct"/>
                  <w:vMerge w:val="restart"/>
                  <w:tcBorders>
                    <w:tl2br w:val="nil"/>
                    <w:tr2bl w:val="nil"/>
                  </w:tcBorders>
                  <w:noWrap w:val="0"/>
                  <w:vAlign w:val="center"/>
                </w:tcPr>
                <w:p w14:paraId="2D06B21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监测点</w:t>
                  </w:r>
                </w:p>
              </w:tc>
              <w:tc>
                <w:tcPr>
                  <w:tcW w:w="1467" w:type="pct"/>
                  <w:gridSpan w:val="2"/>
                  <w:tcBorders>
                    <w:tl2br w:val="nil"/>
                    <w:tr2bl w:val="nil"/>
                  </w:tcBorders>
                  <w:noWrap w:val="0"/>
                  <w:vAlign w:val="center"/>
                </w:tcPr>
                <w:p w14:paraId="47E343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检测值 LeqdB（A）</w:t>
                  </w:r>
                </w:p>
              </w:tc>
              <w:tc>
                <w:tcPr>
                  <w:tcW w:w="1618" w:type="pct"/>
                  <w:vMerge w:val="restart"/>
                  <w:tcBorders>
                    <w:tl2br w:val="nil"/>
                    <w:tr2bl w:val="nil"/>
                  </w:tcBorders>
                  <w:noWrap w:val="0"/>
                  <w:vAlign w:val="center"/>
                </w:tcPr>
                <w:p w14:paraId="498FD9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主要声源</w:t>
                  </w:r>
                </w:p>
              </w:tc>
            </w:tr>
            <w:tr w14:paraId="17654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tblHeader/>
              </w:trPr>
              <w:tc>
                <w:tcPr>
                  <w:tcW w:w="686" w:type="pct"/>
                  <w:vMerge w:val="continue"/>
                  <w:tcBorders>
                    <w:tl2br w:val="nil"/>
                    <w:tr2bl w:val="nil"/>
                  </w:tcBorders>
                  <w:noWrap w:val="0"/>
                  <w:vAlign w:val="center"/>
                </w:tcPr>
                <w:p w14:paraId="0DE40563">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eastAsia="宋体" w:cs="Times New Roman"/>
                      <w:b/>
                      <w:bCs/>
                      <w:i w:val="0"/>
                      <w:color w:val="auto"/>
                      <w:sz w:val="21"/>
                      <w:szCs w:val="21"/>
                      <w:highlight w:val="none"/>
                      <w:u w:val="none"/>
                    </w:rPr>
                  </w:pPr>
                </w:p>
              </w:tc>
              <w:tc>
                <w:tcPr>
                  <w:tcW w:w="1228" w:type="pct"/>
                  <w:vMerge w:val="continue"/>
                  <w:tcBorders>
                    <w:tl2br w:val="nil"/>
                    <w:tr2bl w:val="nil"/>
                  </w:tcBorders>
                  <w:noWrap w:val="0"/>
                  <w:vAlign w:val="center"/>
                </w:tcPr>
                <w:p w14:paraId="7575EDA3">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eastAsia="宋体" w:cs="Times New Roman"/>
                      <w:b/>
                      <w:bCs/>
                      <w:i w:val="0"/>
                      <w:color w:val="auto"/>
                      <w:sz w:val="21"/>
                      <w:szCs w:val="21"/>
                      <w:highlight w:val="none"/>
                      <w:u w:val="none"/>
                    </w:rPr>
                  </w:pPr>
                </w:p>
              </w:tc>
              <w:tc>
                <w:tcPr>
                  <w:tcW w:w="711" w:type="pct"/>
                  <w:tcBorders>
                    <w:tl2br w:val="nil"/>
                    <w:tr2bl w:val="nil"/>
                  </w:tcBorders>
                  <w:noWrap w:val="0"/>
                  <w:vAlign w:val="center"/>
                </w:tcPr>
                <w:p w14:paraId="1F48EF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昼间</w:t>
                  </w:r>
                </w:p>
              </w:tc>
              <w:tc>
                <w:tcPr>
                  <w:tcW w:w="755" w:type="pct"/>
                  <w:tcBorders>
                    <w:tl2br w:val="nil"/>
                    <w:tr2bl w:val="nil"/>
                  </w:tcBorders>
                  <w:noWrap w:val="0"/>
                  <w:vAlign w:val="center"/>
                </w:tcPr>
                <w:p w14:paraId="3A7823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夜间</w:t>
                  </w:r>
                </w:p>
              </w:tc>
              <w:tc>
                <w:tcPr>
                  <w:tcW w:w="1618" w:type="pct"/>
                  <w:vMerge w:val="continue"/>
                  <w:tcBorders>
                    <w:tl2br w:val="nil"/>
                    <w:tr2bl w:val="nil"/>
                  </w:tcBorders>
                  <w:noWrap w:val="0"/>
                  <w:vAlign w:val="center"/>
                </w:tcPr>
                <w:p w14:paraId="26D997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p>
              </w:tc>
            </w:tr>
            <w:tr w14:paraId="67048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686" w:type="pct"/>
                  <w:vMerge w:val="restart"/>
                  <w:tcBorders>
                    <w:tl2br w:val="nil"/>
                    <w:tr2bl w:val="nil"/>
                  </w:tcBorders>
                  <w:noWrap w:val="0"/>
                  <w:vAlign w:val="center"/>
                </w:tcPr>
                <w:p w14:paraId="752E5033">
                  <w:pPr>
                    <w:pStyle w:val="73"/>
                    <w:rPr>
                      <w:rFonts w:hint="default" w:ascii="Times New Roman" w:hAnsi="Times New Roman" w:eastAsia="宋体" w:cs="Times New Roman"/>
                      <w:b w:val="0"/>
                      <w:bCs/>
                      <w:i w:val="0"/>
                      <w:color w:val="auto"/>
                      <w:sz w:val="21"/>
                      <w:szCs w:val="21"/>
                      <w:highlight w:val="none"/>
                      <w:u w:val="none"/>
                      <w:lang w:val="en-US"/>
                    </w:rPr>
                  </w:pPr>
                  <w:r>
                    <w:rPr>
                      <w:rFonts w:hint="eastAsia" w:cs="Times New Roman"/>
                      <w:color w:val="auto"/>
                      <w:sz w:val="21"/>
                      <w:szCs w:val="21"/>
                      <w:highlight w:val="none"/>
                      <w:lang w:val="en-US" w:eastAsia="zh-CN"/>
                    </w:rPr>
                    <w:t>2024.08.12</w:t>
                  </w:r>
                </w:p>
              </w:tc>
              <w:tc>
                <w:tcPr>
                  <w:tcW w:w="1228" w:type="pct"/>
                  <w:tcBorders>
                    <w:tl2br w:val="nil"/>
                    <w:tr2bl w:val="nil"/>
                  </w:tcBorders>
                  <w:noWrap w:val="0"/>
                  <w:vAlign w:val="center"/>
                </w:tcPr>
                <w:p w14:paraId="67BF27CE">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bidi="zh-CN"/>
                    </w:rPr>
                  </w:pPr>
                  <w:r>
                    <w:rPr>
                      <w:rFonts w:hint="eastAsia" w:cs="Times New Roman"/>
                      <w:b w:val="0"/>
                      <w:bCs w:val="0"/>
                      <w:caps w:val="0"/>
                      <w:smallCaps w:val="0"/>
                      <w:color w:val="auto"/>
                      <w:sz w:val="21"/>
                      <w:szCs w:val="21"/>
                      <w:highlight w:val="none"/>
                      <w:lang w:val="en-US" w:eastAsia="zh-CN" w:bidi="zh-CN"/>
                    </w:rPr>
                    <w:t>厂界1#（东侧）</w:t>
                  </w:r>
                </w:p>
              </w:tc>
              <w:tc>
                <w:tcPr>
                  <w:tcW w:w="711" w:type="pct"/>
                  <w:tcBorders>
                    <w:tl2br w:val="nil"/>
                    <w:tr2bl w:val="nil"/>
                  </w:tcBorders>
                  <w:noWrap w:val="0"/>
                  <w:vAlign w:val="center"/>
                </w:tcPr>
                <w:p w14:paraId="5D776607">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bidi="zh-CN"/>
                    </w:rPr>
                  </w:pPr>
                  <w:r>
                    <w:rPr>
                      <w:rFonts w:hint="eastAsia" w:cs="Times New Roman"/>
                      <w:b w:val="0"/>
                      <w:bCs w:val="0"/>
                      <w:caps w:val="0"/>
                      <w:smallCaps w:val="0"/>
                      <w:color w:val="auto"/>
                      <w:sz w:val="21"/>
                      <w:szCs w:val="21"/>
                      <w:highlight w:val="none"/>
                      <w:lang w:val="en-US" w:eastAsia="zh-CN" w:bidi="zh-CN"/>
                    </w:rPr>
                    <w:t>57</w:t>
                  </w:r>
                </w:p>
              </w:tc>
              <w:tc>
                <w:tcPr>
                  <w:tcW w:w="755" w:type="pct"/>
                  <w:tcBorders>
                    <w:tl2br w:val="nil"/>
                    <w:tr2bl w:val="nil"/>
                  </w:tcBorders>
                  <w:noWrap w:val="0"/>
                  <w:vAlign w:val="center"/>
                </w:tcPr>
                <w:p w14:paraId="2A20889C">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bidi="zh-CN"/>
                    </w:rPr>
                  </w:pPr>
                  <w:r>
                    <w:rPr>
                      <w:rFonts w:hint="eastAsia" w:cs="Times New Roman"/>
                      <w:b w:val="0"/>
                      <w:bCs w:val="0"/>
                      <w:caps w:val="0"/>
                      <w:smallCaps w:val="0"/>
                      <w:color w:val="auto"/>
                      <w:sz w:val="21"/>
                      <w:szCs w:val="21"/>
                      <w:highlight w:val="none"/>
                      <w:lang w:val="en-US" w:eastAsia="zh-CN" w:bidi="zh-CN"/>
                    </w:rPr>
                    <w:t>46</w:t>
                  </w:r>
                </w:p>
              </w:tc>
              <w:tc>
                <w:tcPr>
                  <w:tcW w:w="1618" w:type="pct"/>
                  <w:tcBorders>
                    <w:tl2br w:val="nil"/>
                    <w:tr2bl w:val="nil"/>
                  </w:tcBorders>
                  <w:noWrap w:val="0"/>
                  <w:vAlign w:val="center"/>
                </w:tcPr>
                <w:p w14:paraId="5610239B">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bidi="zh-CN"/>
                    </w:rPr>
                  </w:pPr>
                  <w:r>
                    <w:rPr>
                      <w:rFonts w:hint="eastAsia" w:ascii="Times New Roman" w:hAnsi="Times New Roman" w:eastAsia="宋体" w:cs="Times New Roman"/>
                      <w:b w:val="0"/>
                      <w:bCs w:val="0"/>
                      <w:caps w:val="0"/>
                      <w:smallCaps w:val="0"/>
                      <w:color w:val="auto"/>
                      <w:sz w:val="21"/>
                      <w:szCs w:val="21"/>
                      <w:highlight w:val="none"/>
                      <w:lang w:val="en-US" w:eastAsia="zh-CN" w:bidi="zh-CN"/>
                    </w:rPr>
                    <w:t>工业噪声</w:t>
                  </w:r>
                </w:p>
              </w:tc>
            </w:tr>
            <w:tr w14:paraId="54A34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686" w:type="pct"/>
                  <w:vMerge w:val="continue"/>
                  <w:tcBorders>
                    <w:tl2br w:val="nil"/>
                    <w:tr2bl w:val="nil"/>
                  </w:tcBorders>
                  <w:noWrap w:val="0"/>
                  <w:vAlign w:val="center"/>
                </w:tcPr>
                <w:p w14:paraId="291B88AB">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eastAsia="宋体" w:cs="Times New Roman"/>
                      <w:b w:val="0"/>
                      <w:bCs/>
                      <w:i w:val="0"/>
                      <w:color w:val="auto"/>
                      <w:sz w:val="21"/>
                      <w:szCs w:val="21"/>
                      <w:highlight w:val="none"/>
                      <w:u w:val="none"/>
                    </w:rPr>
                  </w:pPr>
                </w:p>
              </w:tc>
              <w:tc>
                <w:tcPr>
                  <w:tcW w:w="1228" w:type="pct"/>
                  <w:tcBorders>
                    <w:tl2br w:val="nil"/>
                    <w:tr2bl w:val="nil"/>
                  </w:tcBorders>
                  <w:noWrap w:val="0"/>
                  <w:vAlign w:val="center"/>
                </w:tcPr>
                <w:p w14:paraId="3121D36F">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bidi="zh-CN"/>
                    </w:rPr>
                  </w:pPr>
                  <w:r>
                    <w:rPr>
                      <w:rFonts w:hint="eastAsia" w:cs="Times New Roman"/>
                      <w:b w:val="0"/>
                      <w:bCs w:val="0"/>
                      <w:caps w:val="0"/>
                      <w:smallCaps w:val="0"/>
                      <w:color w:val="auto"/>
                      <w:sz w:val="21"/>
                      <w:szCs w:val="21"/>
                      <w:highlight w:val="none"/>
                      <w:lang w:val="en-US" w:eastAsia="zh-CN" w:bidi="zh-CN"/>
                    </w:rPr>
                    <w:t>厂界2#（南侧）</w:t>
                  </w:r>
                </w:p>
              </w:tc>
              <w:tc>
                <w:tcPr>
                  <w:tcW w:w="711" w:type="pct"/>
                  <w:tcBorders>
                    <w:tl2br w:val="nil"/>
                    <w:tr2bl w:val="nil"/>
                  </w:tcBorders>
                  <w:noWrap w:val="0"/>
                  <w:vAlign w:val="center"/>
                </w:tcPr>
                <w:p w14:paraId="5807A621">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bidi="zh-CN"/>
                    </w:rPr>
                  </w:pPr>
                  <w:r>
                    <w:rPr>
                      <w:rFonts w:hint="eastAsia" w:cs="Times New Roman"/>
                      <w:b w:val="0"/>
                      <w:bCs w:val="0"/>
                      <w:caps w:val="0"/>
                      <w:smallCaps w:val="0"/>
                      <w:color w:val="auto"/>
                      <w:sz w:val="21"/>
                      <w:szCs w:val="21"/>
                      <w:highlight w:val="none"/>
                      <w:lang w:val="en-US" w:eastAsia="zh-CN" w:bidi="zh-CN"/>
                    </w:rPr>
                    <w:t>57</w:t>
                  </w:r>
                </w:p>
              </w:tc>
              <w:tc>
                <w:tcPr>
                  <w:tcW w:w="755" w:type="pct"/>
                  <w:tcBorders>
                    <w:tl2br w:val="nil"/>
                    <w:tr2bl w:val="nil"/>
                  </w:tcBorders>
                  <w:noWrap w:val="0"/>
                  <w:vAlign w:val="center"/>
                </w:tcPr>
                <w:p w14:paraId="1A04EA2F">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bidi="zh-CN"/>
                    </w:rPr>
                  </w:pPr>
                  <w:r>
                    <w:rPr>
                      <w:rFonts w:hint="eastAsia" w:cs="Times New Roman"/>
                      <w:b w:val="0"/>
                      <w:bCs w:val="0"/>
                      <w:caps w:val="0"/>
                      <w:smallCaps w:val="0"/>
                      <w:color w:val="auto"/>
                      <w:sz w:val="21"/>
                      <w:szCs w:val="21"/>
                      <w:highlight w:val="none"/>
                      <w:lang w:val="en-US" w:eastAsia="zh-CN" w:bidi="zh-CN"/>
                    </w:rPr>
                    <w:t>45</w:t>
                  </w:r>
                </w:p>
              </w:tc>
              <w:tc>
                <w:tcPr>
                  <w:tcW w:w="1618" w:type="pct"/>
                  <w:tcBorders>
                    <w:tl2br w:val="nil"/>
                    <w:tr2bl w:val="nil"/>
                  </w:tcBorders>
                  <w:noWrap w:val="0"/>
                  <w:vAlign w:val="center"/>
                </w:tcPr>
                <w:p w14:paraId="5B71D8D2">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bidi="zh-CN"/>
                    </w:rPr>
                  </w:pPr>
                  <w:r>
                    <w:rPr>
                      <w:rFonts w:hint="eastAsia" w:ascii="Times New Roman" w:hAnsi="Times New Roman" w:eastAsia="宋体" w:cs="Times New Roman"/>
                      <w:b w:val="0"/>
                      <w:bCs w:val="0"/>
                      <w:caps w:val="0"/>
                      <w:smallCaps w:val="0"/>
                      <w:color w:val="auto"/>
                      <w:sz w:val="21"/>
                      <w:szCs w:val="21"/>
                      <w:highlight w:val="none"/>
                      <w:lang w:val="en-US" w:eastAsia="zh-CN" w:bidi="zh-CN"/>
                    </w:rPr>
                    <w:t>工业噪声</w:t>
                  </w:r>
                </w:p>
              </w:tc>
            </w:tr>
            <w:tr w14:paraId="79937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686" w:type="pct"/>
                  <w:vMerge w:val="continue"/>
                  <w:tcBorders>
                    <w:tl2br w:val="nil"/>
                    <w:tr2bl w:val="nil"/>
                  </w:tcBorders>
                  <w:noWrap w:val="0"/>
                  <w:vAlign w:val="center"/>
                </w:tcPr>
                <w:p w14:paraId="0F74AD5D">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eastAsia="宋体" w:cs="Times New Roman"/>
                      <w:b w:val="0"/>
                      <w:bCs/>
                      <w:i w:val="0"/>
                      <w:color w:val="auto"/>
                      <w:sz w:val="21"/>
                      <w:szCs w:val="21"/>
                      <w:highlight w:val="none"/>
                      <w:u w:val="none"/>
                    </w:rPr>
                  </w:pPr>
                </w:p>
              </w:tc>
              <w:tc>
                <w:tcPr>
                  <w:tcW w:w="1228" w:type="pct"/>
                  <w:tcBorders>
                    <w:tl2br w:val="nil"/>
                    <w:tr2bl w:val="nil"/>
                  </w:tcBorders>
                  <w:noWrap w:val="0"/>
                  <w:vAlign w:val="center"/>
                </w:tcPr>
                <w:p w14:paraId="27C759DC">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bidi="zh-CN"/>
                    </w:rPr>
                  </w:pPr>
                  <w:r>
                    <w:rPr>
                      <w:rFonts w:hint="eastAsia" w:cs="Times New Roman"/>
                      <w:b w:val="0"/>
                      <w:bCs w:val="0"/>
                      <w:caps w:val="0"/>
                      <w:smallCaps w:val="0"/>
                      <w:color w:val="auto"/>
                      <w:sz w:val="21"/>
                      <w:szCs w:val="21"/>
                      <w:highlight w:val="none"/>
                      <w:lang w:val="en-US" w:eastAsia="zh-CN" w:bidi="zh-CN"/>
                    </w:rPr>
                    <w:t>厂界3#（西侧）</w:t>
                  </w:r>
                </w:p>
              </w:tc>
              <w:tc>
                <w:tcPr>
                  <w:tcW w:w="711" w:type="pct"/>
                  <w:tcBorders>
                    <w:tl2br w:val="nil"/>
                    <w:tr2bl w:val="nil"/>
                  </w:tcBorders>
                  <w:noWrap w:val="0"/>
                  <w:vAlign w:val="center"/>
                </w:tcPr>
                <w:p w14:paraId="20A21EE6">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bidi="zh-CN"/>
                    </w:rPr>
                  </w:pPr>
                  <w:r>
                    <w:rPr>
                      <w:rFonts w:hint="eastAsia" w:cs="Times New Roman"/>
                      <w:b w:val="0"/>
                      <w:bCs w:val="0"/>
                      <w:caps w:val="0"/>
                      <w:smallCaps w:val="0"/>
                      <w:color w:val="auto"/>
                      <w:sz w:val="21"/>
                      <w:szCs w:val="21"/>
                      <w:highlight w:val="none"/>
                      <w:lang w:val="en-US" w:eastAsia="zh-CN" w:bidi="zh-CN"/>
                    </w:rPr>
                    <w:t>56</w:t>
                  </w:r>
                </w:p>
              </w:tc>
              <w:tc>
                <w:tcPr>
                  <w:tcW w:w="755" w:type="pct"/>
                  <w:tcBorders>
                    <w:tl2br w:val="nil"/>
                    <w:tr2bl w:val="nil"/>
                  </w:tcBorders>
                  <w:noWrap w:val="0"/>
                  <w:vAlign w:val="center"/>
                </w:tcPr>
                <w:p w14:paraId="661FB864">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bidi="zh-CN"/>
                    </w:rPr>
                  </w:pPr>
                  <w:r>
                    <w:rPr>
                      <w:rFonts w:hint="eastAsia" w:cs="Times New Roman"/>
                      <w:b w:val="0"/>
                      <w:bCs w:val="0"/>
                      <w:caps w:val="0"/>
                      <w:smallCaps w:val="0"/>
                      <w:color w:val="auto"/>
                      <w:sz w:val="21"/>
                      <w:szCs w:val="21"/>
                      <w:highlight w:val="none"/>
                      <w:lang w:val="en-US" w:eastAsia="zh-CN" w:bidi="zh-CN"/>
                    </w:rPr>
                    <w:t>46</w:t>
                  </w:r>
                </w:p>
              </w:tc>
              <w:tc>
                <w:tcPr>
                  <w:tcW w:w="1618" w:type="pct"/>
                  <w:tcBorders>
                    <w:tl2br w:val="nil"/>
                    <w:tr2bl w:val="nil"/>
                  </w:tcBorders>
                  <w:noWrap w:val="0"/>
                  <w:vAlign w:val="center"/>
                </w:tcPr>
                <w:p w14:paraId="1F0C04C2">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bidi="zh-CN"/>
                    </w:rPr>
                  </w:pPr>
                  <w:r>
                    <w:rPr>
                      <w:rFonts w:hint="eastAsia" w:ascii="Times New Roman" w:hAnsi="Times New Roman" w:eastAsia="宋体" w:cs="Times New Roman"/>
                      <w:b w:val="0"/>
                      <w:bCs w:val="0"/>
                      <w:caps w:val="0"/>
                      <w:smallCaps w:val="0"/>
                      <w:color w:val="auto"/>
                      <w:sz w:val="21"/>
                      <w:szCs w:val="21"/>
                      <w:highlight w:val="none"/>
                      <w:lang w:val="en-US" w:eastAsia="zh-CN" w:bidi="zh-CN"/>
                    </w:rPr>
                    <w:t>工业噪声</w:t>
                  </w:r>
                </w:p>
              </w:tc>
            </w:tr>
            <w:tr w14:paraId="03667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686" w:type="pct"/>
                  <w:vMerge w:val="continue"/>
                  <w:tcBorders>
                    <w:tl2br w:val="nil"/>
                    <w:tr2bl w:val="nil"/>
                  </w:tcBorders>
                  <w:noWrap w:val="0"/>
                  <w:vAlign w:val="center"/>
                </w:tcPr>
                <w:p w14:paraId="5F0FC019">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eastAsia="宋体" w:cs="Times New Roman"/>
                      <w:b w:val="0"/>
                      <w:bCs/>
                      <w:i w:val="0"/>
                      <w:color w:val="auto"/>
                      <w:sz w:val="21"/>
                      <w:szCs w:val="21"/>
                      <w:highlight w:val="none"/>
                      <w:u w:val="none"/>
                    </w:rPr>
                  </w:pPr>
                </w:p>
              </w:tc>
              <w:tc>
                <w:tcPr>
                  <w:tcW w:w="1228" w:type="pct"/>
                  <w:tcBorders>
                    <w:tl2br w:val="nil"/>
                    <w:tr2bl w:val="nil"/>
                  </w:tcBorders>
                  <w:noWrap w:val="0"/>
                  <w:vAlign w:val="center"/>
                </w:tcPr>
                <w:p w14:paraId="43BBC288">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bidi="zh-CN"/>
                    </w:rPr>
                  </w:pPr>
                  <w:r>
                    <w:rPr>
                      <w:rFonts w:hint="eastAsia" w:cs="Times New Roman"/>
                      <w:b w:val="0"/>
                      <w:bCs w:val="0"/>
                      <w:caps w:val="0"/>
                      <w:smallCaps w:val="0"/>
                      <w:color w:val="auto"/>
                      <w:sz w:val="21"/>
                      <w:szCs w:val="21"/>
                      <w:highlight w:val="none"/>
                      <w:lang w:val="en-US" w:eastAsia="zh-CN" w:bidi="zh-CN"/>
                    </w:rPr>
                    <w:t>厂界4#（北侧）</w:t>
                  </w:r>
                </w:p>
              </w:tc>
              <w:tc>
                <w:tcPr>
                  <w:tcW w:w="711" w:type="pct"/>
                  <w:tcBorders>
                    <w:tl2br w:val="nil"/>
                    <w:tr2bl w:val="nil"/>
                  </w:tcBorders>
                  <w:noWrap w:val="0"/>
                  <w:vAlign w:val="center"/>
                </w:tcPr>
                <w:p w14:paraId="6D7BB40A">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bidi="zh-CN"/>
                    </w:rPr>
                  </w:pPr>
                  <w:r>
                    <w:rPr>
                      <w:rFonts w:hint="eastAsia" w:cs="Times New Roman"/>
                      <w:b w:val="0"/>
                      <w:bCs w:val="0"/>
                      <w:caps w:val="0"/>
                      <w:smallCaps w:val="0"/>
                      <w:color w:val="auto"/>
                      <w:sz w:val="21"/>
                      <w:szCs w:val="21"/>
                      <w:highlight w:val="none"/>
                      <w:lang w:val="en-US" w:eastAsia="zh-CN" w:bidi="zh-CN"/>
                    </w:rPr>
                    <w:t>58</w:t>
                  </w:r>
                </w:p>
              </w:tc>
              <w:tc>
                <w:tcPr>
                  <w:tcW w:w="755" w:type="pct"/>
                  <w:tcBorders>
                    <w:tl2br w:val="nil"/>
                    <w:tr2bl w:val="nil"/>
                  </w:tcBorders>
                  <w:noWrap w:val="0"/>
                  <w:vAlign w:val="center"/>
                </w:tcPr>
                <w:p w14:paraId="195D51C6">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bidi="zh-CN"/>
                    </w:rPr>
                  </w:pPr>
                  <w:r>
                    <w:rPr>
                      <w:rFonts w:hint="eastAsia" w:cs="Times New Roman"/>
                      <w:b w:val="0"/>
                      <w:bCs w:val="0"/>
                      <w:caps w:val="0"/>
                      <w:smallCaps w:val="0"/>
                      <w:color w:val="auto"/>
                      <w:sz w:val="21"/>
                      <w:szCs w:val="21"/>
                      <w:highlight w:val="none"/>
                      <w:lang w:val="en-US" w:eastAsia="zh-CN" w:bidi="zh-CN"/>
                    </w:rPr>
                    <w:t>47</w:t>
                  </w:r>
                </w:p>
              </w:tc>
              <w:tc>
                <w:tcPr>
                  <w:tcW w:w="1618" w:type="pct"/>
                  <w:tcBorders>
                    <w:tl2br w:val="nil"/>
                    <w:tr2bl w:val="nil"/>
                  </w:tcBorders>
                  <w:noWrap w:val="0"/>
                  <w:vAlign w:val="center"/>
                </w:tcPr>
                <w:p w14:paraId="6319FFE0">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bidi="zh-CN"/>
                    </w:rPr>
                  </w:pPr>
                  <w:r>
                    <w:rPr>
                      <w:rFonts w:hint="eastAsia" w:ascii="Times New Roman" w:hAnsi="Times New Roman" w:eastAsia="宋体" w:cs="Times New Roman"/>
                      <w:b w:val="0"/>
                      <w:bCs w:val="0"/>
                      <w:caps w:val="0"/>
                      <w:smallCaps w:val="0"/>
                      <w:color w:val="auto"/>
                      <w:sz w:val="21"/>
                      <w:szCs w:val="21"/>
                      <w:highlight w:val="none"/>
                      <w:lang w:val="en-US" w:eastAsia="zh-CN" w:bidi="zh-CN"/>
                    </w:rPr>
                    <w:t>工业噪声</w:t>
                  </w:r>
                </w:p>
              </w:tc>
            </w:tr>
            <w:tr w14:paraId="3773E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1914" w:type="pct"/>
                  <w:gridSpan w:val="2"/>
                  <w:tcBorders>
                    <w:tl2br w:val="nil"/>
                    <w:tr2bl w:val="nil"/>
                  </w:tcBorders>
                  <w:noWrap w:val="0"/>
                  <w:vAlign w:val="center"/>
                </w:tcPr>
                <w:p w14:paraId="485D3D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kern w:val="0"/>
                      <w:sz w:val="21"/>
                      <w:szCs w:val="21"/>
                      <w:highlight w:val="none"/>
                      <w:u w:val="none"/>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类标准限值</w:t>
                  </w:r>
                </w:p>
              </w:tc>
              <w:tc>
                <w:tcPr>
                  <w:tcW w:w="711" w:type="pct"/>
                  <w:tcBorders>
                    <w:tl2br w:val="nil"/>
                    <w:tr2bl w:val="nil"/>
                  </w:tcBorders>
                  <w:noWrap w:val="0"/>
                  <w:vAlign w:val="center"/>
                </w:tcPr>
                <w:p w14:paraId="7B1AEA2C">
                  <w:pPr>
                    <w:keepNext w:val="0"/>
                    <w:keepLines w:val="0"/>
                    <w:pageBreakBefore w:val="0"/>
                    <w:widowControl/>
                    <w:suppressLineNumbers w:val="0"/>
                    <w:kinsoku/>
                    <w:wordWrap/>
                    <w:overflowPunct/>
                    <w:topLinePunct w:val="0"/>
                    <w:bidi w:val="0"/>
                    <w:adjustRightInd/>
                    <w:snapToGrid/>
                    <w:spacing w:line="240" w:lineRule="auto"/>
                    <w:ind w:left="0" w:leftChars="0" w:right="0" w:rightChars="0"/>
                    <w:jc w:val="center"/>
                    <w:textAlignment w:val="center"/>
                    <w:rPr>
                      <w:rFonts w:hint="default" w:ascii="Times New Roman" w:hAnsi="Times New Roman" w:eastAsia="宋体" w:cs="Times New Roman"/>
                      <w:caps w:val="0"/>
                      <w:smallCaps w:val="0"/>
                      <w:color w:val="auto"/>
                      <w:sz w:val="21"/>
                      <w:szCs w:val="21"/>
                      <w:highlight w:val="none"/>
                      <w:lang w:val="en-US" w:eastAsia="zh-CN"/>
                    </w:rPr>
                  </w:pPr>
                  <w:r>
                    <w:rPr>
                      <w:rFonts w:hint="eastAsia" w:ascii="Times New Roman" w:hAnsi="Times New Roman" w:eastAsia="宋体" w:cs="Times New Roman"/>
                      <w:caps w:val="0"/>
                      <w:smallCaps w:val="0"/>
                      <w:color w:val="auto"/>
                      <w:sz w:val="21"/>
                      <w:szCs w:val="21"/>
                      <w:highlight w:val="none"/>
                      <w:lang w:val="en-US" w:eastAsia="zh-CN"/>
                    </w:rPr>
                    <w:t>65</w:t>
                  </w:r>
                </w:p>
              </w:tc>
              <w:tc>
                <w:tcPr>
                  <w:tcW w:w="755" w:type="pct"/>
                  <w:tcBorders>
                    <w:tl2br w:val="nil"/>
                    <w:tr2bl w:val="nil"/>
                  </w:tcBorders>
                  <w:noWrap w:val="0"/>
                  <w:vAlign w:val="center"/>
                </w:tcPr>
                <w:p w14:paraId="37E4F415">
                  <w:pPr>
                    <w:keepNext w:val="0"/>
                    <w:keepLines w:val="0"/>
                    <w:pageBreakBefore w:val="0"/>
                    <w:widowControl/>
                    <w:suppressLineNumbers w:val="0"/>
                    <w:kinsoku/>
                    <w:wordWrap/>
                    <w:overflowPunct/>
                    <w:topLinePunct w:val="0"/>
                    <w:bidi w:val="0"/>
                    <w:adjustRightInd/>
                    <w:snapToGrid/>
                    <w:spacing w:line="240" w:lineRule="auto"/>
                    <w:ind w:left="0" w:leftChars="0" w:right="0" w:rightChars="0"/>
                    <w:jc w:val="center"/>
                    <w:textAlignment w:val="center"/>
                    <w:rPr>
                      <w:rFonts w:hint="default" w:ascii="Times New Roman" w:hAnsi="Times New Roman" w:eastAsia="宋体" w:cs="Times New Roman"/>
                      <w:caps w:val="0"/>
                      <w:smallCaps w:val="0"/>
                      <w:color w:val="auto"/>
                      <w:sz w:val="21"/>
                      <w:szCs w:val="21"/>
                      <w:highlight w:val="none"/>
                      <w:lang w:val="en-US" w:eastAsia="zh-CN"/>
                    </w:rPr>
                  </w:pPr>
                  <w:r>
                    <w:rPr>
                      <w:rFonts w:hint="eastAsia" w:ascii="Times New Roman" w:hAnsi="Times New Roman" w:eastAsia="宋体" w:cs="Times New Roman"/>
                      <w:caps w:val="0"/>
                      <w:smallCaps w:val="0"/>
                      <w:color w:val="auto"/>
                      <w:sz w:val="21"/>
                      <w:szCs w:val="21"/>
                      <w:highlight w:val="none"/>
                      <w:lang w:val="en-US" w:eastAsia="zh-CN"/>
                    </w:rPr>
                    <w:t>55</w:t>
                  </w:r>
                </w:p>
              </w:tc>
              <w:tc>
                <w:tcPr>
                  <w:tcW w:w="1618" w:type="pct"/>
                  <w:tcBorders>
                    <w:tl2br w:val="nil"/>
                    <w:tr2bl w:val="nil"/>
                  </w:tcBorders>
                  <w:noWrap w:val="0"/>
                  <w:vAlign w:val="center"/>
                </w:tcPr>
                <w:p w14:paraId="4898E23C">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w:t>
                  </w:r>
                </w:p>
              </w:tc>
            </w:tr>
            <w:tr w14:paraId="322C0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1914" w:type="pct"/>
                  <w:gridSpan w:val="2"/>
                  <w:tcBorders>
                    <w:tl2br w:val="nil"/>
                    <w:tr2bl w:val="nil"/>
                  </w:tcBorders>
                  <w:noWrap w:val="0"/>
                  <w:vAlign w:val="center"/>
                </w:tcPr>
                <w:p w14:paraId="28BCE2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达标情况</w:t>
                  </w:r>
                </w:p>
              </w:tc>
              <w:tc>
                <w:tcPr>
                  <w:tcW w:w="711" w:type="pct"/>
                  <w:tcBorders>
                    <w:tl2br w:val="nil"/>
                    <w:tr2bl w:val="nil"/>
                  </w:tcBorders>
                  <w:noWrap w:val="0"/>
                  <w:vAlign w:val="center"/>
                </w:tcPr>
                <w:p w14:paraId="3112A5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达标</w:t>
                  </w:r>
                </w:p>
              </w:tc>
              <w:tc>
                <w:tcPr>
                  <w:tcW w:w="755" w:type="pct"/>
                  <w:tcBorders>
                    <w:tl2br w:val="nil"/>
                    <w:tr2bl w:val="nil"/>
                  </w:tcBorders>
                  <w:noWrap w:val="0"/>
                  <w:vAlign w:val="center"/>
                </w:tcPr>
                <w:p w14:paraId="7F59F4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达标</w:t>
                  </w:r>
                </w:p>
              </w:tc>
              <w:tc>
                <w:tcPr>
                  <w:tcW w:w="1618" w:type="pct"/>
                  <w:tcBorders>
                    <w:tl2br w:val="nil"/>
                    <w:tr2bl w:val="nil"/>
                  </w:tcBorders>
                  <w:noWrap w:val="0"/>
                  <w:vAlign w:val="center"/>
                </w:tcPr>
                <w:p w14:paraId="582195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w:t>
                  </w:r>
                </w:p>
              </w:tc>
            </w:tr>
          </w:tbl>
          <w:p w14:paraId="04307B34">
            <w:pPr>
              <w:keepNext w:val="0"/>
              <w:keepLines w:val="0"/>
              <w:pageBreakBefore w:val="0"/>
              <w:kinsoku/>
              <w:wordWrap/>
              <w:overflowPunct/>
              <w:topLinePunct w:val="0"/>
              <w:autoSpaceDE/>
              <w:autoSpaceDN/>
              <w:bidi w:val="0"/>
              <w:adjustRightInd w:val="0"/>
              <w:snapToGrid/>
              <w:spacing w:line="360" w:lineRule="auto"/>
              <w:ind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根据监测结果，厂界</w:t>
            </w:r>
            <w:r>
              <w:rPr>
                <w:rFonts w:hint="eastAsia" w:cs="Times New Roman"/>
                <w:color w:val="auto"/>
                <w:sz w:val="24"/>
                <w:szCs w:val="24"/>
                <w:highlight w:val="none"/>
                <w:lang w:val="en-US" w:eastAsia="zh-CN"/>
              </w:rPr>
              <w:t>四周</w:t>
            </w:r>
            <w:r>
              <w:rPr>
                <w:rFonts w:hint="default" w:ascii="Times New Roman" w:hAnsi="Times New Roman" w:cs="Times New Roman"/>
                <w:color w:val="auto"/>
                <w:sz w:val="24"/>
                <w:szCs w:val="24"/>
                <w:highlight w:val="none"/>
              </w:rPr>
              <w:t>噪声均达到《工业企业厂界环境噪声排放标准》（GB12348-2008）中</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类标准，即：昼间：≤6</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dB(A)，夜间：≤5</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dB(A)</w:t>
            </w:r>
            <w:r>
              <w:rPr>
                <w:rFonts w:hint="default" w:ascii="Times New Roman" w:hAnsi="Times New Roman" w:cs="Times New Roman"/>
                <w:color w:val="auto"/>
                <w:highlight w:val="none"/>
              </w:rPr>
              <w:t>。</w:t>
            </w:r>
          </w:p>
          <w:p w14:paraId="1AE6BA14">
            <w:pPr>
              <w:pStyle w:val="10"/>
              <w:keepNext w:val="0"/>
              <w:keepLines w:val="0"/>
              <w:pageBreakBefore w:val="0"/>
              <w:kinsoku/>
              <w:wordWrap/>
              <w:overflowPunct/>
              <w:topLinePunct w:val="0"/>
              <w:autoSpaceDE/>
              <w:autoSpaceDN/>
              <w:bidi w:val="0"/>
              <w:adjustRightInd w:val="0"/>
              <w:snapToGrid/>
              <w:spacing w:before="0" w:after="0" w:line="360" w:lineRule="auto"/>
              <w:ind w:right="0" w:firstLine="482" w:firstLineChars="200"/>
              <w:textAlignment w:val="auto"/>
              <w:rPr>
                <w:rFonts w:hint="default" w:eastAsia="宋体"/>
                <w:b/>
                <w:bCs/>
                <w:color w:val="auto"/>
                <w:sz w:val="24"/>
                <w:lang w:val="en-US" w:eastAsia="zh-CN"/>
              </w:rPr>
            </w:pPr>
            <w:r>
              <w:rPr>
                <w:rFonts w:hint="eastAsia"/>
                <w:b/>
                <w:bCs/>
                <w:color w:val="auto"/>
                <w:sz w:val="24"/>
                <w:lang w:eastAsia="zh-CN"/>
              </w:rPr>
              <w:t>（</w:t>
            </w:r>
            <w:r>
              <w:rPr>
                <w:rFonts w:hint="eastAsia"/>
                <w:b/>
                <w:bCs/>
                <w:color w:val="auto"/>
                <w:sz w:val="24"/>
                <w:lang w:val="en-US" w:eastAsia="zh-CN"/>
              </w:rPr>
              <w:t>4</w:t>
            </w:r>
            <w:r>
              <w:rPr>
                <w:rFonts w:hint="eastAsia"/>
                <w:b/>
                <w:bCs/>
                <w:color w:val="auto"/>
                <w:sz w:val="24"/>
                <w:lang w:eastAsia="zh-CN"/>
              </w:rPr>
              <w:t>）</w:t>
            </w:r>
            <w:r>
              <w:rPr>
                <w:rFonts w:hint="eastAsia"/>
                <w:b/>
                <w:bCs/>
                <w:color w:val="auto"/>
                <w:sz w:val="24"/>
                <w:lang w:val="en-US" w:eastAsia="zh-CN"/>
              </w:rPr>
              <w:t>固体废物产生及处置情况</w:t>
            </w:r>
          </w:p>
          <w:p w14:paraId="54DED362">
            <w:pPr>
              <w:keepNext w:val="0"/>
              <w:keepLines w:val="0"/>
              <w:pageBreakBefore w:val="0"/>
              <w:kinsoku/>
              <w:wordWrap/>
              <w:overflowPunct/>
              <w:topLinePunct w:val="0"/>
              <w:autoSpaceDE/>
              <w:autoSpaceDN/>
              <w:bidi w:val="0"/>
              <w:adjustRightInd w:val="0"/>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废果、废果皮、废核及废果渣日产日清，经统一收集后</w:t>
            </w:r>
            <w:r>
              <w:rPr>
                <w:rFonts w:hint="eastAsia" w:cs="Times New Roman"/>
                <w:color w:val="auto"/>
                <w:sz w:val="24"/>
                <w:szCs w:val="24"/>
                <w:highlight w:val="none"/>
                <w:lang w:val="en-US" w:eastAsia="zh-CN"/>
              </w:rPr>
              <w:t>委托云南元江牛歌有机肥有限公司</w:t>
            </w:r>
            <w:r>
              <w:rPr>
                <w:rFonts w:hint="default" w:ascii="Times New Roman" w:hAnsi="Times New Roman" w:eastAsia="宋体" w:cs="Times New Roman"/>
                <w:color w:val="auto"/>
                <w:sz w:val="24"/>
                <w:szCs w:val="24"/>
                <w:highlight w:val="none"/>
                <w:lang w:val="en-US" w:eastAsia="zh-CN"/>
              </w:rPr>
              <w:t>进行处理</w:t>
            </w:r>
            <w:r>
              <w:rPr>
                <w:rFonts w:hint="eastAsia" w:ascii="Times New Roman" w:hAnsi="Times New Roman" w:eastAsia="宋体" w:cs="Times New Roman"/>
                <w:color w:val="auto"/>
                <w:sz w:val="24"/>
                <w:szCs w:val="24"/>
                <w:highlight w:val="none"/>
                <w:lang w:val="en-US" w:eastAsia="zh-CN"/>
              </w:rPr>
              <w:t>；炉渣及除尘灰经袋装收集后定期外售肥料制作单位制作肥料</w:t>
            </w:r>
            <w:r>
              <w:rPr>
                <w:rFonts w:hint="default" w:ascii="Times New Roman" w:hAnsi="Times New Roman" w:eastAsia="宋体" w:cs="Times New Roman"/>
                <w:color w:val="auto"/>
                <w:sz w:val="24"/>
                <w:szCs w:val="24"/>
                <w:highlight w:val="none"/>
                <w:lang w:val="en-US" w:eastAsia="zh-CN"/>
              </w:rPr>
              <w:t>；水膜除尘器沉淀污泥定期清掏后提供</w:t>
            </w:r>
            <w:r>
              <w:rPr>
                <w:rFonts w:hint="eastAsia" w:ascii="Times New Roman" w:hAnsi="Times New Roman" w:eastAsia="宋体" w:cs="Times New Roman"/>
                <w:color w:val="auto"/>
                <w:sz w:val="24"/>
                <w:szCs w:val="24"/>
                <w:highlight w:val="none"/>
                <w:lang w:val="en-US" w:eastAsia="zh-CN"/>
              </w:rPr>
              <w:t>给周边农户作为水果种植肥料</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废培养基</w:t>
            </w:r>
            <w:r>
              <w:rPr>
                <w:rFonts w:hint="default" w:ascii="Times New Roman" w:hAnsi="Times New Roman" w:eastAsia="宋体" w:cs="Times New Roman"/>
                <w:color w:val="auto"/>
                <w:sz w:val="24"/>
                <w:szCs w:val="24"/>
                <w:highlight w:val="none"/>
                <w:lang w:val="en-US" w:eastAsia="zh-CN"/>
              </w:rPr>
              <w:t>经</w:t>
            </w:r>
            <w:r>
              <w:rPr>
                <w:rFonts w:hint="eastAsia" w:ascii="Times New Roman" w:hAnsi="Times New Roman" w:eastAsia="宋体" w:cs="Times New Roman"/>
                <w:color w:val="auto"/>
                <w:sz w:val="24"/>
                <w:szCs w:val="24"/>
                <w:highlight w:val="none"/>
                <w:lang w:val="en-US" w:eastAsia="zh-CN"/>
              </w:rPr>
              <w:t>高压</w:t>
            </w:r>
            <w:r>
              <w:rPr>
                <w:rFonts w:hint="default" w:ascii="Times New Roman" w:hAnsi="Times New Roman" w:eastAsia="宋体" w:cs="Times New Roman"/>
                <w:color w:val="auto"/>
                <w:sz w:val="24"/>
                <w:szCs w:val="24"/>
                <w:highlight w:val="none"/>
                <w:lang w:val="en-US" w:eastAsia="zh-CN"/>
              </w:rPr>
              <w:t>灭活后委托</w:t>
            </w:r>
            <w:r>
              <w:rPr>
                <w:rFonts w:hint="eastAsia" w:ascii="Times New Roman" w:hAnsi="Times New Roman" w:eastAsia="宋体" w:cs="Times New Roman"/>
                <w:color w:val="auto"/>
                <w:sz w:val="24"/>
                <w:szCs w:val="24"/>
                <w:highlight w:val="none"/>
                <w:lang w:val="en-US" w:eastAsia="zh-CN"/>
              </w:rPr>
              <w:t>环卫</w:t>
            </w:r>
            <w:r>
              <w:rPr>
                <w:rFonts w:hint="default" w:ascii="Times New Roman" w:hAnsi="Times New Roman" w:eastAsia="宋体" w:cs="Times New Roman"/>
                <w:color w:val="auto"/>
                <w:sz w:val="24"/>
                <w:szCs w:val="24"/>
                <w:highlight w:val="none"/>
                <w:lang w:val="en-US" w:eastAsia="zh-CN"/>
              </w:rPr>
              <w:t>部门定期清运处置</w:t>
            </w:r>
            <w:r>
              <w:rPr>
                <w:rFonts w:hint="eastAsia" w:ascii="Times New Roman" w:hAnsi="Times New Roman" w:eastAsia="宋体" w:cs="Times New Roman"/>
                <w:color w:val="auto"/>
                <w:sz w:val="24"/>
                <w:szCs w:val="24"/>
                <w:highlight w:val="none"/>
                <w:lang w:val="en-US" w:eastAsia="zh-CN"/>
              </w:rPr>
              <w:t>；废反渗透膜由厂家回收处理；废包装材料经统一</w:t>
            </w:r>
            <w:r>
              <w:rPr>
                <w:rFonts w:hint="default" w:ascii="Times New Roman" w:hAnsi="Times New Roman" w:eastAsia="宋体" w:cs="Times New Roman"/>
                <w:color w:val="auto"/>
                <w:sz w:val="24"/>
                <w:szCs w:val="24"/>
                <w:highlight w:val="none"/>
                <w:lang w:val="en-US" w:eastAsia="zh-CN"/>
              </w:rPr>
              <w:t>收集后</w:t>
            </w:r>
            <w:r>
              <w:rPr>
                <w:rFonts w:hint="eastAsia" w:ascii="Times New Roman" w:hAnsi="Times New Roman" w:eastAsia="宋体" w:cs="Times New Roman"/>
                <w:color w:val="auto"/>
                <w:sz w:val="24"/>
                <w:szCs w:val="24"/>
                <w:highlight w:val="none"/>
                <w:lang w:val="en-US" w:eastAsia="zh-CN"/>
              </w:rPr>
              <w:t>外售</w:t>
            </w:r>
            <w:r>
              <w:rPr>
                <w:rFonts w:hint="default" w:ascii="Times New Roman" w:hAnsi="Times New Roman" w:eastAsia="宋体" w:cs="Times New Roman"/>
                <w:color w:val="auto"/>
                <w:sz w:val="24"/>
                <w:szCs w:val="24"/>
                <w:highlight w:val="none"/>
                <w:lang w:val="en-US" w:eastAsia="zh-CN"/>
              </w:rPr>
              <w:t>废旧物资收购站</w:t>
            </w:r>
            <w:r>
              <w:rPr>
                <w:rFonts w:hint="eastAsia" w:ascii="Times New Roman" w:hAnsi="Times New Roman" w:eastAsia="宋体" w:cs="Times New Roman"/>
                <w:color w:val="auto"/>
                <w:sz w:val="24"/>
                <w:szCs w:val="24"/>
                <w:highlight w:val="none"/>
                <w:lang w:val="en-US" w:eastAsia="zh-CN"/>
              </w:rPr>
              <w:t>；生活垃圾经垃圾桶收集后委托环卫部门定期清运处置</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废冷冻油、废包装桶委托云南大地丰源环保有限公司处置。</w:t>
            </w:r>
            <w:r>
              <w:rPr>
                <w:rFonts w:hint="default" w:ascii="Times New Roman" w:hAnsi="Times New Roman" w:eastAsia="宋体" w:cs="Times New Roman"/>
                <w:color w:val="auto"/>
                <w:sz w:val="24"/>
                <w:szCs w:val="24"/>
                <w:highlight w:val="none"/>
                <w:lang w:val="en-US" w:eastAsia="zh-CN"/>
              </w:rPr>
              <w:t>项目固体废弃物的处置率为100%。</w:t>
            </w:r>
          </w:p>
          <w:p w14:paraId="1C6B2D76">
            <w:pPr>
              <w:pStyle w:val="10"/>
              <w:keepNext w:val="0"/>
              <w:keepLines w:val="0"/>
              <w:pageBreakBefore w:val="0"/>
              <w:kinsoku/>
              <w:wordWrap/>
              <w:overflowPunct/>
              <w:topLinePunct w:val="0"/>
              <w:autoSpaceDE/>
              <w:autoSpaceDN/>
              <w:bidi w:val="0"/>
              <w:adjustRightInd/>
              <w:snapToGrid/>
              <w:spacing w:before="0" w:after="0" w:line="360" w:lineRule="auto"/>
              <w:ind w:right="0" w:firstLine="482" w:firstLineChars="200"/>
              <w:textAlignment w:val="auto"/>
              <w:rPr>
                <w:rFonts w:hint="default"/>
                <w:color w:val="auto"/>
                <w:sz w:val="24"/>
                <w:lang w:val="en-US"/>
              </w:rPr>
            </w:pPr>
            <w:r>
              <w:rPr>
                <w:rFonts w:hint="eastAsia" w:ascii="Times New Roman" w:hAnsi="Times New Roman" w:eastAsia="宋体" w:cs="Times New Roman"/>
                <w:b/>
                <w:bCs/>
                <w:color w:val="auto"/>
                <w:sz w:val="24"/>
                <w:szCs w:val="24"/>
                <w:highlight w:val="none"/>
                <w:lang w:val="en-US" w:eastAsia="zh-CN"/>
              </w:rPr>
              <w:t>3、现有项目污染物排放量统计</w:t>
            </w:r>
          </w:p>
          <w:p w14:paraId="78C58497">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eastAsia="宋体"/>
                <w:color w:val="auto"/>
                <w:sz w:val="24"/>
                <w:lang w:val="en-US" w:eastAsia="zh-CN"/>
              </w:rPr>
            </w:pPr>
            <w:r>
              <w:rPr>
                <w:rFonts w:hint="eastAsia"/>
                <w:color w:val="auto"/>
                <w:sz w:val="24"/>
                <w:lang w:val="en-US" w:eastAsia="zh-CN"/>
              </w:rPr>
              <w:t>现有项目各污染物排放量详见下表。</w:t>
            </w:r>
          </w:p>
          <w:p w14:paraId="045276FB">
            <w:pPr>
              <w:keepNext w:val="0"/>
              <w:keepLines w:val="0"/>
              <w:pageBreakBefore w:val="0"/>
              <w:widowControl w:val="0"/>
              <w:kinsoku/>
              <w:wordWrap/>
              <w:overflowPunct/>
              <w:topLinePunct w:val="0"/>
              <w:autoSpaceDE/>
              <w:autoSpaceDN/>
              <w:bidi w:val="0"/>
              <w:adjustRightInd w:val="0"/>
              <w:snapToGrid w:val="0"/>
              <w:ind w:firstLine="422" w:firstLineChars="20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eastAsia" w:cs="Times New Roman"/>
                <w:b/>
                <w:bCs/>
                <w:color w:val="auto"/>
                <w:sz w:val="21"/>
                <w:szCs w:val="21"/>
                <w:highlight w:val="none"/>
                <w:lang w:val="en-US" w:eastAsia="zh-CN"/>
              </w:rPr>
              <w:t>2-25</w:t>
            </w:r>
            <w:r>
              <w:rPr>
                <w:rFonts w:hint="default" w:ascii="Times New Roman" w:hAnsi="Times New Roman" w:cs="Times New Roman"/>
                <w:b/>
                <w:bCs/>
                <w:color w:val="auto"/>
                <w:sz w:val="21"/>
                <w:szCs w:val="21"/>
                <w:highlight w:val="none"/>
              </w:rPr>
              <w:t xml:space="preserve">  </w:t>
            </w:r>
            <w:r>
              <w:rPr>
                <w:rFonts w:hint="eastAsia" w:ascii="Times New Roman" w:hAnsi="Times New Roman" w:cs="Times New Roman"/>
                <w:b/>
                <w:bCs/>
                <w:color w:val="auto"/>
                <w:sz w:val="21"/>
                <w:szCs w:val="21"/>
                <w:highlight w:val="none"/>
                <w:lang w:val="en-US" w:eastAsia="zh-CN"/>
              </w:rPr>
              <w:t>现有项目</w:t>
            </w:r>
            <w:r>
              <w:rPr>
                <w:rFonts w:hint="default" w:ascii="Times New Roman" w:hAnsi="Times New Roman" w:cs="Times New Roman"/>
                <w:b/>
                <w:bCs/>
                <w:color w:val="auto"/>
                <w:sz w:val="21"/>
                <w:szCs w:val="21"/>
                <w:highlight w:val="none"/>
              </w:rPr>
              <w:t>污染物排放总量</w:t>
            </w:r>
            <w:r>
              <w:rPr>
                <w:rFonts w:hint="eastAsia" w:ascii="Times New Roman" w:hAnsi="Times New Roman" w:cs="Times New Roman"/>
                <w:b/>
                <w:bCs/>
                <w:color w:val="auto"/>
                <w:sz w:val="21"/>
                <w:szCs w:val="21"/>
                <w:highlight w:val="none"/>
                <w:lang w:val="en-US" w:eastAsia="zh-CN"/>
              </w:rPr>
              <w:t>统计</w:t>
            </w:r>
            <w:r>
              <w:rPr>
                <w:rFonts w:hint="default" w:ascii="Times New Roman" w:hAnsi="Times New Roman" w:cs="Times New Roman"/>
                <w:b/>
                <w:bCs/>
                <w:color w:val="auto"/>
                <w:sz w:val="21"/>
                <w:szCs w:val="21"/>
                <w:highlight w:val="none"/>
              </w:rPr>
              <w:t>表</w:t>
            </w:r>
          </w:p>
          <w:tbl>
            <w:tblPr>
              <w:tblStyle w:val="22"/>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510"/>
              <w:gridCol w:w="1820"/>
              <w:gridCol w:w="1299"/>
              <w:gridCol w:w="1346"/>
              <w:gridCol w:w="1375"/>
            </w:tblGrid>
            <w:tr w14:paraId="3E30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blHeader/>
              </w:trPr>
              <w:tc>
                <w:tcPr>
                  <w:tcW w:w="428" w:type="pct"/>
                  <w:noWrap w:val="0"/>
                  <w:vAlign w:val="center"/>
                </w:tcPr>
                <w:p w14:paraId="4624D82C">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caps w:val="0"/>
                      <w:smallCaps w:val="0"/>
                      <w:color w:val="auto"/>
                      <w:sz w:val="21"/>
                      <w:szCs w:val="21"/>
                      <w:highlight w:val="none"/>
                    </w:rPr>
                  </w:pPr>
                  <w:r>
                    <w:rPr>
                      <w:rFonts w:hint="default" w:ascii="Times New Roman" w:hAnsi="Times New Roman" w:eastAsia="宋体" w:cs="Times New Roman"/>
                      <w:b/>
                      <w:caps w:val="0"/>
                      <w:smallCaps w:val="0"/>
                      <w:color w:val="auto"/>
                      <w:sz w:val="21"/>
                      <w:szCs w:val="21"/>
                      <w:highlight w:val="none"/>
                    </w:rPr>
                    <w:t>分类</w:t>
                  </w:r>
                </w:p>
              </w:tc>
              <w:tc>
                <w:tcPr>
                  <w:tcW w:w="939" w:type="pct"/>
                  <w:noWrap w:val="0"/>
                  <w:vAlign w:val="center"/>
                </w:tcPr>
                <w:p w14:paraId="7C2F9DAD">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caps w:val="0"/>
                      <w:smallCaps w:val="0"/>
                      <w:color w:val="auto"/>
                      <w:sz w:val="21"/>
                      <w:szCs w:val="21"/>
                      <w:highlight w:val="none"/>
                    </w:rPr>
                  </w:pPr>
                  <w:r>
                    <w:rPr>
                      <w:rFonts w:hint="default" w:ascii="Times New Roman" w:hAnsi="Times New Roman" w:eastAsia="宋体" w:cs="Times New Roman"/>
                      <w:b/>
                      <w:caps w:val="0"/>
                      <w:smallCaps w:val="0"/>
                      <w:color w:val="auto"/>
                      <w:sz w:val="21"/>
                      <w:szCs w:val="21"/>
                      <w:highlight w:val="none"/>
                    </w:rPr>
                    <w:t>排放源</w:t>
                  </w:r>
                </w:p>
              </w:tc>
              <w:tc>
                <w:tcPr>
                  <w:tcW w:w="1131" w:type="pct"/>
                  <w:noWrap w:val="0"/>
                  <w:vAlign w:val="center"/>
                </w:tcPr>
                <w:p w14:paraId="1EC7A672">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caps w:val="0"/>
                      <w:smallCaps w:val="0"/>
                      <w:color w:val="auto"/>
                      <w:sz w:val="21"/>
                      <w:szCs w:val="21"/>
                      <w:highlight w:val="none"/>
                    </w:rPr>
                  </w:pPr>
                  <w:r>
                    <w:rPr>
                      <w:rFonts w:hint="default" w:ascii="Times New Roman" w:hAnsi="Times New Roman" w:eastAsia="宋体" w:cs="Times New Roman"/>
                      <w:b/>
                      <w:caps w:val="0"/>
                      <w:smallCaps w:val="0"/>
                      <w:color w:val="auto"/>
                      <w:sz w:val="21"/>
                      <w:szCs w:val="21"/>
                      <w:highlight w:val="none"/>
                    </w:rPr>
                    <w:t>废气量(万m³/a)</w:t>
                  </w:r>
                </w:p>
              </w:tc>
              <w:tc>
                <w:tcPr>
                  <w:tcW w:w="807" w:type="pct"/>
                  <w:noWrap w:val="0"/>
                  <w:vAlign w:val="center"/>
                </w:tcPr>
                <w:p w14:paraId="703D9811">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aps w:val="0"/>
                      <w:smallCaps w:val="0"/>
                      <w:color w:val="auto"/>
                      <w:sz w:val="21"/>
                      <w:szCs w:val="21"/>
                      <w:highlight w:val="none"/>
                      <w:lang w:val="en-US" w:eastAsia="zh-CN"/>
                    </w:rPr>
                  </w:pPr>
                  <w:r>
                    <w:rPr>
                      <w:rFonts w:ascii="Times New Roman" w:hAnsi="Times New Roman"/>
                      <w:b/>
                      <w:bCs/>
                      <w:color w:val="auto"/>
                      <w:sz w:val="21"/>
                      <w:szCs w:val="21"/>
                      <w:highlight w:val="none"/>
                      <w:lang w:val="en-US" w:eastAsia="zh-CN"/>
                    </w:rPr>
                    <w:t>颗粒物</w:t>
                  </w:r>
                  <w:r>
                    <w:rPr>
                      <w:rFonts w:hint="default" w:ascii="Times New Roman" w:hAnsi="Times New Roman" w:eastAsia="宋体" w:cs="Times New Roman"/>
                      <w:b/>
                      <w:bCs/>
                      <w:caps w:val="0"/>
                      <w:smallCaps w:val="0"/>
                      <w:color w:val="auto"/>
                      <w:sz w:val="21"/>
                      <w:szCs w:val="21"/>
                      <w:highlight w:val="none"/>
                    </w:rPr>
                    <w:t>(t/a)</w:t>
                  </w:r>
                </w:p>
              </w:tc>
              <w:tc>
                <w:tcPr>
                  <w:tcW w:w="837" w:type="pct"/>
                  <w:noWrap w:val="0"/>
                  <w:vAlign w:val="center"/>
                </w:tcPr>
                <w:p w14:paraId="4E1323A0">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bCs/>
                      <w:caps w:val="0"/>
                      <w:smallCaps w:val="0"/>
                      <w:color w:val="auto"/>
                      <w:sz w:val="21"/>
                      <w:szCs w:val="21"/>
                      <w:highlight w:val="none"/>
                      <w:lang w:val="en-US" w:eastAsia="zh-CN"/>
                    </w:rPr>
                  </w:pPr>
                  <w:r>
                    <w:rPr>
                      <w:rFonts w:ascii="Times New Roman" w:hAnsi="Times New Roman"/>
                      <w:b/>
                      <w:bCs/>
                      <w:color w:val="auto"/>
                      <w:sz w:val="21"/>
                      <w:szCs w:val="21"/>
                      <w:highlight w:val="none"/>
                      <w:lang w:val="en-US" w:eastAsia="zh-CN"/>
                    </w:rPr>
                    <w:t>二氧化硫</w:t>
                  </w:r>
                  <w:r>
                    <w:rPr>
                      <w:rFonts w:hint="eastAsia"/>
                      <w:b/>
                      <w:bCs/>
                      <w:color w:val="auto"/>
                      <w:sz w:val="21"/>
                      <w:szCs w:val="21"/>
                      <w:highlight w:val="none"/>
                      <w:lang w:val="en-US" w:eastAsia="zh-CN"/>
                    </w:rPr>
                    <w:t xml:space="preserve"> </w:t>
                  </w:r>
                  <w:r>
                    <w:rPr>
                      <w:rFonts w:hint="default" w:ascii="Times New Roman" w:hAnsi="Times New Roman" w:eastAsia="宋体" w:cs="Times New Roman"/>
                      <w:b/>
                      <w:bCs/>
                      <w:caps w:val="0"/>
                      <w:smallCaps w:val="0"/>
                      <w:color w:val="auto"/>
                      <w:sz w:val="21"/>
                      <w:szCs w:val="21"/>
                      <w:highlight w:val="none"/>
                    </w:rPr>
                    <w:t>(t/a)</w:t>
                  </w:r>
                </w:p>
              </w:tc>
              <w:tc>
                <w:tcPr>
                  <w:tcW w:w="855" w:type="pct"/>
                  <w:noWrap w:val="0"/>
                  <w:vAlign w:val="center"/>
                </w:tcPr>
                <w:p w14:paraId="3E84F968">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bCs/>
                      <w:caps w:val="0"/>
                      <w:smallCaps w:val="0"/>
                      <w:color w:val="auto"/>
                      <w:sz w:val="21"/>
                      <w:szCs w:val="21"/>
                      <w:highlight w:val="none"/>
                      <w:lang w:val="en-US" w:eastAsia="zh-CN"/>
                    </w:rPr>
                  </w:pPr>
                  <w:r>
                    <w:rPr>
                      <w:rFonts w:ascii="Times New Roman" w:hAnsi="Times New Roman"/>
                      <w:b/>
                      <w:bCs/>
                      <w:color w:val="auto"/>
                      <w:sz w:val="21"/>
                      <w:szCs w:val="21"/>
                      <w:highlight w:val="none"/>
                    </w:rPr>
                    <w:t>氮氧化物</w:t>
                  </w:r>
                  <w:r>
                    <w:rPr>
                      <w:rFonts w:hint="default" w:ascii="Times New Roman" w:hAnsi="Times New Roman" w:eastAsia="宋体" w:cs="Times New Roman"/>
                      <w:b/>
                      <w:bCs/>
                      <w:caps w:val="0"/>
                      <w:smallCaps w:val="0"/>
                      <w:color w:val="auto"/>
                      <w:sz w:val="21"/>
                      <w:szCs w:val="21"/>
                      <w:highlight w:val="none"/>
                    </w:rPr>
                    <w:t>(t/a)</w:t>
                  </w:r>
                </w:p>
              </w:tc>
            </w:tr>
            <w:tr w14:paraId="6A11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blHeader/>
              </w:trPr>
              <w:tc>
                <w:tcPr>
                  <w:tcW w:w="428" w:type="pct"/>
                  <w:noWrap w:val="0"/>
                  <w:vAlign w:val="center"/>
                </w:tcPr>
                <w:p w14:paraId="0B14826F">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废气</w:t>
                  </w:r>
                </w:p>
              </w:tc>
              <w:tc>
                <w:tcPr>
                  <w:tcW w:w="939" w:type="pct"/>
                  <w:noWrap w:val="0"/>
                  <w:vAlign w:val="center"/>
                </w:tcPr>
                <w:p w14:paraId="5481ECA9">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ascii="Times New Roman" w:hAnsi="Times New Roman" w:eastAsia="宋体" w:cs="Times New Roman"/>
                      <w:caps w:val="0"/>
                      <w:smallCaps w:val="0"/>
                      <w:color w:val="auto"/>
                      <w:sz w:val="21"/>
                      <w:szCs w:val="21"/>
                      <w:highlight w:val="none"/>
                      <w:lang w:val="en-US" w:eastAsia="zh-CN"/>
                    </w:rPr>
                    <w:t>生物质锅炉废气（DA001）</w:t>
                  </w:r>
                </w:p>
              </w:tc>
              <w:tc>
                <w:tcPr>
                  <w:tcW w:w="1131" w:type="pct"/>
                  <w:noWrap w:val="0"/>
                  <w:vAlign w:val="center"/>
                </w:tcPr>
                <w:p w14:paraId="3FF19F7E">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109.76</w:t>
                  </w:r>
                </w:p>
              </w:tc>
              <w:tc>
                <w:tcPr>
                  <w:tcW w:w="807" w:type="pct"/>
                  <w:noWrap w:val="0"/>
                  <w:vAlign w:val="center"/>
                </w:tcPr>
                <w:p w14:paraId="2171E5C2">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0.016</w:t>
                  </w:r>
                </w:p>
              </w:tc>
              <w:tc>
                <w:tcPr>
                  <w:tcW w:w="837" w:type="pct"/>
                  <w:noWrap w:val="0"/>
                  <w:vAlign w:val="center"/>
                </w:tcPr>
                <w:p w14:paraId="16E9E3C6">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0.020</w:t>
                  </w:r>
                </w:p>
              </w:tc>
              <w:tc>
                <w:tcPr>
                  <w:tcW w:w="855" w:type="pct"/>
                  <w:noWrap w:val="0"/>
                  <w:vAlign w:val="center"/>
                </w:tcPr>
                <w:p w14:paraId="76F51D17">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0.077</w:t>
                  </w:r>
                </w:p>
              </w:tc>
            </w:tr>
            <w:tr w14:paraId="51DB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trPr>
              <w:tc>
                <w:tcPr>
                  <w:tcW w:w="428" w:type="pct"/>
                  <w:vMerge w:val="restart"/>
                  <w:noWrap w:val="0"/>
                  <w:vAlign w:val="center"/>
                </w:tcPr>
                <w:p w14:paraId="0BCFE331">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aps w:val="0"/>
                      <w:smallCaps w:val="0"/>
                      <w:color w:val="auto"/>
                      <w:sz w:val="21"/>
                      <w:szCs w:val="21"/>
                      <w:highlight w:val="none"/>
                      <w:lang w:val="en-US" w:eastAsia="zh-CN"/>
                    </w:rPr>
                  </w:pPr>
                  <w:r>
                    <w:rPr>
                      <w:rFonts w:hint="eastAsia" w:ascii="Times New Roman" w:hAnsi="Times New Roman" w:eastAsia="宋体" w:cs="Times New Roman"/>
                      <w:caps w:val="0"/>
                      <w:smallCaps w:val="0"/>
                      <w:color w:val="auto"/>
                      <w:sz w:val="21"/>
                      <w:szCs w:val="21"/>
                      <w:highlight w:val="none"/>
                      <w:lang w:val="en-US" w:eastAsia="zh-CN"/>
                    </w:rPr>
                    <w:t>废水</w:t>
                  </w:r>
                </w:p>
              </w:tc>
              <w:tc>
                <w:tcPr>
                  <w:tcW w:w="939" w:type="pct"/>
                  <w:vMerge w:val="restart"/>
                  <w:noWrap w:val="0"/>
                  <w:vAlign w:val="center"/>
                </w:tcPr>
                <w:p w14:paraId="277559EA">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ascii="Times New Roman" w:hAnsi="Times New Roman" w:eastAsia="宋体" w:cs="Times New Roman"/>
                      <w:caps w:val="0"/>
                      <w:smallCaps w:val="0"/>
                      <w:color w:val="auto"/>
                      <w:sz w:val="21"/>
                      <w:szCs w:val="21"/>
                      <w:highlight w:val="none"/>
                      <w:lang w:val="en-US" w:eastAsia="zh-CN"/>
                    </w:rPr>
                    <w:t>生产废水</w:t>
                  </w:r>
                  <w:r>
                    <w:rPr>
                      <w:rFonts w:hint="eastAsia" w:cs="Times New Roman"/>
                      <w:caps w:val="0"/>
                      <w:smallCaps w:val="0"/>
                      <w:color w:val="auto"/>
                      <w:sz w:val="21"/>
                      <w:szCs w:val="21"/>
                      <w:highlight w:val="none"/>
                      <w:lang w:val="en-US" w:eastAsia="zh-CN"/>
                    </w:rPr>
                    <w:t>总排口（DW001）</w:t>
                  </w:r>
                </w:p>
              </w:tc>
              <w:tc>
                <w:tcPr>
                  <w:tcW w:w="1131" w:type="pct"/>
                  <w:noWrap w:val="0"/>
                  <w:vAlign w:val="center"/>
                </w:tcPr>
                <w:p w14:paraId="080E1A4E">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ascii="Times New Roman" w:hAnsi="Times New Roman" w:eastAsia="宋体" w:cs="Times New Roman"/>
                      <w:b/>
                      <w:bCs/>
                      <w:caps w:val="0"/>
                      <w:smallCaps w:val="0"/>
                      <w:color w:val="auto"/>
                      <w:sz w:val="21"/>
                      <w:szCs w:val="21"/>
                      <w:highlight w:val="none"/>
                      <w:lang w:val="en-US" w:eastAsia="zh-CN"/>
                    </w:rPr>
                    <w:t>废水量</w:t>
                  </w:r>
                  <w:r>
                    <w:rPr>
                      <w:rFonts w:hint="default" w:ascii="Times New Roman" w:hAnsi="Times New Roman" w:eastAsia="宋体" w:cs="Times New Roman"/>
                      <w:b/>
                      <w:bCs/>
                      <w:caps w:val="0"/>
                      <w:smallCaps w:val="0"/>
                      <w:color w:val="auto"/>
                      <w:sz w:val="21"/>
                      <w:szCs w:val="21"/>
                      <w:highlight w:val="none"/>
                    </w:rPr>
                    <w:t>(万</w:t>
                  </w:r>
                  <w:r>
                    <w:rPr>
                      <w:rFonts w:hint="default" w:ascii="Times New Roman" w:hAnsi="Times New Roman" w:eastAsia="宋体" w:cs="Times New Roman"/>
                      <w:b/>
                      <w:caps w:val="0"/>
                      <w:smallCaps w:val="0"/>
                      <w:color w:val="auto"/>
                      <w:sz w:val="21"/>
                      <w:szCs w:val="21"/>
                      <w:highlight w:val="none"/>
                    </w:rPr>
                    <w:t>m³/a)</w:t>
                  </w:r>
                </w:p>
              </w:tc>
              <w:tc>
                <w:tcPr>
                  <w:tcW w:w="807" w:type="pct"/>
                  <w:noWrap w:val="0"/>
                  <w:vAlign w:val="center"/>
                </w:tcPr>
                <w:p w14:paraId="08330113">
                  <w:pPr>
                    <w:keepNext w:val="0"/>
                    <w:keepLines w:val="0"/>
                    <w:pageBreakBefore w:val="0"/>
                    <w:widowControl/>
                    <w:suppressLineNumbers w:val="0"/>
                    <w:kinsoku/>
                    <w:wordWrap/>
                    <w:overflowPunct/>
                    <w:topLinePunct w:val="0"/>
                    <w:bidi w:val="0"/>
                    <w:adjustRightInd/>
                    <w:snapToGrid/>
                    <w:spacing w:line="240" w:lineRule="auto"/>
                    <w:ind w:left="0" w:leftChars="0" w:right="0" w:rightChars="0"/>
                    <w:jc w:val="center"/>
                    <w:textAlignment w:val="center"/>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b/>
                      <w:bCs/>
                      <w:caps w:val="0"/>
                      <w:smallCaps w:val="0"/>
                      <w:color w:val="auto"/>
                      <w:sz w:val="21"/>
                      <w:szCs w:val="21"/>
                      <w:highlight w:val="none"/>
                    </w:rPr>
                    <w:t>COD(t/a)</w:t>
                  </w:r>
                </w:p>
              </w:tc>
              <w:tc>
                <w:tcPr>
                  <w:tcW w:w="837" w:type="pct"/>
                  <w:noWrap w:val="0"/>
                  <w:vAlign w:val="center"/>
                </w:tcPr>
                <w:p w14:paraId="37975A6B">
                  <w:pPr>
                    <w:keepNext w:val="0"/>
                    <w:keepLines w:val="0"/>
                    <w:pageBreakBefore w:val="0"/>
                    <w:widowControl/>
                    <w:suppressLineNumbers w:val="0"/>
                    <w:kinsoku/>
                    <w:wordWrap/>
                    <w:overflowPunct/>
                    <w:topLinePunct w:val="0"/>
                    <w:bidi w:val="0"/>
                    <w:adjustRightInd/>
                    <w:snapToGrid/>
                    <w:spacing w:line="240" w:lineRule="auto"/>
                    <w:ind w:left="0" w:leftChars="0" w:right="0" w:rightChars="0"/>
                    <w:jc w:val="center"/>
                    <w:textAlignment w:val="center"/>
                    <w:rPr>
                      <w:rFonts w:hint="default" w:ascii="Times New Roman" w:hAnsi="Times New Roman" w:eastAsia="宋体" w:cs="Times New Roman"/>
                      <w:b/>
                      <w:bCs/>
                      <w:caps w:val="0"/>
                      <w:smallCaps w:val="0"/>
                      <w:color w:val="auto"/>
                      <w:sz w:val="21"/>
                      <w:szCs w:val="21"/>
                      <w:highlight w:val="none"/>
                      <w:lang w:val="en-US" w:eastAsia="zh-CN"/>
                    </w:rPr>
                  </w:pPr>
                  <w:r>
                    <w:rPr>
                      <w:rFonts w:hint="default" w:ascii="Times New Roman" w:hAnsi="Times New Roman" w:eastAsia="宋体" w:cs="Times New Roman"/>
                      <w:b/>
                      <w:bCs/>
                      <w:caps w:val="0"/>
                      <w:smallCaps w:val="0"/>
                      <w:color w:val="auto"/>
                      <w:sz w:val="21"/>
                      <w:szCs w:val="21"/>
                      <w:highlight w:val="none"/>
                    </w:rPr>
                    <w:t>氨氮(t/a)</w:t>
                  </w:r>
                </w:p>
              </w:tc>
              <w:tc>
                <w:tcPr>
                  <w:tcW w:w="855" w:type="pct"/>
                  <w:noWrap w:val="0"/>
                  <w:vAlign w:val="center"/>
                </w:tcPr>
                <w:p w14:paraId="3A196D11">
                  <w:pPr>
                    <w:keepNext w:val="0"/>
                    <w:keepLines w:val="0"/>
                    <w:pageBreakBefore w:val="0"/>
                    <w:widowControl/>
                    <w:suppressLineNumbers w:val="0"/>
                    <w:kinsoku/>
                    <w:wordWrap/>
                    <w:overflowPunct/>
                    <w:topLinePunct w:val="0"/>
                    <w:bidi w:val="0"/>
                    <w:adjustRightInd/>
                    <w:snapToGrid/>
                    <w:spacing w:line="240" w:lineRule="auto"/>
                    <w:ind w:left="0" w:leftChars="0" w:right="0" w:rightChars="0"/>
                    <w:jc w:val="center"/>
                    <w:textAlignment w:val="center"/>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b/>
                      <w:bCs/>
                      <w:caps w:val="0"/>
                      <w:smallCaps w:val="0"/>
                      <w:color w:val="auto"/>
                      <w:sz w:val="21"/>
                      <w:szCs w:val="21"/>
                      <w:highlight w:val="none"/>
                    </w:rPr>
                    <w:t>总磷(t/a)</w:t>
                  </w:r>
                </w:p>
              </w:tc>
            </w:tr>
            <w:tr w14:paraId="0F109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trPr>
              <w:tc>
                <w:tcPr>
                  <w:tcW w:w="428" w:type="pct"/>
                  <w:vMerge w:val="continue"/>
                  <w:noWrap w:val="0"/>
                  <w:vAlign w:val="center"/>
                </w:tcPr>
                <w:p w14:paraId="720C7E20">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aps w:val="0"/>
                      <w:smallCaps w:val="0"/>
                      <w:color w:val="auto"/>
                      <w:sz w:val="21"/>
                      <w:szCs w:val="21"/>
                      <w:highlight w:val="none"/>
                      <w:lang w:val="en-US" w:eastAsia="zh-CN"/>
                    </w:rPr>
                  </w:pPr>
                </w:p>
              </w:tc>
              <w:tc>
                <w:tcPr>
                  <w:tcW w:w="939" w:type="pct"/>
                  <w:vMerge w:val="continue"/>
                  <w:noWrap w:val="0"/>
                  <w:vAlign w:val="center"/>
                </w:tcPr>
                <w:p w14:paraId="1B03A903">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aps w:val="0"/>
                      <w:smallCaps w:val="0"/>
                      <w:color w:val="auto"/>
                      <w:sz w:val="21"/>
                      <w:szCs w:val="21"/>
                      <w:highlight w:val="none"/>
                      <w:lang w:val="en-US" w:eastAsia="zh-CN"/>
                    </w:rPr>
                  </w:pPr>
                </w:p>
              </w:tc>
              <w:tc>
                <w:tcPr>
                  <w:tcW w:w="1131" w:type="pct"/>
                  <w:noWrap w:val="0"/>
                  <w:vAlign w:val="center"/>
                </w:tcPr>
                <w:p w14:paraId="429C0DCB">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aps w:val="0"/>
                      <w:smallCaps w:val="0"/>
                      <w:color w:val="auto"/>
                      <w:kern w:val="2"/>
                      <w:sz w:val="21"/>
                      <w:szCs w:val="21"/>
                      <w:highlight w:val="none"/>
                      <w:lang w:val="en-US" w:eastAsia="zh-CN" w:bidi="ar-SA"/>
                    </w:rPr>
                  </w:pPr>
                  <w:r>
                    <w:rPr>
                      <w:rFonts w:hint="eastAsia" w:ascii="Times New Roman" w:hAnsi="Times New Roman" w:eastAsia="宋体" w:cs="Times New Roman"/>
                      <w:caps w:val="0"/>
                      <w:smallCaps w:val="0"/>
                      <w:color w:val="auto"/>
                      <w:sz w:val="21"/>
                      <w:szCs w:val="21"/>
                      <w:highlight w:val="none"/>
                      <w:lang w:val="en-US" w:eastAsia="zh-CN"/>
                    </w:rPr>
                    <w:t>0.</w:t>
                  </w:r>
                  <w:r>
                    <w:rPr>
                      <w:rFonts w:hint="eastAsia" w:cs="Times New Roman"/>
                      <w:caps w:val="0"/>
                      <w:smallCaps w:val="0"/>
                      <w:color w:val="auto"/>
                      <w:sz w:val="21"/>
                      <w:szCs w:val="21"/>
                      <w:highlight w:val="none"/>
                      <w:lang w:val="en-US" w:eastAsia="zh-CN"/>
                    </w:rPr>
                    <w:t>8673</w:t>
                  </w:r>
                </w:p>
              </w:tc>
              <w:tc>
                <w:tcPr>
                  <w:tcW w:w="807" w:type="pct"/>
                  <w:noWrap w:val="0"/>
                  <w:vAlign w:val="center"/>
                </w:tcPr>
                <w:p w14:paraId="65620F56">
                  <w:pPr>
                    <w:keepNext w:val="0"/>
                    <w:keepLines w:val="0"/>
                    <w:pageBreakBefore w:val="0"/>
                    <w:widowControl/>
                    <w:suppressLineNumbers w:val="0"/>
                    <w:kinsoku/>
                    <w:wordWrap/>
                    <w:overflowPunct/>
                    <w:topLinePunct w:val="0"/>
                    <w:bidi w:val="0"/>
                    <w:adjustRightInd/>
                    <w:snapToGrid/>
                    <w:spacing w:line="240" w:lineRule="auto"/>
                    <w:ind w:left="0" w:leftChars="0" w:right="0" w:rightChars="0"/>
                    <w:jc w:val="center"/>
                    <w:textAlignment w:val="center"/>
                    <w:rPr>
                      <w:rFonts w:hint="default" w:ascii="Times New Roman" w:hAnsi="Times New Roman" w:eastAsia="宋体" w:cs="Times New Roman"/>
                      <w:caps w:val="0"/>
                      <w:smallCaps w:val="0"/>
                      <w:color w:val="auto"/>
                      <w:kern w:val="2"/>
                      <w:sz w:val="21"/>
                      <w:szCs w:val="21"/>
                      <w:highlight w:val="none"/>
                      <w:lang w:val="en-US" w:eastAsia="zh-CN" w:bidi="ar-SA"/>
                    </w:rPr>
                  </w:pPr>
                  <w:r>
                    <w:rPr>
                      <w:rFonts w:hint="eastAsia" w:cs="Times New Roman"/>
                      <w:caps w:val="0"/>
                      <w:smallCaps w:val="0"/>
                      <w:color w:val="auto"/>
                      <w:kern w:val="2"/>
                      <w:sz w:val="21"/>
                      <w:szCs w:val="21"/>
                      <w:highlight w:val="none"/>
                      <w:lang w:val="en-US" w:eastAsia="zh-CN" w:bidi="ar-SA"/>
                    </w:rPr>
                    <w:t>4.154</w:t>
                  </w:r>
                </w:p>
              </w:tc>
              <w:tc>
                <w:tcPr>
                  <w:tcW w:w="837" w:type="pct"/>
                  <w:noWrap w:val="0"/>
                  <w:vAlign w:val="center"/>
                </w:tcPr>
                <w:p w14:paraId="455CFB5E">
                  <w:pPr>
                    <w:keepNext w:val="0"/>
                    <w:keepLines w:val="0"/>
                    <w:pageBreakBefore w:val="0"/>
                    <w:widowControl/>
                    <w:suppressLineNumbers w:val="0"/>
                    <w:kinsoku/>
                    <w:wordWrap/>
                    <w:overflowPunct/>
                    <w:topLinePunct w:val="0"/>
                    <w:bidi w:val="0"/>
                    <w:adjustRightInd/>
                    <w:snapToGrid/>
                    <w:spacing w:line="240" w:lineRule="auto"/>
                    <w:ind w:left="0" w:leftChars="0" w:right="0" w:rightChars="0"/>
                    <w:jc w:val="center"/>
                    <w:textAlignment w:val="center"/>
                    <w:rPr>
                      <w:rFonts w:hint="default" w:ascii="Times New Roman" w:hAnsi="Times New Roman" w:eastAsia="宋体" w:cs="Times New Roman"/>
                      <w:caps w:val="0"/>
                      <w:smallCaps w:val="0"/>
                      <w:color w:val="auto"/>
                      <w:kern w:val="2"/>
                      <w:sz w:val="21"/>
                      <w:szCs w:val="21"/>
                      <w:highlight w:val="none"/>
                      <w:lang w:val="en-US" w:eastAsia="zh-CN" w:bidi="ar-SA"/>
                    </w:rPr>
                  </w:pPr>
                  <w:r>
                    <w:rPr>
                      <w:rFonts w:hint="eastAsia" w:cs="Times New Roman"/>
                      <w:caps w:val="0"/>
                      <w:smallCaps w:val="0"/>
                      <w:color w:val="auto"/>
                      <w:kern w:val="2"/>
                      <w:sz w:val="21"/>
                      <w:szCs w:val="21"/>
                      <w:highlight w:val="none"/>
                      <w:lang w:val="en-US" w:eastAsia="zh-CN" w:bidi="ar-SA"/>
                    </w:rPr>
                    <w:t>0.02</w:t>
                  </w:r>
                </w:p>
              </w:tc>
              <w:tc>
                <w:tcPr>
                  <w:tcW w:w="855" w:type="pct"/>
                  <w:noWrap w:val="0"/>
                  <w:vAlign w:val="center"/>
                </w:tcPr>
                <w:p w14:paraId="4A97CB2D">
                  <w:pPr>
                    <w:keepNext w:val="0"/>
                    <w:keepLines w:val="0"/>
                    <w:pageBreakBefore w:val="0"/>
                    <w:widowControl/>
                    <w:suppressLineNumbers w:val="0"/>
                    <w:kinsoku/>
                    <w:wordWrap/>
                    <w:overflowPunct/>
                    <w:topLinePunct w:val="0"/>
                    <w:bidi w:val="0"/>
                    <w:adjustRightInd/>
                    <w:snapToGrid/>
                    <w:spacing w:line="240" w:lineRule="auto"/>
                    <w:ind w:left="0" w:leftChars="0" w:right="0" w:rightChars="0"/>
                    <w:jc w:val="center"/>
                    <w:textAlignment w:val="center"/>
                    <w:rPr>
                      <w:rFonts w:hint="default" w:ascii="Times New Roman" w:hAnsi="Times New Roman" w:eastAsia="宋体" w:cs="Times New Roman"/>
                      <w:caps w:val="0"/>
                      <w:smallCaps w:val="0"/>
                      <w:color w:val="auto"/>
                      <w:kern w:val="2"/>
                      <w:sz w:val="21"/>
                      <w:szCs w:val="21"/>
                      <w:highlight w:val="none"/>
                      <w:lang w:val="en-US" w:eastAsia="zh-CN" w:bidi="ar-SA"/>
                    </w:rPr>
                  </w:pPr>
                  <w:r>
                    <w:rPr>
                      <w:rFonts w:hint="eastAsia" w:cs="Times New Roman"/>
                      <w:caps w:val="0"/>
                      <w:smallCaps w:val="0"/>
                      <w:color w:val="auto"/>
                      <w:kern w:val="2"/>
                      <w:sz w:val="21"/>
                      <w:szCs w:val="21"/>
                      <w:highlight w:val="none"/>
                      <w:lang w:val="en-US" w:eastAsia="zh-CN" w:bidi="ar-SA"/>
                    </w:rPr>
                    <w:t>0.002</w:t>
                  </w:r>
                </w:p>
              </w:tc>
            </w:tr>
          </w:tbl>
          <w:p w14:paraId="077000C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color w:val="auto"/>
                <w:sz w:val="24"/>
                <w:lang w:val="en-US" w:eastAsia="zh-CN"/>
              </w:rPr>
            </w:pPr>
            <w:r>
              <w:rPr>
                <w:rFonts w:hint="eastAsia"/>
                <w:b/>
                <w:bCs/>
                <w:color w:val="auto"/>
                <w:sz w:val="24"/>
                <w:lang w:val="en-US" w:eastAsia="zh-CN"/>
              </w:rPr>
              <w:t>四、排污许可执行情况</w:t>
            </w:r>
          </w:p>
          <w:p w14:paraId="7ED9DF07">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s="Times New Roman"/>
                <w:b w:val="0"/>
                <w:bCs w:val="0"/>
                <w:caps w:val="0"/>
                <w:smallCaps w:val="0"/>
                <w:color w:val="auto"/>
                <w:kern w:val="2"/>
                <w:sz w:val="24"/>
                <w:szCs w:val="21"/>
                <w:highlight w:val="none"/>
                <w:lang w:val="en-US" w:eastAsia="zh-CN" w:bidi="ar-SA"/>
              </w:rPr>
            </w:pPr>
            <w:r>
              <w:rPr>
                <w:rFonts w:hint="eastAsia" w:ascii="Times New Roman" w:hAnsi="Times New Roman" w:eastAsia="宋体" w:cs="Times New Roman"/>
                <w:b w:val="0"/>
                <w:bCs w:val="0"/>
                <w:caps w:val="0"/>
                <w:smallCaps w:val="0"/>
                <w:color w:val="auto"/>
                <w:kern w:val="2"/>
                <w:sz w:val="24"/>
                <w:szCs w:val="21"/>
                <w:highlight w:val="none"/>
                <w:lang w:val="en-US" w:eastAsia="zh-CN" w:bidi="ar-SA"/>
              </w:rPr>
              <w:t>公司</w:t>
            </w:r>
            <w:r>
              <w:rPr>
                <w:rFonts w:ascii="Times New Roman" w:hAnsi="Times New Roman" w:eastAsia="宋体" w:cs="Times New Roman"/>
                <w:b w:val="0"/>
                <w:bCs w:val="0"/>
                <w:caps w:val="0"/>
                <w:smallCaps w:val="0"/>
                <w:color w:val="auto"/>
                <w:kern w:val="2"/>
                <w:sz w:val="24"/>
                <w:szCs w:val="21"/>
                <w:highlight w:val="none"/>
                <w:lang w:val="en-US" w:eastAsia="zh-CN" w:bidi="ar-SA"/>
              </w:rPr>
              <w:t>已按照相关</w:t>
            </w:r>
            <w:r>
              <w:rPr>
                <w:rFonts w:hint="eastAsia" w:ascii="Times New Roman" w:hAnsi="Times New Roman" w:eastAsia="宋体" w:cs="Times New Roman"/>
                <w:b w:val="0"/>
                <w:bCs w:val="0"/>
                <w:caps w:val="0"/>
                <w:smallCaps w:val="0"/>
                <w:color w:val="auto"/>
                <w:kern w:val="2"/>
                <w:sz w:val="24"/>
                <w:szCs w:val="21"/>
                <w:highlight w:val="none"/>
                <w:lang w:val="en-US" w:eastAsia="zh-CN" w:bidi="ar-SA"/>
              </w:rPr>
              <w:t>要求</w:t>
            </w:r>
            <w:r>
              <w:rPr>
                <w:rFonts w:ascii="Times New Roman" w:hAnsi="Times New Roman" w:eastAsia="宋体" w:cs="Times New Roman"/>
                <w:b w:val="0"/>
                <w:bCs w:val="0"/>
                <w:caps w:val="0"/>
                <w:smallCaps w:val="0"/>
                <w:color w:val="auto"/>
                <w:kern w:val="2"/>
                <w:sz w:val="24"/>
                <w:szCs w:val="21"/>
                <w:highlight w:val="none"/>
                <w:lang w:val="en-US" w:eastAsia="zh-CN" w:bidi="ar-SA"/>
              </w:rPr>
              <w:t>办理排污许可证</w:t>
            </w:r>
            <w:r>
              <w:rPr>
                <w:rFonts w:hint="eastAsia" w:ascii="Times New Roman" w:hAnsi="Times New Roman" w:eastAsia="宋体" w:cs="Times New Roman"/>
                <w:b w:val="0"/>
                <w:bCs w:val="0"/>
                <w:caps w:val="0"/>
                <w:smallCaps w:val="0"/>
                <w:color w:val="auto"/>
                <w:kern w:val="2"/>
                <w:sz w:val="24"/>
                <w:szCs w:val="21"/>
                <w:highlight w:val="none"/>
                <w:lang w:val="en-US" w:eastAsia="zh-CN" w:bidi="ar-SA"/>
              </w:rPr>
              <w:t>（</w:t>
            </w:r>
            <w:r>
              <w:rPr>
                <w:rFonts w:hint="eastAsia" w:ascii="Times New Roman" w:hAnsi="Times New Roman" w:cs="Times New Roman"/>
                <w:color w:val="auto"/>
                <w:sz w:val="24"/>
                <w:szCs w:val="24"/>
                <w:lang w:val="en-US" w:eastAsia="zh-CN"/>
              </w:rPr>
              <w:t>证书编号：91530428MA7B2NUF7G001Q，有效期限：2023年10月23日起至2028年10月22日</w:t>
            </w:r>
            <w:r>
              <w:rPr>
                <w:rFonts w:hint="eastAsia" w:ascii="Times New Roman" w:hAnsi="Times New Roman" w:eastAsia="宋体" w:cs="Times New Roman"/>
                <w:b w:val="0"/>
                <w:bCs w:val="0"/>
                <w:caps w:val="0"/>
                <w:smallCaps w:val="0"/>
                <w:color w:val="auto"/>
                <w:kern w:val="2"/>
                <w:sz w:val="24"/>
                <w:szCs w:val="21"/>
                <w:highlight w:val="none"/>
                <w:lang w:val="en-US" w:eastAsia="zh-CN" w:bidi="ar-SA"/>
              </w:rPr>
              <w:t>），并按照环境监测计划要求进行自行监测。</w:t>
            </w:r>
          </w:p>
          <w:p w14:paraId="42BC31A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color w:val="auto"/>
                <w:sz w:val="24"/>
                <w:lang w:val="en-US" w:eastAsia="zh-CN"/>
              </w:rPr>
            </w:pPr>
            <w:r>
              <w:rPr>
                <w:rFonts w:hint="eastAsia"/>
                <w:b/>
                <w:bCs/>
                <w:color w:val="auto"/>
                <w:sz w:val="24"/>
                <w:lang w:val="en-US" w:eastAsia="zh-CN"/>
              </w:rPr>
              <w:t>五、环保投诉问题</w:t>
            </w:r>
          </w:p>
          <w:p w14:paraId="5F81E784">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b w:val="0"/>
                <w:bCs w:val="0"/>
                <w:caps w:val="0"/>
                <w:smallCaps w:val="0"/>
                <w:color w:val="auto"/>
                <w:kern w:val="2"/>
                <w:sz w:val="24"/>
                <w:szCs w:val="21"/>
                <w:highlight w:val="none"/>
                <w:lang w:val="en-US" w:eastAsia="zh-CN" w:bidi="ar-SA"/>
              </w:rPr>
            </w:pPr>
            <w:r>
              <w:rPr>
                <w:rFonts w:hint="eastAsia" w:ascii="Times New Roman" w:hAnsi="Times New Roman" w:eastAsia="宋体" w:cs="Times New Roman"/>
                <w:b w:val="0"/>
                <w:bCs w:val="0"/>
                <w:caps w:val="0"/>
                <w:smallCaps w:val="0"/>
                <w:color w:val="auto"/>
                <w:kern w:val="2"/>
                <w:sz w:val="24"/>
                <w:szCs w:val="21"/>
                <w:highlight w:val="none"/>
                <w:lang w:val="en-US" w:eastAsia="zh-CN" w:bidi="ar-SA"/>
              </w:rPr>
              <w:t>公司建成运行至今，未发生污染纠纷及投诉事件，相关部门督查检查过程中未发现相关环境问题。</w:t>
            </w:r>
          </w:p>
          <w:p w14:paraId="4CDB7C5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eastAsia="宋体"/>
                <w:b/>
                <w:bCs/>
                <w:color w:val="auto"/>
                <w:sz w:val="24"/>
                <w:lang w:val="en-US" w:eastAsia="zh-CN"/>
              </w:rPr>
            </w:pPr>
            <w:r>
              <w:rPr>
                <w:rFonts w:hint="eastAsia"/>
                <w:b/>
                <w:bCs/>
                <w:color w:val="auto"/>
                <w:sz w:val="24"/>
                <w:lang w:val="en-US" w:eastAsia="zh-CN"/>
              </w:rPr>
              <w:t>六、现有项目存在的环境问题</w:t>
            </w:r>
          </w:p>
          <w:p w14:paraId="4C6E780C">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color w:val="auto"/>
                <w:sz w:val="24"/>
                <w:lang w:val="en-US" w:eastAsia="zh-CN"/>
              </w:rPr>
            </w:pPr>
            <w:r>
              <w:rPr>
                <w:rFonts w:hint="eastAsia"/>
                <w:color w:val="auto"/>
                <w:sz w:val="24"/>
                <w:lang w:val="en-US" w:eastAsia="zh-CN"/>
              </w:rPr>
              <w:t>根据调查和现场踏勘，现有项目已基本落实了环评提出的各项污染防治措施，废气治理设施、废水处理设施均正常运行，并按要求设置了1个废气排放口、1个生产废水排放口，且悬挂了标识牌；危废贮存设施已按照相关要求进行管理。现有项目废气、废水、噪声均能做到达标排放，固废均妥善安全处置，现有项目不存在环境问题。</w:t>
            </w:r>
          </w:p>
          <w:p w14:paraId="5CCCE1D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七</w:t>
            </w:r>
            <w:r>
              <w:rPr>
                <w:rFonts w:hint="eastAsia" w:ascii="Times New Roman" w:hAnsi="Times New Roman" w:eastAsia="宋体" w:cs="Times New Roman"/>
                <w:b/>
                <w:bCs/>
                <w:color w:val="auto"/>
                <w:sz w:val="24"/>
                <w:lang w:val="en-US" w:eastAsia="zh-CN"/>
              </w:rPr>
              <w:t>、“以新带老”措施</w:t>
            </w:r>
          </w:p>
          <w:p w14:paraId="4F8E81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sz w:val="24"/>
                <w:szCs w:val="24"/>
                <w:highlight w:val="none"/>
                <w:shd w:val="clear" w:color="auto" w:fill="auto"/>
                <w:lang w:val="en-US" w:eastAsia="zh-CN"/>
              </w:rPr>
            </w:pPr>
            <w:r>
              <w:rPr>
                <w:rFonts w:hint="eastAsia" w:cs="Times New Roman"/>
                <w:color w:val="auto"/>
                <w:sz w:val="24"/>
                <w:szCs w:val="24"/>
                <w:highlight w:val="none"/>
                <w:lang w:val="en-US" w:eastAsia="zh-CN"/>
              </w:rPr>
              <w:t>将现有2t/h燃生物质锅炉拆除，更换为2.2t/h燃生物质锅炉，生物质锅炉配套环保设施由</w:t>
            </w:r>
            <w:r>
              <w:rPr>
                <w:rFonts w:hint="eastAsia"/>
                <w:color w:val="auto"/>
                <w:sz w:val="24"/>
                <w:szCs w:val="24"/>
                <w:lang w:val="en-US" w:eastAsia="zh-CN"/>
              </w:rPr>
              <w:t>“多管旋风除尘器+</w:t>
            </w:r>
            <w:r>
              <w:rPr>
                <w:rFonts w:hint="eastAsia" w:ascii="Times New Roman" w:hAnsi="Times New Roman"/>
                <w:color w:val="auto"/>
                <w:sz w:val="24"/>
                <w:szCs w:val="24"/>
                <w:highlight w:val="none"/>
                <w:lang w:val="en-US" w:eastAsia="zh-CN"/>
              </w:rPr>
              <w:t>水膜除尘器</w:t>
            </w:r>
            <w:r>
              <w:rPr>
                <w:rFonts w:hint="eastAsia"/>
                <w:color w:val="auto"/>
                <w:sz w:val="24"/>
                <w:szCs w:val="24"/>
                <w:lang w:val="en-US" w:eastAsia="zh-CN"/>
              </w:rPr>
              <w:t>“更换为“多管旋风除尘器+布袋除尘器”，并采用低氮燃烧技术</w:t>
            </w:r>
            <w:r>
              <w:rPr>
                <w:rFonts w:hint="eastAsia" w:cs="Times New Roman"/>
                <w:color w:val="auto"/>
                <w:sz w:val="24"/>
                <w:szCs w:val="24"/>
                <w:highlight w:val="none"/>
                <w:lang w:val="en-US" w:eastAsia="zh-CN"/>
              </w:rPr>
              <w:t>。</w:t>
            </w:r>
          </w:p>
          <w:p w14:paraId="252D7CDE">
            <w:pPr>
              <w:keepNext w:val="0"/>
              <w:keepLines w:val="0"/>
              <w:pageBreakBefore w:val="0"/>
              <w:widowControl w:val="0"/>
              <w:kinsoku/>
              <w:wordWrap/>
              <w:overflowPunct/>
              <w:topLinePunct w:val="0"/>
              <w:autoSpaceDE/>
              <w:autoSpaceDN/>
              <w:bidi w:val="0"/>
              <w:adjustRightInd w:val="0"/>
              <w:snapToGrid w:val="0"/>
              <w:jc w:val="left"/>
              <w:textAlignment w:val="auto"/>
              <w:rPr>
                <w:rFonts w:hint="default" w:eastAsia="宋体"/>
                <w:bCs/>
                <w:color w:val="auto"/>
                <w:szCs w:val="21"/>
                <w:lang w:val="en-US" w:eastAsia="zh-CN"/>
              </w:rPr>
            </w:pPr>
          </w:p>
          <w:p w14:paraId="6B21B08E">
            <w:pPr>
              <w:pStyle w:val="21"/>
              <w:rPr>
                <w:rFonts w:hint="default" w:eastAsia="宋体"/>
                <w:bCs/>
                <w:color w:val="auto"/>
                <w:szCs w:val="21"/>
                <w:lang w:val="en-US" w:eastAsia="zh-CN"/>
              </w:rPr>
            </w:pPr>
          </w:p>
          <w:p w14:paraId="5086A37F">
            <w:pPr>
              <w:rPr>
                <w:rFonts w:hint="default" w:eastAsia="宋体"/>
                <w:bCs/>
                <w:color w:val="auto"/>
                <w:szCs w:val="21"/>
                <w:lang w:val="en-US" w:eastAsia="zh-CN"/>
              </w:rPr>
            </w:pPr>
          </w:p>
          <w:p w14:paraId="25F23CF5">
            <w:pPr>
              <w:pStyle w:val="21"/>
              <w:rPr>
                <w:rFonts w:hint="default" w:eastAsia="宋体"/>
                <w:bCs/>
                <w:color w:val="auto"/>
                <w:szCs w:val="21"/>
                <w:lang w:val="en-US" w:eastAsia="zh-CN"/>
              </w:rPr>
            </w:pPr>
          </w:p>
          <w:p w14:paraId="381519CE">
            <w:pPr>
              <w:rPr>
                <w:rFonts w:hint="default" w:eastAsia="宋体"/>
                <w:bCs/>
                <w:color w:val="auto"/>
                <w:szCs w:val="21"/>
                <w:lang w:val="en-US" w:eastAsia="zh-CN"/>
              </w:rPr>
            </w:pPr>
          </w:p>
          <w:p w14:paraId="3738BB8D">
            <w:pPr>
              <w:pStyle w:val="21"/>
              <w:rPr>
                <w:rFonts w:hint="default" w:eastAsia="宋体"/>
                <w:bCs/>
                <w:color w:val="auto"/>
                <w:szCs w:val="21"/>
                <w:lang w:val="en-US" w:eastAsia="zh-CN"/>
              </w:rPr>
            </w:pPr>
          </w:p>
          <w:p w14:paraId="161C3A54">
            <w:pPr>
              <w:rPr>
                <w:rFonts w:hint="default" w:eastAsia="宋体"/>
                <w:bCs/>
                <w:color w:val="auto"/>
                <w:szCs w:val="21"/>
                <w:lang w:val="en-US" w:eastAsia="zh-CN"/>
              </w:rPr>
            </w:pPr>
          </w:p>
          <w:p w14:paraId="6FC7E9EA">
            <w:pPr>
              <w:pStyle w:val="21"/>
              <w:rPr>
                <w:rFonts w:hint="default" w:eastAsia="宋体"/>
                <w:bCs/>
                <w:color w:val="auto"/>
                <w:szCs w:val="21"/>
                <w:lang w:val="en-US" w:eastAsia="zh-CN"/>
              </w:rPr>
            </w:pPr>
          </w:p>
          <w:p w14:paraId="317A5DFC">
            <w:pPr>
              <w:rPr>
                <w:rFonts w:hint="default" w:eastAsia="宋体"/>
                <w:bCs/>
                <w:color w:val="auto"/>
                <w:szCs w:val="21"/>
                <w:lang w:val="en-US" w:eastAsia="zh-CN"/>
              </w:rPr>
            </w:pPr>
          </w:p>
          <w:p w14:paraId="18A4A9D7">
            <w:pPr>
              <w:pStyle w:val="21"/>
              <w:rPr>
                <w:rFonts w:hint="default" w:eastAsia="宋体"/>
                <w:bCs/>
                <w:color w:val="auto"/>
                <w:szCs w:val="21"/>
                <w:lang w:val="en-US" w:eastAsia="zh-CN"/>
              </w:rPr>
            </w:pPr>
          </w:p>
          <w:p w14:paraId="0DD3B430">
            <w:pPr>
              <w:pStyle w:val="21"/>
              <w:ind w:left="0" w:leftChars="0" w:firstLine="0" w:firstLineChars="0"/>
              <w:rPr>
                <w:rFonts w:hint="default" w:eastAsia="宋体"/>
                <w:bCs/>
                <w:color w:val="auto"/>
                <w:szCs w:val="21"/>
                <w:lang w:val="en-US" w:eastAsia="zh-CN"/>
              </w:rPr>
            </w:pPr>
          </w:p>
          <w:p w14:paraId="0FCC07DB">
            <w:pPr>
              <w:rPr>
                <w:rFonts w:hint="default" w:eastAsia="宋体"/>
                <w:bCs/>
                <w:color w:val="auto"/>
                <w:szCs w:val="21"/>
                <w:lang w:val="en-US" w:eastAsia="zh-CN"/>
              </w:rPr>
            </w:pPr>
          </w:p>
          <w:p w14:paraId="3C95E428">
            <w:pPr>
              <w:pStyle w:val="21"/>
              <w:rPr>
                <w:rFonts w:hint="default"/>
                <w:color w:val="auto"/>
                <w:lang w:val="en-US" w:eastAsia="zh-CN"/>
              </w:rPr>
            </w:pPr>
          </w:p>
          <w:p w14:paraId="4A35D9F6">
            <w:pPr>
              <w:rPr>
                <w:rFonts w:hint="default"/>
                <w:color w:val="auto"/>
                <w:lang w:val="en-US" w:eastAsia="zh-CN"/>
              </w:rPr>
            </w:pPr>
          </w:p>
        </w:tc>
      </w:tr>
    </w:tbl>
    <w:p w14:paraId="3FC8D5E5">
      <w:pPr>
        <w:rPr>
          <w:rFonts w:ascii="Times New Roman" w:hAnsi="Times New Roman" w:eastAsia="黑体" w:cs="Times New Roman"/>
          <w:snapToGrid w:val="0"/>
          <w:color w:val="auto"/>
          <w:sz w:val="30"/>
          <w:szCs w:val="30"/>
        </w:rPr>
      </w:pPr>
      <w:r>
        <w:rPr>
          <w:rFonts w:ascii="Times New Roman" w:hAnsi="Times New Roman" w:eastAsia="黑体" w:cs="Times New Roman"/>
          <w:snapToGrid w:val="0"/>
          <w:color w:val="auto"/>
          <w:sz w:val="30"/>
          <w:szCs w:val="30"/>
        </w:rPr>
        <w:br w:type="page"/>
      </w:r>
    </w:p>
    <w:p w14:paraId="79F7D28A">
      <w:pPr>
        <w:pStyle w:val="19"/>
        <w:jc w:val="center"/>
        <w:outlineLvl w:val="9"/>
        <w:rPr>
          <w:rFonts w:ascii="Times New Roman" w:hAnsi="Times New Roman" w:eastAsia="黑体" w:cs="Times New Roman"/>
          <w:snapToGrid w:val="0"/>
          <w:color w:val="auto"/>
          <w:sz w:val="30"/>
          <w:szCs w:val="30"/>
        </w:rPr>
        <w:sectPr>
          <w:footerReference r:id="rId7" w:type="default"/>
          <w:pgSz w:w="11907" w:h="16840"/>
          <w:pgMar w:top="1701" w:right="1531" w:bottom="2127" w:left="1531" w:header="851" w:footer="851" w:gutter="0"/>
          <w:pgNumType w:fmt="numberInDash"/>
          <w:cols w:space="720" w:num="1"/>
          <w:docGrid w:linePitch="312" w:charSpace="0"/>
        </w:sectPr>
      </w:pPr>
    </w:p>
    <w:p w14:paraId="09990823">
      <w:pPr>
        <w:pStyle w:val="19"/>
        <w:jc w:val="center"/>
        <w:outlineLvl w:val="0"/>
        <w:rPr>
          <w:rFonts w:ascii="Times New Roman" w:hAnsi="Times New Roman" w:eastAsia="黑体" w:cs="Times New Roman"/>
          <w:snapToGrid w:val="0"/>
          <w:color w:val="auto"/>
          <w:sz w:val="30"/>
          <w:szCs w:val="30"/>
        </w:rPr>
      </w:pPr>
      <w:bookmarkStart w:id="6" w:name="_Toc8772"/>
      <w:r>
        <w:rPr>
          <w:rFonts w:ascii="Times New Roman" w:hAnsi="Times New Roman" w:eastAsia="黑体" w:cs="Times New Roman"/>
          <w:snapToGrid w:val="0"/>
          <w:color w:val="auto"/>
          <w:sz w:val="30"/>
          <w:szCs w:val="30"/>
        </w:rPr>
        <w:t>三、区域环境质量现状、环境保护目标及评价标准</w:t>
      </w:r>
      <w:bookmarkEnd w:id="6"/>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200"/>
      </w:tblGrid>
      <w:tr w14:paraId="464532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vAlign w:val="center"/>
          </w:tcPr>
          <w:p w14:paraId="7A9592AE">
            <w:pPr>
              <w:adjustRightInd w:val="0"/>
              <w:snapToGrid w:val="0"/>
              <w:jc w:val="center"/>
              <w:rPr>
                <w:color w:val="auto"/>
                <w:kern w:val="0"/>
                <w:sz w:val="24"/>
              </w:rPr>
            </w:pPr>
            <w:r>
              <w:rPr>
                <w:color w:val="auto"/>
                <w:kern w:val="0"/>
                <w:sz w:val="24"/>
              </w:rPr>
              <w:t>区域</w:t>
            </w:r>
          </w:p>
          <w:p w14:paraId="771F5D85">
            <w:pPr>
              <w:adjustRightInd w:val="0"/>
              <w:snapToGrid w:val="0"/>
              <w:jc w:val="center"/>
              <w:rPr>
                <w:color w:val="auto"/>
                <w:kern w:val="0"/>
                <w:sz w:val="24"/>
              </w:rPr>
            </w:pPr>
            <w:r>
              <w:rPr>
                <w:color w:val="auto"/>
                <w:kern w:val="0"/>
                <w:sz w:val="24"/>
              </w:rPr>
              <w:t>环境</w:t>
            </w:r>
          </w:p>
          <w:p w14:paraId="0F8E1673">
            <w:pPr>
              <w:adjustRightInd w:val="0"/>
              <w:snapToGrid w:val="0"/>
              <w:jc w:val="center"/>
              <w:rPr>
                <w:color w:val="auto"/>
                <w:kern w:val="0"/>
                <w:sz w:val="24"/>
              </w:rPr>
            </w:pPr>
            <w:r>
              <w:rPr>
                <w:color w:val="auto"/>
                <w:kern w:val="0"/>
                <w:sz w:val="24"/>
              </w:rPr>
              <w:t>质量</w:t>
            </w:r>
          </w:p>
          <w:p w14:paraId="7BE5857B">
            <w:pPr>
              <w:adjustRightInd w:val="0"/>
              <w:snapToGrid w:val="0"/>
              <w:jc w:val="center"/>
              <w:rPr>
                <w:color w:val="auto"/>
                <w:kern w:val="0"/>
                <w:sz w:val="24"/>
              </w:rPr>
            </w:pPr>
            <w:r>
              <w:rPr>
                <w:color w:val="auto"/>
                <w:kern w:val="0"/>
                <w:sz w:val="24"/>
              </w:rPr>
              <w:t>现状</w:t>
            </w:r>
          </w:p>
        </w:tc>
        <w:tc>
          <w:tcPr>
            <w:tcW w:w="8200" w:type="dxa"/>
            <w:vAlign w:val="center"/>
          </w:tcPr>
          <w:p w14:paraId="0915A275">
            <w:pPr>
              <w:pStyle w:val="44"/>
              <w:numPr>
                <w:ilvl w:val="0"/>
                <w:numId w:val="3"/>
              </w:numPr>
              <w:spacing w:line="360" w:lineRule="auto"/>
              <w:rPr>
                <w:rFonts w:hint="eastAsia" w:eastAsia="宋体"/>
                <w:color w:val="auto"/>
                <w:kern w:val="0"/>
                <w:sz w:val="24"/>
                <w:lang w:eastAsia="zh-CN"/>
              </w:rPr>
            </w:pPr>
            <w:r>
              <w:rPr>
                <w:rFonts w:cs="Times New Roman"/>
                <w:b/>
                <w:bCs/>
                <w:color w:val="auto"/>
                <w:sz w:val="24"/>
                <w:szCs w:val="24"/>
              </w:rPr>
              <w:t>环境空气质量现状</w:t>
            </w:r>
            <w:r>
              <w:rPr>
                <w:rFonts w:cs="Times New Roman"/>
                <w:color w:val="auto"/>
                <w:sz w:val="24"/>
                <w:szCs w:val="24"/>
              </w:rPr>
              <w:t xml:space="preserve"> </w:t>
            </w:r>
          </w:p>
          <w:p w14:paraId="0BA3D994">
            <w:pPr>
              <w:spacing w:line="360" w:lineRule="auto"/>
              <w:ind w:firstLine="480" w:firstLineChars="200"/>
              <w:rPr>
                <w:color w:val="auto"/>
                <w:kern w:val="0"/>
                <w:sz w:val="24"/>
              </w:rPr>
            </w:pPr>
            <w:r>
              <w:rPr>
                <w:color w:val="auto"/>
                <w:kern w:val="0"/>
                <w:sz w:val="24"/>
              </w:rPr>
              <w:t>本项目位于</w:t>
            </w:r>
            <w:r>
              <w:rPr>
                <w:rFonts w:hint="eastAsia"/>
                <w:color w:val="auto"/>
                <w:sz w:val="24"/>
                <w:lang w:val="en-US" w:eastAsia="zh-CN"/>
              </w:rPr>
              <w:t>云南元江产业园区甘庄片区</w:t>
            </w:r>
            <w:r>
              <w:rPr>
                <w:color w:val="auto"/>
                <w:kern w:val="0"/>
                <w:sz w:val="24"/>
              </w:rPr>
              <w:t>，</w:t>
            </w:r>
            <w:r>
              <w:rPr>
                <w:rStyle w:val="72"/>
                <w:rFonts w:hint="default" w:ascii="Times New Roman" w:hAnsi="Times New Roman" w:cs="Times New Roman"/>
                <w:color w:val="auto"/>
                <w:sz w:val="24"/>
                <w:szCs w:val="24"/>
              </w:rPr>
              <w:t>根据环境空气质量功能区的分类，项目区属于二类区，执行《环境空气质量标准》（GB3095-2012）及2018年修改单二级标准。</w:t>
            </w:r>
          </w:p>
          <w:p w14:paraId="4804477E">
            <w:pPr>
              <w:spacing w:line="360" w:lineRule="auto"/>
              <w:ind w:firstLine="482" w:firstLineChars="200"/>
              <w:rPr>
                <w:rFonts w:hint="default" w:eastAsia="宋体"/>
                <w:color w:val="auto"/>
                <w:kern w:val="0"/>
                <w:sz w:val="24"/>
                <w:lang w:val="en-US" w:eastAsia="zh-CN"/>
              </w:rPr>
            </w:pPr>
            <w:r>
              <w:rPr>
                <w:rFonts w:hint="eastAsia"/>
                <w:b/>
                <w:bCs/>
                <w:color w:val="auto"/>
                <w:kern w:val="0"/>
                <w:sz w:val="24"/>
                <w:lang w:eastAsia="zh-CN"/>
              </w:rPr>
              <w:t>（</w:t>
            </w:r>
            <w:r>
              <w:rPr>
                <w:rFonts w:hint="eastAsia"/>
                <w:b/>
                <w:bCs/>
                <w:color w:val="auto"/>
                <w:kern w:val="0"/>
                <w:sz w:val="24"/>
                <w:lang w:val="en-US" w:eastAsia="zh-CN"/>
              </w:rPr>
              <w:t>1</w:t>
            </w:r>
            <w:r>
              <w:rPr>
                <w:rFonts w:hint="eastAsia"/>
                <w:b/>
                <w:bCs/>
                <w:color w:val="auto"/>
                <w:kern w:val="0"/>
                <w:sz w:val="24"/>
                <w:lang w:eastAsia="zh-CN"/>
              </w:rPr>
              <w:t>）</w:t>
            </w:r>
            <w:r>
              <w:rPr>
                <w:rFonts w:hint="eastAsia"/>
                <w:b/>
                <w:bCs/>
                <w:color w:val="auto"/>
                <w:kern w:val="0"/>
                <w:sz w:val="24"/>
                <w:lang w:val="en-US" w:eastAsia="zh-CN"/>
              </w:rPr>
              <w:t>达标区判定</w:t>
            </w:r>
          </w:p>
          <w:p w14:paraId="7EAE5058">
            <w:pPr>
              <w:spacing w:line="360" w:lineRule="auto"/>
              <w:ind w:firstLine="480" w:firstLineChars="200"/>
              <w:rPr>
                <w:color w:val="auto"/>
              </w:rPr>
            </w:pPr>
            <w:r>
              <w:rPr>
                <w:rFonts w:ascii="Times New Roman" w:hAnsi="Times New Roman" w:eastAsia="宋体" w:cs="Times New Roman"/>
                <w:color w:val="auto"/>
                <w:sz w:val="24"/>
                <w:highlight w:val="none"/>
              </w:rPr>
              <w:t>根据20</w:t>
            </w:r>
            <w:r>
              <w:rPr>
                <w:rFonts w:hint="eastAsia" w:ascii="Times New Roman" w:hAnsi="Times New Roman" w:eastAsia="宋体" w:cs="Times New Roman"/>
                <w:color w:val="auto"/>
                <w:sz w:val="24"/>
                <w:highlight w:val="none"/>
                <w:lang w:val="en-US" w:eastAsia="zh-CN"/>
              </w:rPr>
              <w:t>24</w:t>
            </w:r>
            <w:r>
              <w:rPr>
                <w:rFonts w:ascii="Times New Roman" w:hAnsi="Times New Roman" w:eastAsia="宋体" w:cs="Times New Roman"/>
                <w:color w:val="auto"/>
                <w:sz w:val="24"/>
                <w:highlight w:val="none"/>
              </w:rPr>
              <w:t>年1月~20</w:t>
            </w:r>
            <w:r>
              <w:rPr>
                <w:rFonts w:hint="eastAsia" w:ascii="Times New Roman" w:hAnsi="Times New Roman" w:eastAsia="宋体" w:cs="Times New Roman"/>
                <w:color w:val="auto"/>
                <w:sz w:val="24"/>
                <w:highlight w:val="none"/>
                <w:lang w:val="en-US" w:eastAsia="zh-CN"/>
              </w:rPr>
              <w:t>24</w:t>
            </w:r>
            <w:r>
              <w:rPr>
                <w:rFonts w:ascii="Times New Roman" w:hAnsi="Times New Roman" w:eastAsia="宋体" w:cs="Times New Roman"/>
                <w:color w:val="auto"/>
                <w:sz w:val="24"/>
                <w:highlight w:val="none"/>
              </w:rPr>
              <w:t>年12月</w:t>
            </w:r>
            <w:r>
              <w:rPr>
                <w:rFonts w:hint="eastAsia" w:ascii="Times New Roman" w:hAnsi="Times New Roman" w:eastAsia="宋体" w:cs="Times New Roman"/>
                <w:color w:val="auto"/>
                <w:sz w:val="24"/>
                <w:highlight w:val="none"/>
                <w:lang w:eastAsia="zh-CN"/>
              </w:rPr>
              <w:t>元江县环境空气自动监测站</w:t>
            </w:r>
            <w:r>
              <w:rPr>
                <w:rFonts w:ascii="Times New Roman" w:hAnsi="Times New Roman" w:eastAsia="宋体" w:cs="Times New Roman"/>
                <w:color w:val="auto"/>
                <w:sz w:val="24"/>
                <w:highlight w:val="none"/>
              </w:rPr>
              <w:t>空气</w:t>
            </w:r>
            <w:r>
              <w:rPr>
                <w:rFonts w:ascii="Times New Roman" w:hAnsi="Times New Roman" w:eastAsia="宋体" w:cs="Times New Roman"/>
                <w:color w:val="auto"/>
                <w:sz w:val="24"/>
              </w:rPr>
              <w:t>可吸入颗粒物（PM</w:t>
            </w:r>
            <w:r>
              <w:rPr>
                <w:rFonts w:ascii="Times New Roman" w:hAnsi="Times New Roman" w:eastAsia="宋体" w:cs="Times New Roman"/>
                <w:color w:val="auto"/>
                <w:sz w:val="24"/>
                <w:vertAlign w:val="subscript"/>
              </w:rPr>
              <w:t>10</w:t>
            </w:r>
            <w:r>
              <w:rPr>
                <w:rFonts w:ascii="Times New Roman" w:hAnsi="Times New Roman" w:eastAsia="宋体" w:cs="Times New Roman"/>
                <w:color w:val="auto"/>
                <w:sz w:val="24"/>
              </w:rPr>
              <w:t>）、细颗粒物（PM</w:t>
            </w:r>
            <w:r>
              <w:rPr>
                <w:rFonts w:ascii="Times New Roman" w:hAnsi="Times New Roman" w:eastAsia="宋体" w:cs="Times New Roman"/>
                <w:color w:val="auto"/>
                <w:sz w:val="24"/>
                <w:vertAlign w:val="subscript"/>
              </w:rPr>
              <w:t>2.5</w:t>
            </w:r>
            <w:r>
              <w:rPr>
                <w:rFonts w:ascii="Times New Roman" w:hAnsi="Times New Roman" w:eastAsia="宋体" w:cs="Times New Roman"/>
                <w:color w:val="auto"/>
                <w:sz w:val="24"/>
              </w:rPr>
              <w:t>）、二氧化硫（SO</w:t>
            </w:r>
            <w:r>
              <w:rPr>
                <w:rFonts w:ascii="Times New Roman" w:hAnsi="Times New Roman" w:eastAsia="宋体" w:cs="Times New Roman"/>
                <w:color w:val="auto"/>
                <w:sz w:val="24"/>
                <w:vertAlign w:val="subscript"/>
              </w:rPr>
              <w:t>2</w:t>
            </w:r>
            <w:r>
              <w:rPr>
                <w:rFonts w:ascii="Times New Roman" w:hAnsi="Times New Roman" w:eastAsia="宋体" w:cs="Times New Roman"/>
                <w:color w:val="auto"/>
                <w:sz w:val="24"/>
              </w:rPr>
              <w:t>）、二氧化氮（NO</w:t>
            </w:r>
            <w:r>
              <w:rPr>
                <w:rFonts w:ascii="Times New Roman" w:hAnsi="Times New Roman" w:eastAsia="宋体" w:cs="Times New Roman"/>
                <w:color w:val="auto"/>
                <w:sz w:val="24"/>
                <w:vertAlign w:val="subscript"/>
              </w:rPr>
              <w:t>2</w:t>
            </w:r>
            <w:r>
              <w:rPr>
                <w:rFonts w:ascii="Times New Roman" w:hAnsi="Times New Roman" w:eastAsia="宋体" w:cs="Times New Roman"/>
                <w:color w:val="auto"/>
                <w:sz w:val="24"/>
              </w:rPr>
              <w:t>）、一氧化碳（CO）、臭氧（O</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）年平均浓度满足《环境空气质量标准》（GB3095-2012</w:t>
            </w:r>
            <w:r>
              <w:rPr>
                <w:rFonts w:hint="eastAsia" w:ascii="Times New Roman" w:hAnsi="Times New Roman" w:eastAsia="宋体" w:cs="Times New Roman"/>
                <w:color w:val="auto"/>
                <w:sz w:val="24"/>
                <w:lang w:eastAsia="zh-CN"/>
              </w:rPr>
              <w:t>）及</w:t>
            </w:r>
            <w:r>
              <w:rPr>
                <w:rFonts w:hint="eastAsia" w:ascii="Times New Roman" w:hAnsi="Times New Roman" w:eastAsia="宋体" w:cs="Times New Roman"/>
                <w:bCs/>
                <w:color w:val="auto"/>
                <w:kern w:val="0"/>
                <w:sz w:val="24"/>
                <w:lang w:val="en-US" w:eastAsia="zh-CN"/>
              </w:rPr>
              <w:t>2018年修改单中的</w:t>
            </w:r>
            <w:r>
              <w:rPr>
                <w:rFonts w:ascii="Times New Roman" w:hAnsi="Times New Roman" w:eastAsia="宋体" w:cs="Times New Roman"/>
                <w:color w:val="auto"/>
                <w:sz w:val="24"/>
              </w:rPr>
              <w:t>二级标准。</w:t>
            </w:r>
            <w:r>
              <w:rPr>
                <w:color w:val="auto"/>
                <w:sz w:val="24"/>
              </w:rPr>
              <w:t>元江县环境空气质量自动监测系统位于元江四小，与本项目直线距离约9.22km，位于本项目侧上风向。监测结果</w:t>
            </w:r>
            <w:r>
              <w:rPr>
                <w:rFonts w:hint="eastAsia"/>
                <w:color w:val="auto"/>
                <w:sz w:val="24"/>
                <w:lang w:val="en-US" w:eastAsia="zh-CN"/>
              </w:rPr>
              <w:t>详见下表</w:t>
            </w:r>
            <w:r>
              <w:rPr>
                <w:color w:val="auto"/>
                <w:sz w:val="24"/>
              </w:rPr>
              <w:t>。</w:t>
            </w:r>
          </w:p>
          <w:p w14:paraId="33C245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color w:val="auto"/>
                <w:sz w:val="24"/>
                <w:szCs w:val="32"/>
                <w:highlight w:val="none"/>
              </w:rPr>
            </w:pPr>
            <w:r>
              <w:rPr>
                <w:rFonts w:ascii="Times New Roman" w:hAnsi="Times New Roman" w:eastAsia="宋体" w:cs="Times New Roman"/>
                <w:b/>
                <w:color w:val="auto"/>
                <w:sz w:val="21"/>
                <w:szCs w:val="24"/>
                <w:highlight w:val="none"/>
              </w:rPr>
              <w:t>表3-</w:t>
            </w:r>
            <w:r>
              <w:rPr>
                <w:rFonts w:hint="eastAsia" w:ascii="Times New Roman" w:hAnsi="Times New Roman" w:eastAsia="宋体" w:cs="Times New Roman"/>
                <w:b/>
                <w:color w:val="auto"/>
                <w:sz w:val="21"/>
                <w:szCs w:val="24"/>
                <w:highlight w:val="none"/>
                <w:lang w:val="en-US" w:eastAsia="zh-CN"/>
              </w:rPr>
              <w:t>1</w:t>
            </w:r>
            <w:r>
              <w:rPr>
                <w:rFonts w:ascii="Times New Roman" w:hAnsi="Times New Roman" w:eastAsia="宋体" w:cs="Times New Roman"/>
                <w:b/>
                <w:color w:val="auto"/>
                <w:sz w:val="21"/>
                <w:szCs w:val="24"/>
                <w:highlight w:val="none"/>
              </w:rPr>
              <w:t xml:space="preserve">   20</w:t>
            </w:r>
            <w:r>
              <w:rPr>
                <w:rFonts w:hint="eastAsia" w:ascii="Times New Roman" w:hAnsi="Times New Roman" w:eastAsia="宋体" w:cs="Times New Roman"/>
                <w:b/>
                <w:color w:val="auto"/>
                <w:sz w:val="21"/>
                <w:szCs w:val="24"/>
                <w:highlight w:val="none"/>
                <w:lang w:val="en-US" w:eastAsia="zh-CN"/>
              </w:rPr>
              <w:t>24</w:t>
            </w:r>
            <w:r>
              <w:rPr>
                <w:rFonts w:ascii="Times New Roman" w:hAnsi="Times New Roman" w:eastAsia="宋体" w:cs="Times New Roman"/>
                <w:b/>
                <w:color w:val="auto"/>
                <w:sz w:val="21"/>
                <w:szCs w:val="24"/>
                <w:highlight w:val="none"/>
              </w:rPr>
              <w:t>年</w:t>
            </w:r>
            <w:r>
              <w:rPr>
                <w:rFonts w:hint="eastAsia" w:ascii="Times New Roman" w:hAnsi="Times New Roman" w:eastAsia="宋体" w:cs="Times New Roman"/>
                <w:b/>
                <w:color w:val="auto"/>
                <w:sz w:val="21"/>
                <w:szCs w:val="24"/>
                <w:highlight w:val="none"/>
                <w:lang w:eastAsia="zh-CN"/>
              </w:rPr>
              <w:t>元江县</w:t>
            </w:r>
            <w:r>
              <w:rPr>
                <w:rFonts w:ascii="Times New Roman" w:hAnsi="Times New Roman" w:eastAsia="宋体" w:cs="Times New Roman"/>
                <w:b/>
                <w:color w:val="auto"/>
                <w:sz w:val="21"/>
                <w:szCs w:val="24"/>
                <w:highlight w:val="none"/>
              </w:rPr>
              <w:t>环境空气质量现状统计表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2325"/>
              <w:gridCol w:w="1269"/>
              <w:gridCol w:w="1385"/>
              <w:gridCol w:w="1173"/>
              <w:gridCol w:w="913"/>
            </w:tblGrid>
            <w:tr w14:paraId="1D50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9" w:type="pct"/>
                  <w:noWrap w:val="0"/>
                  <w:vAlign w:val="center"/>
                </w:tcPr>
                <w:p w14:paraId="6434906C">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w:t>
                  </w:r>
                </w:p>
              </w:tc>
              <w:tc>
                <w:tcPr>
                  <w:tcW w:w="1457" w:type="pct"/>
                  <w:noWrap w:val="0"/>
                  <w:vAlign w:val="center"/>
                </w:tcPr>
                <w:p w14:paraId="15B51F1B">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年评价指标</w:t>
                  </w:r>
                </w:p>
              </w:tc>
              <w:tc>
                <w:tcPr>
                  <w:tcW w:w="795" w:type="pct"/>
                  <w:noWrap w:val="0"/>
                  <w:vAlign w:val="center"/>
                </w:tcPr>
                <w:p w14:paraId="3D262BF7">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现状浓度</w:t>
                  </w:r>
                </w:p>
                <w:p w14:paraId="70D1BCBE">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（µg/m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w:t>
                  </w:r>
                </w:p>
              </w:tc>
              <w:tc>
                <w:tcPr>
                  <w:tcW w:w="868" w:type="pct"/>
                  <w:noWrap w:val="0"/>
                  <w:vAlign w:val="center"/>
                </w:tcPr>
                <w:p w14:paraId="324ECC74">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标准值</w:t>
                  </w:r>
                </w:p>
                <w:p w14:paraId="46CEFB8B">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（µg/m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w:t>
                  </w:r>
                </w:p>
              </w:tc>
              <w:tc>
                <w:tcPr>
                  <w:tcW w:w="735" w:type="pct"/>
                  <w:noWrap w:val="0"/>
                  <w:vAlign w:val="center"/>
                </w:tcPr>
                <w:p w14:paraId="3F77971F">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占标率/%</w:t>
                  </w:r>
                </w:p>
              </w:tc>
              <w:tc>
                <w:tcPr>
                  <w:tcW w:w="572" w:type="pct"/>
                  <w:noWrap w:val="0"/>
                  <w:vAlign w:val="center"/>
                </w:tcPr>
                <w:p w14:paraId="252EE351">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达标情况</w:t>
                  </w:r>
                </w:p>
              </w:tc>
            </w:tr>
            <w:tr w14:paraId="1DF9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9" w:type="pct"/>
                  <w:vMerge w:val="restart"/>
                  <w:noWrap w:val="0"/>
                  <w:vAlign w:val="center"/>
                </w:tcPr>
                <w:p w14:paraId="5B18C566">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SO</w:t>
                  </w:r>
                  <w:r>
                    <w:rPr>
                      <w:rFonts w:hint="default" w:ascii="Times New Roman" w:hAnsi="Times New Roman" w:eastAsia="宋体" w:cs="Times New Roman"/>
                      <w:color w:val="auto"/>
                      <w:vertAlign w:val="subscript"/>
                    </w:rPr>
                    <w:t>2</w:t>
                  </w:r>
                </w:p>
              </w:tc>
              <w:tc>
                <w:tcPr>
                  <w:tcW w:w="1457" w:type="pct"/>
                  <w:noWrap w:val="0"/>
                  <w:vAlign w:val="center"/>
                </w:tcPr>
                <w:p w14:paraId="320521BB">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年平均质量浓度</w:t>
                  </w:r>
                </w:p>
              </w:tc>
              <w:tc>
                <w:tcPr>
                  <w:tcW w:w="795" w:type="pct"/>
                  <w:noWrap w:val="0"/>
                  <w:vAlign w:val="center"/>
                </w:tcPr>
                <w:p w14:paraId="0933D713">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6.06</w:t>
                  </w:r>
                </w:p>
              </w:tc>
              <w:tc>
                <w:tcPr>
                  <w:tcW w:w="868" w:type="pct"/>
                  <w:noWrap w:val="0"/>
                  <w:vAlign w:val="center"/>
                </w:tcPr>
                <w:p w14:paraId="263BCCFE">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c>
                <w:tcPr>
                  <w:tcW w:w="735" w:type="pct"/>
                  <w:noWrap w:val="0"/>
                  <w:vAlign w:val="center"/>
                </w:tcPr>
                <w:p w14:paraId="3BCE291F">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10.1</w:t>
                  </w:r>
                </w:p>
              </w:tc>
              <w:tc>
                <w:tcPr>
                  <w:tcW w:w="572" w:type="pct"/>
                  <w:noWrap w:val="0"/>
                  <w:vAlign w:val="center"/>
                </w:tcPr>
                <w:p w14:paraId="15DF9960">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0D75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9" w:type="pct"/>
                  <w:vMerge w:val="continue"/>
                  <w:noWrap w:val="0"/>
                  <w:vAlign w:val="center"/>
                </w:tcPr>
                <w:p w14:paraId="52E9469F">
                  <w:pPr>
                    <w:jc w:val="center"/>
                    <w:rPr>
                      <w:rFonts w:hint="default" w:ascii="Times New Roman" w:hAnsi="Times New Roman" w:eastAsia="宋体" w:cs="Times New Roman"/>
                      <w:color w:val="auto"/>
                    </w:rPr>
                  </w:pPr>
                </w:p>
              </w:tc>
              <w:tc>
                <w:tcPr>
                  <w:tcW w:w="1457" w:type="pct"/>
                  <w:noWrap w:val="0"/>
                  <w:vAlign w:val="center"/>
                </w:tcPr>
                <w:p w14:paraId="6D4747D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98%日平均质量浓度</w:t>
                  </w:r>
                </w:p>
              </w:tc>
              <w:tc>
                <w:tcPr>
                  <w:tcW w:w="795" w:type="pct"/>
                  <w:noWrap w:val="0"/>
                  <w:vAlign w:val="center"/>
                </w:tcPr>
                <w:p w14:paraId="059100E5">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10</w:t>
                  </w:r>
                </w:p>
              </w:tc>
              <w:tc>
                <w:tcPr>
                  <w:tcW w:w="868" w:type="pct"/>
                  <w:noWrap w:val="0"/>
                  <w:vAlign w:val="center"/>
                </w:tcPr>
                <w:p w14:paraId="74AC7168">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150</w:t>
                  </w:r>
                </w:p>
              </w:tc>
              <w:tc>
                <w:tcPr>
                  <w:tcW w:w="735" w:type="pct"/>
                  <w:noWrap w:val="0"/>
                  <w:vAlign w:val="center"/>
                </w:tcPr>
                <w:p w14:paraId="56B7821A">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6.67</w:t>
                  </w:r>
                </w:p>
              </w:tc>
              <w:tc>
                <w:tcPr>
                  <w:tcW w:w="572" w:type="pct"/>
                  <w:noWrap w:val="0"/>
                  <w:vAlign w:val="center"/>
                </w:tcPr>
                <w:p w14:paraId="6223D90A">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06D8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9" w:type="pct"/>
                  <w:vMerge w:val="restart"/>
                  <w:noWrap w:val="0"/>
                  <w:vAlign w:val="center"/>
                </w:tcPr>
                <w:p w14:paraId="429C6258">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2</w:t>
                  </w:r>
                </w:p>
              </w:tc>
              <w:tc>
                <w:tcPr>
                  <w:tcW w:w="1457" w:type="pct"/>
                  <w:noWrap w:val="0"/>
                  <w:vAlign w:val="center"/>
                </w:tcPr>
                <w:p w14:paraId="3ECDCD51">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年平均质量浓度</w:t>
                  </w:r>
                </w:p>
              </w:tc>
              <w:tc>
                <w:tcPr>
                  <w:tcW w:w="795" w:type="pct"/>
                  <w:noWrap w:val="0"/>
                  <w:vAlign w:val="center"/>
                </w:tcPr>
                <w:p w14:paraId="70B7417A">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11.83</w:t>
                  </w:r>
                </w:p>
              </w:tc>
              <w:tc>
                <w:tcPr>
                  <w:tcW w:w="868" w:type="pct"/>
                  <w:noWrap w:val="0"/>
                  <w:vAlign w:val="center"/>
                </w:tcPr>
                <w:p w14:paraId="41C1C439">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40</w:t>
                  </w:r>
                </w:p>
              </w:tc>
              <w:tc>
                <w:tcPr>
                  <w:tcW w:w="735" w:type="pct"/>
                  <w:noWrap w:val="0"/>
                  <w:vAlign w:val="center"/>
                </w:tcPr>
                <w:p w14:paraId="1563DD27">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29.575</w:t>
                  </w:r>
                </w:p>
              </w:tc>
              <w:tc>
                <w:tcPr>
                  <w:tcW w:w="572" w:type="pct"/>
                  <w:noWrap w:val="0"/>
                  <w:vAlign w:val="center"/>
                </w:tcPr>
                <w:p w14:paraId="2CE21E78">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7E42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9" w:type="pct"/>
                  <w:vMerge w:val="continue"/>
                  <w:noWrap w:val="0"/>
                  <w:vAlign w:val="center"/>
                </w:tcPr>
                <w:p w14:paraId="3F667022">
                  <w:pPr>
                    <w:jc w:val="center"/>
                    <w:rPr>
                      <w:rFonts w:hint="default" w:ascii="Times New Roman" w:hAnsi="Times New Roman" w:eastAsia="宋体" w:cs="Times New Roman"/>
                      <w:color w:val="auto"/>
                    </w:rPr>
                  </w:pPr>
                </w:p>
              </w:tc>
              <w:tc>
                <w:tcPr>
                  <w:tcW w:w="1457" w:type="pct"/>
                  <w:noWrap w:val="0"/>
                  <w:vAlign w:val="center"/>
                </w:tcPr>
                <w:p w14:paraId="5510514B">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98%日平均质量浓度</w:t>
                  </w:r>
                </w:p>
              </w:tc>
              <w:tc>
                <w:tcPr>
                  <w:tcW w:w="795" w:type="pct"/>
                  <w:noWrap w:val="0"/>
                  <w:vAlign w:val="center"/>
                </w:tcPr>
                <w:p w14:paraId="22B7F505">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29.7</w:t>
                  </w:r>
                </w:p>
              </w:tc>
              <w:tc>
                <w:tcPr>
                  <w:tcW w:w="868" w:type="pct"/>
                  <w:noWrap w:val="0"/>
                  <w:vAlign w:val="center"/>
                </w:tcPr>
                <w:p w14:paraId="27B6662F">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80</w:t>
                  </w:r>
                </w:p>
              </w:tc>
              <w:tc>
                <w:tcPr>
                  <w:tcW w:w="735" w:type="pct"/>
                  <w:noWrap w:val="0"/>
                  <w:vAlign w:val="center"/>
                </w:tcPr>
                <w:p w14:paraId="1A9EA7CA">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37.125</w:t>
                  </w:r>
                </w:p>
              </w:tc>
              <w:tc>
                <w:tcPr>
                  <w:tcW w:w="572" w:type="pct"/>
                  <w:noWrap w:val="0"/>
                  <w:vAlign w:val="center"/>
                </w:tcPr>
                <w:p w14:paraId="378ADDAF">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774F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9" w:type="pct"/>
                  <w:vMerge w:val="restart"/>
                  <w:noWrap w:val="0"/>
                  <w:vAlign w:val="center"/>
                </w:tcPr>
                <w:p w14:paraId="4533ECB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10</w:t>
                  </w:r>
                </w:p>
              </w:tc>
              <w:tc>
                <w:tcPr>
                  <w:tcW w:w="1457" w:type="pct"/>
                  <w:noWrap w:val="0"/>
                  <w:vAlign w:val="center"/>
                </w:tcPr>
                <w:p w14:paraId="5FA3B9FC">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年平均质量浓度</w:t>
                  </w:r>
                </w:p>
              </w:tc>
              <w:tc>
                <w:tcPr>
                  <w:tcW w:w="795" w:type="pct"/>
                  <w:noWrap w:val="0"/>
                  <w:vAlign w:val="center"/>
                </w:tcPr>
                <w:p w14:paraId="2629BA97">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31.22</w:t>
                  </w:r>
                </w:p>
              </w:tc>
              <w:tc>
                <w:tcPr>
                  <w:tcW w:w="868" w:type="pct"/>
                  <w:noWrap w:val="0"/>
                  <w:vAlign w:val="center"/>
                </w:tcPr>
                <w:p w14:paraId="17305E26">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70</w:t>
                  </w:r>
                </w:p>
              </w:tc>
              <w:tc>
                <w:tcPr>
                  <w:tcW w:w="735" w:type="pct"/>
                  <w:noWrap w:val="0"/>
                  <w:vAlign w:val="center"/>
                </w:tcPr>
                <w:p w14:paraId="1B88320C">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44.6</w:t>
                  </w:r>
                </w:p>
              </w:tc>
              <w:tc>
                <w:tcPr>
                  <w:tcW w:w="572" w:type="pct"/>
                  <w:noWrap w:val="0"/>
                  <w:vAlign w:val="center"/>
                </w:tcPr>
                <w:p w14:paraId="439A3445">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2E37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9" w:type="pct"/>
                  <w:vMerge w:val="continue"/>
                  <w:noWrap w:val="0"/>
                  <w:vAlign w:val="center"/>
                </w:tcPr>
                <w:p w14:paraId="48692BD3">
                  <w:pPr>
                    <w:jc w:val="center"/>
                    <w:rPr>
                      <w:rFonts w:hint="default" w:ascii="Times New Roman" w:hAnsi="Times New Roman" w:eastAsia="宋体" w:cs="Times New Roman"/>
                      <w:color w:val="auto"/>
                    </w:rPr>
                  </w:pPr>
                </w:p>
              </w:tc>
              <w:tc>
                <w:tcPr>
                  <w:tcW w:w="1457" w:type="pct"/>
                  <w:noWrap w:val="0"/>
                  <w:vAlign w:val="center"/>
                </w:tcPr>
                <w:p w14:paraId="79510086">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95%日平均质量浓度</w:t>
                  </w:r>
                </w:p>
              </w:tc>
              <w:tc>
                <w:tcPr>
                  <w:tcW w:w="795" w:type="pct"/>
                  <w:noWrap w:val="0"/>
                  <w:vAlign w:val="center"/>
                </w:tcPr>
                <w:p w14:paraId="0D9244A3">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59</w:t>
                  </w:r>
                </w:p>
              </w:tc>
              <w:tc>
                <w:tcPr>
                  <w:tcW w:w="868" w:type="pct"/>
                  <w:noWrap w:val="0"/>
                  <w:vAlign w:val="center"/>
                </w:tcPr>
                <w:p w14:paraId="1B02C42D">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150</w:t>
                  </w:r>
                </w:p>
              </w:tc>
              <w:tc>
                <w:tcPr>
                  <w:tcW w:w="735" w:type="pct"/>
                  <w:noWrap w:val="0"/>
                  <w:vAlign w:val="center"/>
                </w:tcPr>
                <w:p w14:paraId="3D22757B">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39.33</w:t>
                  </w:r>
                </w:p>
              </w:tc>
              <w:tc>
                <w:tcPr>
                  <w:tcW w:w="572" w:type="pct"/>
                  <w:noWrap w:val="0"/>
                  <w:vAlign w:val="center"/>
                </w:tcPr>
                <w:p w14:paraId="5E2C2590">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5994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9" w:type="pct"/>
                  <w:vMerge w:val="restart"/>
                  <w:noWrap w:val="0"/>
                  <w:vAlign w:val="center"/>
                </w:tcPr>
                <w:p w14:paraId="7630652A">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2.5</w:t>
                  </w:r>
                </w:p>
              </w:tc>
              <w:tc>
                <w:tcPr>
                  <w:tcW w:w="1457" w:type="pct"/>
                  <w:noWrap w:val="0"/>
                  <w:vAlign w:val="center"/>
                </w:tcPr>
                <w:p w14:paraId="48D3EFA5">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年平均质量浓度</w:t>
                  </w:r>
                </w:p>
              </w:tc>
              <w:tc>
                <w:tcPr>
                  <w:tcW w:w="795" w:type="pct"/>
                  <w:noWrap w:val="0"/>
                  <w:vAlign w:val="center"/>
                </w:tcPr>
                <w:p w14:paraId="3A5EDFD5">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23.22</w:t>
                  </w:r>
                </w:p>
              </w:tc>
              <w:tc>
                <w:tcPr>
                  <w:tcW w:w="868" w:type="pct"/>
                  <w:noWrap w:val="0"/>
                  <w:vAlign w:val="center"/>
                </w:tcPr>
                <w:p w14:paraId="0852EEF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35</w:t>
                  </w:r>
                </w:p>
              </w:tc>
              <w:tc>
                <w:tcPr>
                  <w:tcW w:w="735" w:type="pct"/>
                  <w:noWrap w:val="0"/>
                  <w:vAlign w:val="center"/>
                </w:tcPr>
                <w:p w14:paraId="653019DF">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66.34</w:t>
                  </w:r>
                </w:p>
              </w:tc>
              <w:tc>
                <w:tcPr>
                  <w:tcW w:w="572" w:type="pct"/>
                  <w:noWrap w:val="0"/>
                  <w:vAlign w:val="center"/>
                </w:tcPr>
                <w:p w14:paraId="7266CC7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1573E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9" w:type="pct"/>
                  <w:vMerge w:val="continue"/>
                  <w:noWrap w:val="0"/>
                  <w:vAlign w:val="center"/>
                </w:tcPr>
                <w:p w14:paraId="3383116F">
                  <w:pPr>
                    <w:jc w:val="center"/>
                    <w:rPr>
                      <w:rFonts w:hint="default" w:ascii="Times New Roman" w:hAnsi="Times New Roman" w:eastAsia="宋体" w:cs="Times New Roman"/>
                      <w:color w:val="auto"/>
                    </w:rPr>
                  </w:pPr>
                </w:p>
              </w:tc>
              <w:tc>
                <w:tcPr>
                  <w:tcW w:w="1457" w:type="pct"/>
                  <w:noWrap w:val="0"/>
                  <w:vAlign w:val="center"/>
                </w:tcPr>
                <w:p w14:paraId="781F1942">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95%日平均质量浓度</w:t>
                  </w:r>
                </w:p>
              </w:tc>
              <w:tc>
                <w:tcPr>
                  <w:tcW w:w="795" w:type="pct"/>
                  <w:noWrap w:val="0"/>
                  <w:vAlign w:val="center"/>
                </w:tcPr>
                <w:p w14:paraId="1A8877FB">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54.75</w:t>
                  </w:r>
                </w:p>
              </w:tc>
              <w:tc>
                <w:tcPr>
                  <w:tcW w:w="868" w:type="pct"/>
                  <w:noWrap w:val="0"/>
                  <w:vAlign w:val="center"/>
                </w:tcPr>
                <w:p w14:paraId="4D80ECF0">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75</w:t>
                  </w:r>
                </w:p>
              </w:tc>
              <w:tc>
                <w:tcPr>
                  <w:tcW w:w="735" w:type="pct"/>
                  <w:noWrap w:val="0"/>
                  <w:vAlign w:val="center"/>
                </w:tcPr>
                <w:p w14:paraId="3E7A5768">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73</w:t>
                  </w:r>
                </w:p>
              </w:tc>
              <w:tc>
                <w:tcPr>
                  <w:tcW w:w="572" w:type="pct"/>
                  <w:noWrap w:val="0"/>
                  <w:vAlign w:val="center"/>
                </w:tcPr>
                <w:p w14:paraId="2C1951FD">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6ED4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9" w:type="pct"/>
                  <w:noWrap w:val="0"/>
                  <w:vAlign w:val="center"/>
                </w:tcPr>
                <w:p w14:paraId="5C43D70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CO</w:t>
                  </w:r>
                </w:p>
              </w:tc>
              <w:tc>
                <w:tcPr>
                  <w:tcW w:w="1457" w:type="pct"/>
                  <w:noWrap w:val="0"/>
                  <w:vAlign w:val="center"/>
                </w:tcPr>
                <w:p w14:paraId="5E8C7D2B">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95%日平均质量浓度</w:t>
                  </w:r>
                </w:p>
              </w:tc>
              <w:tc>
                <w:tcPr>
                  <w:tcW w:w="795" w:type="pct"/>
                  <w:noWrap w:val="0"/>
                  <w:vAlign w:val="center"/>
                </w:tcPr>
                <w:p w14:paraId="65CB2E8F">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1000</w:t>
                  </w:r>
                </w:p>
              </w:tc>
              <w:tc>
                <w:tcPr>
                  <w:tcW w:w="868" w:type="pct"/>
                  <w:noWrap w:val="0"/>
                  <w:vAlign w:val="center"/>
                </w:tcPr>
                <w:p w14:paraId="71B57502">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4000</w:t>
                  </w:r>
                </w:p>
              </w:tc>
              <w:tc>
                <w:tcPr>
                  <w:tcW w:w="735" w:type="pct"/>
                  <w:noWrap w:val="0"/>
                  <w:vAlign w:val="center"/>
                </w:tcPr>
                <w:p w14:paraId="559FB929">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25</w:t>
                  </w:r>
                </w:p>
              </w:tc>
              <w:tc>
                <w:tcPr>
                  <w:tcW w:w="572" w:type="pct"/>
                  <w:noWrap w:val="0"/>
                  <w:vAlign w:val="center"/>
                </w:tcPr>
                <w:p w14:paraId="44726464">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0E60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9" w:type="pct"/>
                  <w:noWrap w:val="0"/>
                  <w:vAlign w:val="center"/>
                </w:tcPr>
                <w:p w14:paraId="4E6B9E3F">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O</w:t>
                  </w:r>
                  <w:r>
                    <w:rPr>
                      <w:rFonts w:hint="default" w:ascii="Times New Roman" w:hAnsi="Times New Roman" w:eastAsia="宋体" w:cs="Times New Roman"/>
                      <w:color w:val="auto"/>
                      <w:vertAlign w:val="subscript"/>
                    </w:rPr>
                    <w:t>3</w:t>
                  </w:r>
                </w:p>
              </w:tc>
              <w:tc>
                <w:tcPr>
                  <w:tcW w:w="1457" w:type="pct"/>
                  <w:noWrap w:val="0"/>
                  <w:vAlign w:val="center"/>
                </w:tcPr>
                <w:p w14:paraId="2189DD10">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90%日最大8小时平均质量浓度</w:t>
                  </w:r>
                </w:p>
              </w:tc>
              <w:tc>
                <w:tcPr>
                  <w:tcW w:w="795" w:type="pct"/>
                  <w:noWrap w:val="0"/>
                  <w:vAlign w:val="center"/>
                </w:tcPr>
                <w:p w14:paraId="74D15F6C">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119</w:t>
                  </w:r>
                </w:p>
              </w:tc>
              <w:tc>
                <w:tcPr>
                  <w:tcW w:w="868" w:type="pct"/>
                  <w:noWrap w:val="0"/>
                  <w:vAlign w:val="center"/>
                </w:tcPr>
                <w:p w14:paraId="446192BA">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160</w:t>
                  </w:r>
                </w:p>
              </w:tc>
              <w:tc>
                <w:tcPr>
                  <w:tcW w:w="735" w:type="pct"/>
                  <w:noWrap w:val="0"/>
                  <w:vAlign w:val="center"/>
                </w:tcPr>
                <w:p w14:paraId="723980AE">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74.375</w:t>
                  </w:r>
                </w:p>
              </w:tc>
              <w:tc>
                <w:tcPr>
                  <w:tcW w:w="572" w:type="pct"/>
                  <w:noWrap w:val="0"/>
                  <w:vAlign w:val="center"/>
                </w:tcPr>
                <w:p w14:paraId="129970A1">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bl>
          <w:p w14:paraId="6BD75083">
            <w:pPr>
              <w:widowControl/>
              <w:spacing w:line="360" w:lineRule="auto"/>
              <w:ind w:firstLine="480" w:firstLineChars="200"/>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bCs/>
                <w:color w:val="auto"/>
                <w:sz w:val="24"/>
              </w:rPr>
              <w:t>根据上表所示：</w:t>
            </w:r>
            <w:r>
              <w:rPr>
                <w:rFonts w:hint="eastAsia" w:ascii="Times New Roman" w:hAnsi="Times New Roman" w:eastAsia="宋体" w:cs="Times New Roman"/>
                <w:bCs/>
                <w:color w:val="auto"/>
                <w:sz w:val="24"/>
                <w:highlight w:val="none"/>
              </w:rPr>
              <w:t>20</w:t>
            </w:r>
            <w:r>
              <w:rPr>
                <w:rFonts w:hint="eastAsia" w:ascii="Times New Roman" w:hAnsi="Times New Roman" w:eastAsia="宋体" w:cs="Times New Roman"/>
                <w:bCs/>
                <w:color w:val="auto"/>
                <w:sz w:val="24"/>
                <w:highlight w:val="none"/>
                <w:lang w:val="en-US" w:eastAsia="zh-CN"/>
              </w:rPr>
              <w:t>24</w:t>
            </w:r>
            <w:r>
              <w:rPr>
                <w:rFonts w:hint="eastAsia" w:ascii="Times New Roman" w:hAnsi="Times New Roman" w:eastAsia="宋体" w:cs="Times New Roman"/>
                <w:bCs/>
                <w:color w:val="auto"/>
                <w:sz w:val="24"/>
                <w:highlight w:val="none"/>
              </w:rPr>
              <w:t>年</w:t>
            </w:r>
            <w:r>
              <w:rPr>
                <w:rFonts w:hint="eastAsia" w:ascii="Times New Roman" w:hAnsi="Times New Roman" w:eastAsia="宋体" w:cs="Times New Roman"/>
                <w:bCs/>
                <w:color w:val="auto"/>
                <w:sz w:val="24"/>
                <w:highlight w:val="none"/>
                <w:lang w:eastAsia="zh-CN"/>
              </w:rPr>
              <w:t>元江县</w:t>
            </w:r>
            <w:r>
              <w:rPr>
                <w:rFonts w:hint="eastAsia" w:ascii="Times New Roman" w:hAnsi="Times New Roman" w:eastAsia="宋体" w:cs="Times New Roman"/>
                <w:bCs/>
                <w:color w:val="auto"/>
                <w:sz w:val="24"/>
                <w:highlight w:val="none"/>
              </w:rPr>
              <w:t>环境</w:t>
            </w:r>
            <w:r>
              <w:rPr>
                <w:rFonts w:hint="eastAsia" w:ascii="Times New Roman" w:hAnsi="Times New Roman" w:eastAsia="宋体" w:cs="Times New Roman"/>
                <w:bCs/>
                <w:color w:val="auto"/>
                <w:sz w:val="24"/>
              </w:rPr>
              <w:t>空气PM</w:t>
            </w:r>
            <w:r>
              <w:rPr>
                <w:rFonts w:hint="eastAsia" w:ascii="Times New Roman" w:hAnsi="Times New Roman" w:eastAsia="宋体" w:cs="Times New Roman"/>
                <w:bCs/>
                <w:color w:val="auto"/>
                <w:sz w:val="24"/>
                <w:vertAlign w:val="subscript"/>
              </w:rPr>
              <w:t>10</w:t>
            </w:r>
            <w:r>
              <w:rPr>
                <w:rFonts w:hint="eastAsia" w:ascii="Times New Roman" w:hAnsi="Times New Roman" w:eastAsia="宋体" w:cs="Times New Roman"/>
                <w:bCs/>
                <w:color w:val="auto"/>
                <w:sz w:val="24"/>
              </w:rPr>
              <w:t>、PM</w:t>
            </w:r>
            <w:r>
              <w:rPr>
                <w:rFonts w:hint="eastAsia" w:ascii="Times New Roman" w:hAnsi="Times New Roman" w:eastAsia="宋体" w:cs="Times New Roman"/>
                <w:bCs/>
                <w:color w:val="auto"/>
                <w:sz w:val="24"/>
                <w:vertAlign w:val="subscript"/>
              </w:rPr>
              <w:t>2.5</w:t>
            </w:r>
            <w:r>
              <w:rPr>
                <w:rFonts w:hint="eastAsia" w:ascii="Times New Roman" w:hAnsi="Times New Roman" w:eastAsia="宋体" w:cs="Times New Roman"/>
                <w:bCs/>
                <w:color w:val="auto"/>
                <w:sz w:val="24"/>
              </w:rPr>
              <w:t>、SO</w:t>
            </w:r>
            <w:r>
              <w:rPr>
                <w:rFonts w:hint="eastAsia" w:ascii="Times New Roman" w:hAnsi="Times New Roman" w:eastAsia="宋体" w:cs="Times New Roman"/>
                <w:bCs/>
                <w:color w:val="auto"/>
                <w:sz w:val="24"/>
                <w:vertAlign w:val="subscript"/>
              </w:rPr>
              <w:t>2</w:t>
            </w:r>
            <w:r>
              <w:rPr>
                <w:rFonts w:hint="eastAsia" w:ascii="Times New Roman" w:hAnsi="Times New Roman" w:eastAsia="宋体" w:cs="Times New Roman"/>
                <w:bCs/>
                <w:color w:val="auto"/>
                <w:sz w:val="24"/>
              </w:rPr>
              <w:t>、NO</w:t>
            </w:r>
            <w:r>
              <w:rPr>
                <w:rFonts w:hint="eastAsia" w:ascii="Times New Roman" w:hAnsi="Times New Roman" w:eastAsia="宋体" w:cs="Times New Roman"/>
                <w:bCs/>
                <w:color w:val="auto"/>
                <w:sz w:val="24"/>
                <w:vertAlign w:val="subscript"/>
              </w:rPr>
              <w:t>2</w:t>
            </w:r>
            <w:r>
              <w:rPr>
                <w:rFonts w:hint="eastAsia" w:ascii="Times New Roman" w:hAnsi="Times New Roman" w:eastAsia="宋体" w:cs="Times New Roman"/>
                <w:bCs/>
                <w:color w:val="auto"/>
                <w:sz w:val="24"/>
              </w:rPr>
              <w:t>、CO、O</w:t>
            </w:r>
            <w:r>
              <w:rPr>
                <w:rFonts w:hint="eastAsia" w:ascii="Times New Roman" w:hAnsi="Times New Roman" w:eastAsia="宋体" w:cs="Times New Roman"/>
                <w:bCs/>
                <w:color w:val="auto"/>
                <w:sz w:val="24"/>
                <w:vertAlign w:val="subscript"/>
              </w:rPr>
              <w:t>3</w:t>
            </w:r>
            <w:r>
              <w:rPr>
                <w:rFonts w:hint="eastAsia" w:ascii="Times New Roman" w:hAnsi="Times New Roman" w:eastAsia="宋体" w:cs="Times New Roman"/>
                <w:bCs/>
                <w:color w:val="auto"/>
                <w:sz w:val="24"/>
                <w:vertAlign w:val="baseline"/>
              </w:rPr>
              <w:t>六项污染物均满足《环境空气质量标准》（GB 3095-2012）及2018年修改单的二级标准浓度限值要求。因此，项目所在区域属于环境空气质量达标区。</w:t>
            </w:r>
          </w:p>
          <w:p w14:paraId="6DC7BE3F">
            <w:pPr>
              <w:spacing w:line="360" w:lineRule="auto"/>
              <w:ind w:firstLine="482" w:firstLineChars="200"/>
              <w:rPr>
                <w:rFonts w:hint="default" w:eastAsia="宋体"/>
                <w:b/>
                <w:bCs/>
                <w:color w:val="auto"/>
                <w:sz w:val="24"/>
                <w:lang w:val="en-US" w:eastAsia="zh-CN"/>
              </w:rPr>
            </w:pPr>
            <w:r>
              <w:rPr>
                <w:rFonts w:hint="eastAsia"/>
                <w:b/>
                <w:bCs/>
                <w:color w:val="auto"/>
                <w:sz w:val="24"/>
                <w:lang w:eastAsia="zh-CN"/>
              </w:rPr>
              <w:t>（</w:t>
            </w:r>
            <w:r>
              <w:rPr>
                <w:rFonts w:hint="eastAsia"/>
                <w:b/>
                <w:bCs/>
                <w:color w:val="auto"/>
                <w:sz w:val="24"/>
                <w:lang w:val="en-US" w:eastAsia="zh-CN"/>
              </w:rPr>
              <w:t>2</w:t>
            </w:r>
            <w:r>
              <w:rPr>
                <w:rFonts w:hint="eastAsia"/>
                <w:b/>
                <w:bCs/>
                <w:color w:val="auto"/>
                <w:sz w:val="24"/>
                <w:lang w:eastAsia="zh-CN"/>
              </w:rPr>
              <w:t>）</w:t>
            </w:r>
            <w:r>
              <w:rPr>
                <w:rFonts w:hint="eastAsia"/>
                <w:b/>
                <w:bCs/>
                <w:color w:val="auto"/>
                <w:sz w:val="24"/>
                <w:lang w:val="en-US" w:eastAsia="zh-CN"/>
              </w:rPr>
              <w:t>特征污染物引用监测</w:t>
            </w:r>
          </w:p>
          <w:p w14:paraId="0350D325">
            <w:pPr>
              <w:spacing w:line="360" w:lineRule="auto"/>
              <w:ind w:firstLine="482" w:firstLineChars="200"/>
              <w:rPr>
                <w:rFonts w:hint="default"/>
                <w:b/>
                <w:bCs/>
                <w:color w:val="auto"/>
                <w:sz w:val="24"/>
                <w:lang w:val="en-US" w:eastAsia="zh-CN"/>
              </w:rPr>
            </w:pPr>
            <w:r>
              <w:rPr>
                <w:rFonts w:hint="eastAsia" w:ascii="宋体" w:hAnsi="宋体" w:cs="宋体"/>
                <w:b/>
                <w:bCs/>
                <w:color w:val="auto"/>
                <w:sz w:val="24"/>
                <w:lang w:val="en-US" w:eastAsia="zh-CN"/>
              </w:rPr>
              <w:t>1）</w:t>
            </w:r>
            <w:r>
              <w:rPr>
                <w:rFonts w:hint="eastAsia"/>
                <w:b/>
                <w:bCs/>
                <w:color w:val="auto"/>
                <w:sz w:val="24"/>
                <w:lang w:val="en-US" w:eastAsia="zh-CN"/>
              </w:rPr>
              <w:t>TSP</w:t>
            </w:r>
          </w:p>
          <w:p w14:paraId="52DAA06F">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color w:val="auto"/>
                <w:sz w:val="24"/>
                <w:lang w:val="en-US" w:eastAsia="zh-CN"/>
              </w:rPr>
              <w:t>本项目特征污染物TSP的检测数据引用</w:t>
            </w:r>
            <w:r>
              <w:rPr>
                <w:color w:val="auto"/>
                <w:sz w:val="24"/>
              </w:rPr>
              <w:t>《</w:t>
            </w:r>
            <w:r>
              <w:rPr>
                <w:rFonts w:hint="eastAsia"/>
                <w:color w:val="auto"/>
                <w:sz w:val="24"/>
              </w:rPr>
              <w:t>年产8万立方米预拌混凝土建设项目</w:t>
            </w:r>
            <w:r>
              <w:rPr>
                <w:color w:val="auto"/>
                <w:sz w:val="24"/>
              </w:rPr>
              <w:t>》中</w:t>
            </w:r>
            <w:r>
              <w:rPr>
                <w:rFonts w:hint="eastAsia"/>
                <w:color w:val="auto"/>
                <w:sz w:val="24"/>
                <w:lang w:val="en-US" w:eastAsia="zh-CN"/>
              </w:rPr>
              <w:t>的</w:t>
            </w:r>
            <w:r>
              <w:rPr>
                <w:color w:val="auto"/>
                <w:sz w:val="24"/>
              </w:rPr>
              <w:t>现状监测数据</w:t>
            </w:r>
            <w:r>
              <w:rPr>
                <w:rFonts w:hint="eastAsia"/>
                <w:color w:val="auto"/>
                <w:sz w:val="24"/>
                <w:lang w:eastAsia="zh-CN"/>
              </w:rPr>
              <w:t>，</w:t>
            </w:r>
            <w:r>
              <w:rPr>
                <w:rFonts w:hint="eastAsia"/>
                <w:color w:val="auto"/>
                <w:sz w:val="24"/>
                <w:lang w:val="en-US" w:eastAsia="zh-CN"/>
              </w:rPr>
              <w:t>该项目委托</w:t>
            </w:r>
            <w:r>
              <w:rPr>
                <w:rFonts w:hint="eastAsia"/>
                <w:color w:val="auto"/>
                <w:sz w:val="24"/>
              </w:rPr>
              <w:t>玉溪华恒环境科技有限公司</w:t>
            </w:r>
            <w:r>
              <w:rPr>
                <w:color w:val="auto"/>
                <w:sz w:val="24"/>
              </w:rPr>
              <w:t>于202</w:t>
            </w:r>
            <w:r>
              <w:rPr>
                <w:rFonts w:hint="eastAsia"/>
                <w:color w:val="auto"/>
                <w:sz w:val="24"/>
                <w:lang w:val="en-US" w:eastAsia="zh-CN"/>
              </w:rPr>
              <w:t>3</w:t>
            </w:r>
            <w:r>
              <w:rPr>
                <w:color w:val="auto"/>
                <w:sz w:val="24"/>
              </w:rPr>
              <w:t>年</w:t>
            </w:r>
            <w:r>
              <w:rPr>
                <w:rFonts w:hint="eastAsia"/>
                <w:color w:val="auto"/>
                <w:sz w:val="24"/>
                <w:lang w:val="en-US" w:eastAsia="zh-CN"/>
              </w:rPr>
              <w:t>3</w:t>
            </w:r>
            <w:r>
              <w:rPr>
                <w:color w:val="auto"/>
                <w:sz w:val="24"/>
              </w:rPr>
              <w:t>月</w:t>
            </w:r>
            <w:r>
              <w:rPr>
                <w:rFonts w:hint="eastAsia"/>
                <w:color w:val="auto"/>
                <w:sz w:val="24"/>
                <w:lang w:val="en-US" w:eastAsia="zh-CN"/>
              </w:rPr>
              <w:t>6</w:t>
            </w:r>
            <w:r>
              <w:rPr>
                <w:color w:val="auto"/>
                <w:sz w:val="24"/>
              </w:rPr>
              <w:t>日-</w:t>
            </w:r>
            <w:r>
              <w:rPr>
                <w:rFonts w:hint="eastAsia"/>
                <w:color w:val="auto"/>
                <w:sz w:val="24"/>
                <w:lang w:val="en-US" w:eastAsia="zh-CN"/>
              </w:rPr>
              <w:t>3月8</w:t>
            </w:r>
            <w:r>
              <w:rPr>
                <w:color w:val="auto"/>
                <w:sz w:val="24"/>
              </w:rPr>
              <w:t>日对</w:t>
            </w:r>
            <w:r>
              <w:rPr>
                <w:rFonts w:hint="eastAsia"/>
                <w:color w:val="auto"/>
                <w:sz w:val="24"/>
                <w:lang w:val="en-US" w:eastAsia="zh-CN"/>
              </w:rPr>
              <w:t>其项目区下风向</w:t>
            </w:r>
            <w:r>
              <w:rPr>
                <w:color w:val="auto"/>
                <w:sz w:val="24"/>
              </w:rPr>
              <w:t>环境空气质量进行补充监测，</w:t>
            </w:r>
            <w:r>
              <w:rPr>
                <w:rFonts w:hint="default" w:ascii="Times New Roman" w:hAnsi="Times New Roman" w:eastAsia="宋体" w:cs="Times New Roman"/>
                <w:color w:val="auto"/>
                <w:sz w:val="24"/>
                <w:szCs w:val="24"/>
                <w:lang w:val="en-US" w:eastAsia="zh-CN"/>
              </w:rPr>
              <w:t>监测点位</w:t>
            </w:r>
            <w:r>
              <w:rPr>
                <w:color w:val="auto"/>
                <w:sz w:val="24"/>
              </w:rPr>
              <w:t>位于本项</w:t>
            </w:r>
            <w:r>
              <w:rPr>
                <w:color w:val="auto"/>
                <w:sz w:val="24"/>
                <w:highlight w:val="none"/>
              </w:rPr>
              <w:t>目</w:t>
            </w:r>
            <w:r>
              <w:rPr>
                <w:rFonts w:hint="eastAsia"/>
                <w:color w:val="auto"/>
                <w:sz w:val="24"/>
                <w:highlight w:val="none"/>
                <w:lang w:val="en-US" w:eastAsia="zh-CN"/>
              </w:rPr>
              <w:t>区东</w:t>
            </w:r>
            <w:r>
              <w:rPr>
                <w:color w:val="auto"/>
                <w:sz w:val="24"/>
                <w:highlight w:val="none"/>
              </w:rPr>
              <w:t>北侧</w:t>
            </w:r>
            <w:r>
              <w:rPr>
                <w:rFonts w:hint="eastAsia"/>
                <w:color w:val="auto"/>
                <w:sz w:val="24"/>
                <w:highlight w:val="none"/>
                <w:lang w:val="en-US" w:eastAsia="zh-CN"/>
              </w:rPr>
              <w:t>约560</w:t>
            </w:r>
            <w:r>
              <w:rPr>
                <w:color w:val="auto"/>
                <w:sz w:val="24"/>
                <w:highlight w:val="none"/>
              </w:rPr>
              <w:t>m</w:t>
            </w:r>
            <w:r>
              <w:rPr>
                <w:rFonts w:hint="eastAsia"/>
                <w:color w:val="auto"/>
                <w:sz w:val="24"/>
                <w:highlight w:val="none"/>
                <w:lang w:val="en-US" w:eastAsia="zh-CN"/>
              </w:rPr>
              <w:t>处</w:t>
            </w:r>
            <w:r>
              <w:rPr>
                <w:color w:val="auto"/>
                <w:sz w:val="24"/>
                <w:highlight w:val="none"/>
              </w:rPr>
              <w:t>，</w:t>
            </w:r>
            <w:r>
              <w:rPr>
                <w:rFonts w:hint="default" w:ascii="Times New Roman" w:hAnsi="Times New Roman" w:cs="Times New Roman"/>
                <w:color w:val="auto"/>
                <w:sz w:val="24"/>
                <w:szCs w:val="24"/>
              </w:rPr>
              <w:t>在本项目5km范围内，监测时间为近3年数据，因此监测数据为有效数据</w:t>
            </w:r>
            <w:r>
              <w:rPr>
                <w:rFonts w:hint="eastAsia" w:cs="Times New Roman"/>
                <w:color w:val="auto"/>
                <w:sz w:val="24"/>
                <w:szCs w:val="24"/>
                <w:lang w:eastAsia="zh-CN"/>
              </w:rPr>
              <w:t>。</w:t>
            </w:r>
            <w:r>
              <w:rPr>
                <w:rFonts w:hint="default" w:ascii="Times New Roman" w:hAnsi="Times New Roman" w:cs="Times New Roman"/>
                <w:color w:val="auto"/>
                <w:sz w:val="24"/>
                <w:szCs w:val="24"/>
              </w:rPr>
              <w:t>监测</w:t>
            </w:r>
            <w:r>
              <w:rPr>
                <w:rFonts w:hint="eastAsia" w:cs="Times New Roman"/>
                <w:color w:val="auto"/>
                <w:sz w:val="24"/>
                <w:szCs w:val="24"/>
                <w:lang w:val="en-US" w:eastAsia="zh-CN"/>
              </w:rPr>
              <w:t>方案及监测</w:t>
            </w:r>
            <w:r>
              <w:rPr>
                <w:rFonts w:hint="default" w:ascii="Times New Roman" w:hAnsi="Times New Roman" w:cs="Times New Roman"/>
                <w:color w:val="auto"/>
                <w:sz w:val="24"/>
                <w:szCs w:val="24"/>
              </w:rPr>
              <w:t>结果如下：</w:t>
            </w:r>
          </w:p>
          <w:p w14:paraId="528D3545">
            <w:pPr>
              <w:spacing w:line="360" w:lineRule="auto"/>
              <w:ind w:firstLine="482" w:firstLineChars="200"/>
              <w:rPr>
                <w:rFonts w:hint="default" w:eastAsia="宋体"/>
                <w:b/>
                <w:bCs/>
                <w:color w:val="auto"/>
                <w:sz w:val="24"/>
                <w:lang w:val="en-US" w:eastAsia="zh-CN"/>
              </w:rPr>
            </w:pPr>
            <w:r>
              <w:rPr>
                <w:rFonts w:hint="eastAsia" w:ascii="宋体" w:hAnsi="宋体" w:eastAsia="宋体" w:cs="宋体"/>
                <w:b/>
                <w:bCs/>
                <w:color w:val="auto"/>
                <w:sz w:val="24"/>
              </w:rPr>
              <w:t>①</w:t>
            </w:r>
            <w:r>
              <w:rPr>
                <w:rFonts w:hint="eastAsia" w:eastAsia="宋体"/>
                <w:b/>
                <w:bCs/>
                <w:color w:val="auto"/>
                <w:sz w:val="24"/>
                <w:lang w:val="en-US" w:eastAsia="zh-CN"/>
              </w:rPr>
              <w:t>监测方案</w:t>
            </w:r>
          </w:p>
          <w:p w14:paraId="2FF84A3F">
            <w:pPr>
              <w:spacing w:line="360" w:lineRule="auto"/>
              <w:ind w:firstLine="480" w:firstLineChars="200"/>
              <w:rPr>
                <w:b w:val="0"/>
                <w:bCs w:val="0"/>
                <w:color w:val="auto"/>
                <w:sz w:val="24"/>
              </w:rPr>
            </w:pPr>
            <w:r>
              <w:rPr>
                <w:b w:val="0"/>
                <w:bCs w:val="0"/>
                <w:color w:val="auto"/>
                <w:sz w:val="24"/>
              </w:rPr>
              <w:t>监测点位</w:t>
            </w:r>
            <w:r>
              <w:rPr>
                <w:rFonts w:hint="eastAsia"/>
                <w:b w:val="0"/>
                <w:bCs w:val="0"/>
                <w:color w:val="auto"/>
                <w:sz w:val="24"/>
                <w:lang w:eastAsia="zh-CN"/>
              </w:rPr>
              <w:t>：</w:t>
            </w:r>
            <w:r>
              <w:rPr>
                <w:rFonts w:hint="eastAsia"/>
                <w:b w:val="0"/>
                <w:bCs w:val="0"/>
                <w:color w:val="auto"/>
                <w:sz w:val="24"/>
                <w:lang w:val="en-US" w:eastAsia="zh-CN"/>
              </w:rPr>
              <w:t>项目区</w:t>
            </w:r>
            <w:r>
              <w:rPr>
                <w:rFonts w:hint="eastAsia"/>
                <w:b w:val="0"/>
                <w:bCs w:val="0"/>
                <w:color w:val="auto"/>
                <w:sz w:val="24"/>
              </w:rPr>
              <w:t>下风向设置1个监测点</w:t>
            </w:r>
          </w:p>
          <w:p w14:paraId="4A64F920">
            <w:pPr>
              <w:widowControl/>
              <w:spacing w:line="360" w:lineRule="auto"/>
              <w:ind w:firstLine="480" w:firstLineChars="200"/>
              <w:rPr>
                <w:b w:val="0"/>
                <w:bCs w:val="0"/>
                <w:color w:val="auto"/>
                <w:sz w:val="24"/>
              </w:rPr>
            </w:pPr>
            <w:r>
              <w:rPr>
                <w:b w:val="0"/>
                <w:bCs w:val="0"/>
                <w:color w:val="auto"/>
                <w:sz w:val="24"/>
              </w:rPr>
              <w:t>监测项目：TSP</w:t>
            </w:r>
          </w:p>
          <w:p w14:paraId="14722980">
            <w:pPr>
              <w:widowControl/>
              <w:spacing w:line="360" w:lineRule="auto"/>
              <w:ind w:firstLine="480" w:firstLineChars="200"/>
              <w:rPr>
                <w:rFonts w:hint="default"/>
                <w:color w:val="auto"/>
                <w:sz w:val="24"/>
                <w:lang w:val="en-US" w:eastAsia="zh-CN"/>
              </w:rPr>
            </w:pPr>
            <w:r>
              <w:rPr>
                <w:b w:val="0"/>
                <w:bCs w:val="0"/>
                <w:color w:val="auto"/>
                <w:sz w:val="24"/>
              </w:rPr>
              <w:t>监测频次</w:t>
            </w:r>
            <w:r>
              <w:rPr>
                <w:rFonts w:hint="eastAsia"/>
                <w:b/>
                <w:bCs/>
                <w:color w:val="auto"/>
                <w:sz w:val="24"/>
                <w:lang w:eastAsia="zh-CN"/>
              </w:rPr>
              <w:t>：</w:t>
            </w:r>
            <w:r>
              <w:rPr>
                <w:color w:val="auto"/>
                <w:sz w:val="24"/>
              </w:rPr>
              <w:t>连续监测</w:t>
            </w:r>
            <w:r>
              <w:rPr>
                <w:rFonts w:hint="eastAsia"/>
                <w:color w:val="auto"/>
                <w:sz w:val="24"/>
                <w:lang w:val="en-US" w:eastAsia="zh-CN"/>
              </w:rPr>
              <w:t>3</w:t>
            </w:r>
            <w:r>
              <w:rPr>
                <w:color w:val="auto"/>
                <w:sz w:val="24"/>
              </w:rPr>
              <w:t>天</w:t>
            </w:r>
            <w:r>
              <w:rPr>
                <w:rFonts w:hint="eastAsia"/>
                <w:color w:val="auto"/>
                <w:sz w:val="24"/>
                <w:lang w:eastAsia="zh-CN"/>
              </w:rPr>
              <w:t>，</w:t>
            </w:r>
            <w:r>
              <w:rPr>
                <w:rFonts w:hint="eastAsia"/>
                <w:color w:val="auto"/>
                <w:sz w:val="24"/>
                <w:lang w:val="en-US" w:eastAsia="zh-CN"/>
              </w:rPr>
              <w:t>24小时平均值。</w:t>
            </w:r>
          </w:p>
          <w:p w14:paraId="126FAF24">
            <w:pPr>
              <w:widowControl/>
              <w:spacing w:line="360" w:lineRule="auto"/>
              <w:ind w:firstLine="480" w:firstLineChars="200"/>
              <w:rPr>
                <w:color w:val="auto"/>
                <w:sz w:val="24"/>
              </w:rPr>
            </w:pPr>
            <w:r>
              <w:rPr>
                <w:b w:val="0"/>
                <w:bCs w:val="0"/>
                <w:color w:val="auto"/>
                <w:sz w:val="24"/>
              </w:rPr>
              <w:t>评价标准</w:t>
            </w:r>
            <w:r>
              <w:rPr>
                <w:rFonts w:hint="eastAsia"/>
                <w:b w:val="0"/>
                <w:bCs w:val="0"/>
                <w:color w:val="auto"/>
                <w:sz w:val="24"/>
                <w:lang w:eastAsia="zh-CN"/>
              </w:rPr>
              <w:t>：</w:t>
            </w:r>
            <w:r>
              <w:rPr>
                <w:color w:val="auto"/>
                <w:sz w:val="24"/>
              </w:rPr>
              <w:t>执行《环境空气质量标准》（GB 3095-2012）中二级标准。</w:t>
            </w:r>
          </w:p>
          <w:p w14:paraId="02CD9218">
            <w:pPr>
              <w:widowControl/>
              <w:spacing w:line="360" w:lineRule="auto"/>
              <w:ind w:firstLine="482" w:firstLineChars="200"/>
              <w:rPr>
                <w:rFonts w:hint="eastAsia" w:eastAsia="宋体"/>
                <w:b/>
                <w:bCs/>
                <w:color w:val="auto"/>
                <w:sz w:val="24"/>
                <w:lang w:eastAsia="zh-CN"/>
              </w:rPr>
            </w:pPr>
            <w:r>
              <w:rPr>
                <w:rFonts w:hint="eastAsia" w:ascii="宋体" w:hAnsi="宋体" w:eastAsia="宋体" w:cs="宋体"/>
                <w:b/>
                <w:bCs/>
                <w:color w:val="auto"/>
                <w:sz w:val="24"/>
              </w:rPr>
              <w:t>②</w:t>
            </w:r>
            <w:r>
              <w:rPr>
                <w:b/>
                <w:bCs/>
                <w:color w:val="auto"/>
                <w:sz w:val="24"/>
              </w:rPr>
              <w:t>监测结果</w:t>
            </w:r>
          </w:p>
          <w:p w14:paraId="626F2EEE">
            <w:pPr>
              <w:widowControl/>
              <w:spacing w:line="360" w:lineRule="auto"/>
              <w:ind w:firstLine="480" w:firstLineChars="200"/>
              <w:rPr>
                <w:color w:val="auto"/>
                <w:sz w:val="24"/>
              </w:rPr>
            </w:pPr>
            <w:r>
              <w:rPr>
                <w:color w:val="auto"/>
                <w:sz w:val="24"/>
              </w:rPr>
              <w:t>监测结果</w:t>
            </w:r>
            <w:r>
              <w:rPr>
                <w:rFonts w:hint="eastAsia"/>
                <w:color w:val="auto"/>
                <w:sz w:val="24"/>
                <w:lang w:val="en-US" w:eastAsia="zh-CN"/>
              </w:rPr>
              <w:t>详</w:t>
            </w:r>
            <w:r>
              <w:rPr>
                <w:color w:val="auto"/>
                <w:sz w:val="24"/>
              </w:rPr>
              <w:t>见下表。</w:t>
            </w:r>
          </w:p>
          <w:p w14:paraId="451A61D2">
            <w:pPr>
              <w:adjustRightInd w:val="0"/>
              <w:snapToGrid w:val="0"/>
              <w:spacing w:line="240" w:lineRule="auto"/>
              <w:jc w:val="center"/>
              <w:rPr>
                <w:b/>
                <w:bCs/>
                <w:color w:val="auto"/>
                <w:szCs w:val="21"/>
              </w:rPr>
            </w:pPr>
            <w:r>
              <w:rPr>
                <w:b/>
                <w:bCs/>
                <w:color w:val="auto"/>
                <w:szCs w:val="21"/>
              </w:rPr>
              <w:t>表3-</w:t>
            </w:r>
            <w:r>
              <w:rPr>
                <w:rFonts w:hint="eastAsia"/>
                <w:b/>
                <w:bCs/>
                <w:color w:val="auto"/>
                <w:szCs w:val="21"/>
                <w:lang w:val="en-US" w:eastAsia="zh-CN"/>
              </w:rPr>
              <w:t>2</w:t>
            </w:r>
            <w:r>
              <w:rPr>
                <w:b/>
                <w:bCs/>
                <w:color w:val="auto"/>
                <w:szCs w:val="21"/>
              </w:rPr>
              <w:t xml:space="preserve"> 环境空气质量现状结果表</w:t>
            </w:r>
          </w:p>
          <w:tbl>
            <w:tblPr>
              <w:tblStyle w:val="22"/>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516"/>
              <w:gridCol w:w="1868"/>
              <w:gridCol w:w="1532"/>
              <w:gridCol w:w="864"/>
            </w:tblGrid>
            <w:tr w14:paraId="38E4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blHeader/>
                <w:jc w:val="center"/>
              </w:trPr>
              <w:tc>
                <w:tcPr>
                  <w:tcW w:w="1137" w:type="dxa"/>
                  <w:noWrap w:val="0"/>
                  <w:vAlign w:val="center"/>
                </w:tcPr>
                <w:p w14:paraId="53179984">
                  <w:pPr>
                    <w:keepNext w:val="0"/>
                    <w:keepLines w:val="0"/>
                    <w:pageBreakBefore w:val="0"/>
                    <w:widowControl w:val="0"/>
                    <w:tabs>
                      <w:tab w:val="left" w:pos="846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kern w:val="2"/>
                      <w:sz w:val="21"/>
                      <w:szCs w:val="21"/>
                      <w:lang w:val="en-US" w:eastAsia="zh-CN" w:bidi="ar-SA"/>
                    </w:rPr>
                  </w:pPr>
                  <w:r>
                    <w:rPr>
                      <w:rFonts w:hint="eastAsia" w:ascii="Times New Roman" w:hAnsi="Times New Roman" w:cs="Times New Roman"/>
                      <w:b/>
                      <w:bCs w:val="0"/>
                      <w:color w:val="auto"/>
                      <w:sz w:val="21"/>
                      <w:szCs w:val="21"/>
                      <w:lang w:val="en-US" w:eastAsia="zh-CN"/>
                    </w:rPr>
                    <w:t>采样</w:t>
                  </w:r>
                  <w:r>
                    <w:rPr>
                      <w:rFonts w:hint="default" w:ascii="Times New Roman" w:hAnsi="Times New Roman" w:cs="Times New Roman"/>
                      <w:b/>
                      <w:bCs w:val="0"/>
                      <w:color w:val="auto"/>
                      <w:sz w:val="21"/>
                      <w:szCs w:val="21"/>
                      <w:lang w:val="en-US" w:eastAsia="zh-CN"/>
                    </w:rPr>
                    <w:t>点位</w:t>
                  </w:r>
                </w:p>
              </w:tc>
              <w:tc>
                <w:tcPr>
                  <w:tcW w:w="2516" w:type="dxa"/>
                  <w:noWrap w:val="0"/>
                  <w:vAlign w:val="center"/>
                </w:tcPr>
                <w:p w14:paraId="5A7E105E">
                  <w:pPr>
                    <w:keepNext w:val="0"/>
                    <w:keepLines w:val="0"/>
                    <w:pageBreakBefore w:val="0"/>
                    <w:widowControl w:val="0"/>
                    <w:tabs>
                      <w:tab w:val="left" w:pos="846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kern w:val="2"/>
                      <w:sz w:val="21"/>
                      <w:szCs w:val="21"/>
                      <w:lang w:val="en-US" w:eastAsia="zh-CN" w:bidi="ar-SA"/>
                    </w:rPr>
                  </w:pPr>
                  <w:r>
                    <w:rPr>
                      <w:rFonts w:hint="eastAsia" w:ascii="Times New Roman" w:hAnsi="Times New Roman" w:cs="Times New Roman"/>
                      <w:b/>
                      <w:bCs w:val="0"/>
                      <w:color w:val="auto"/>
                      <w:sz w:val="21"/>
                      <w:szCs w:val="21"/>
                      <w:lang w:val="en-US" w:eastAsia="zh-CN"/>
                    </w:rPr>
                    <w:t>采样</w:t>
                  </w:r>
                  <w:r>
                    <w:rPr>
                      <w:rFonts w:hint="default" w:ascii="Times New Roman" w:hAnsi="Times New Roman" w:cs="Times New Roman"/>
                      <w:b/>
                      <w:bCs w:val="0"/>
                      <w:color w:val="auto"/>
                      <w:sz w:val="21"/>
                      <w:szCs w:val="21"/>
                      <w:lang w:eastAsia="zh-CN"/>
                    </w:rPr>
                    <w:t>日期</w:t>
                  </w:r>
                </w:p>
              </w:tc>
              <w:tc>
                <w:tcPr>
                  <w:tcW w:w="1868" w:type="dxa"/>
                  <w:noWrap w:val="0"/>
                  <w:vAlign w:val="center"/>
                </w:tcPr>
                <w:p w14:paraId="3C7E262F">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val="0"/>
                      <w:color w:val="auto"/>
                      <w:sz w:val="21"/>
                      <w:szCs w:val="21"/>
                    </w:rPr>
                  </w:pPr>
                  <w:r>
                    <w:rPr>
                      <w:rFonts w:hint="eastAsia" w:cs="Times New Roman" w:eastAsiaTheme="minorEastAsia"/>
                      <w:b/>
                      <w:bCs/>
                      <w:color w:val="auto"/>
                      <w:sz w:val="21"/>
                      <w:szCs w:val="21"/>
                      <w:lang w:val="en-US" w:eastAsia="zh-CN"/>
                    </w:rPr>
                    <w:t>TSP（mg/m</w:t>
                  </w:r>
                  <w:r>
                    <w:rPr>
                      <w:rFonts w:hint="eastAsia" w:cs="Times New Roman" w:eastAsiaTheme="minorEastAsia"/>
                      <w:b/>
                      <w:bCs/>
                      <w:color w:val="auto"/>
                      <w:sz w:val="21"/>
                      <w:szCs w:val="21"/>
                      <w:vertAlign w:val="superscript"/>
                      <w:lang w:val="en-US" w:eastAsia="zh-CN"/>
                    </w:rPr>
                    <w:t>3</w:t>
                  </w:r>
                  <w:r>
                    <w:rPr>
                      <w:rFonts w:hint="eastAsia" w:cs="Times New Roman" w:eastAsiaTheme="minorEastAsia"/>
                      <w:b/>
                      <w:bCs/>
                      <w:color w:val="auto"/>
                      <w:sz w:val="21"/>
                      <w:szCs w:val="21"/>
                      <w:lang w:val="en-US" w:eastAsia="zh-CN"/>
                    </w:rPr>
                    <w:t>）</w:t>
                  </w:r>
                </w:p>
              </w:tc>
              <w:tc>
                <w:tcPr>
                  <w:tcW w:w="1532" w:type="dxa"/>
                  <w:noWrap w:val="0"/>
                  <w:vAlign w:val="center"/>
                </w:tcPr>
                <w:p w14:paraId="4E690B94">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val="0"/>
                      <w:color w:val="auto"/>
                      <w:sz w:val="21"/>
                      <w:szCs w:val="21"/>
                      <w:lang w:val="en-US" w:eastAsia="zh-CN"/>
                    </w:rPr>
                  </w:pPr>
                  <w:r>
                    <w:rPr>
                      <w:rFonts w:hint="eastAsia" w:cs="Times New Roman"/>
                      <w:b/>
                      <w:bCs w:val="0"/>
                      <w:color w:val="auto"/>
                      <w:sz w:val="21"/>
                      <w:szCs w:val="21"/>
                      <w:lang w:val="en-US" w:eastAsia="zh-CN"/>
                    </w:rPr>
                    <w:t>标准值</w:t>
                  </w:r>
                  <w:r>
                    <w:rPr>
                      <w:rFonts w:hint="eastAsia" w:cs="Times New Roman" w:eastAsiaTheme="minorEastAsia"/>
                      <w:b/>
                      <w:bCs/>
                      <w:color w:val="auto"/>
                      <w:sz w:val="21"/>
                      <w:szCs w:val="21"/>
                      <w:lang w:val="en-US" w:eastAsia="zh-CN"/>
                    </w:rPr>
                    <w:t>（mg/m</w:t>
                  </w:r>
                  <w:r>
                    <w:rPr>
                      <w:rFonts w:hint="eastAsia" w:cs="Times New Roman" w:eastAsiaTheme="minorEastAsia"/>
                      <w:b/>
                      <w:bCs/>
                      <w:color w:val="auto"/>
                      <w:sz w:val="21"/>
                      <w:szCs w:val="21"/>
                      <w:vertAlign w:val="superscript"/>
                      <w:lang w:val="en-US" w:eastAsia="zh-CN"/>
                    </w:rPr>
                    <w:t>3</w:t>
                  </w:r>
                  <w:r>
                    <w:rPr>
                      <w:rFonts w:hint="eastAsia" w:cs="Times New Roman" w:eastAsiaTheme="minorEastAsia"/>
                      <w:b/>
                      <w:bCs/>
                      <w:color w:val="auto"/>
                      <w:sz w:val="21"/>
                      <w:szCs w:val="21"/>
                      <w:lang w:val="en-US" w:eastAsia="zh-CN"/>
                    </w:rPr>
                    <w:t>）</w:t>
                  </w:r>
                </w:p>
              </w:tc>
              <w:tc>
                <w:tcPr>
                  <w:tcW w:w="864" w:type="dxa"/>
                  <w:noWrap w:val="0"/>
                  <w:vAlign w:val="center"/>
                </w:tcPr>
                <w:p w14:paraId="2A972E47">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val="0"/>
                      <w:color w:val="auto"/>
                      <w:sz w:val="21"/>
                      <w:szCs w:val="21"/>
                      <w:lang w:val="en-US" w:eastAsia="zh-CN"/>
                    </w:rPr>
                  </w:pPr>
                  <w:r>
                    <w:rPr>
                      <w:rFonts w:hint="eastAsia" w:cs="Times New Roman"/>
                      <w:b/>
                      <w:bCs w:val="0"/>
                      <w:color w:val="auto"/>
                      <w:sz w:val="21"/>
                      <w:szCs w:val="21"/>
                      <w:lang w:val="en-US" w:eastAsia="zh-CN"/>
                    </w:rPr>
                    <w:t>达标情况</w:t>
                  </w:r>
                </w:p>
              </w:tc>
            </w:tr>
            <w:tr w14:paraId="22D1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137" w:type="dxa"/>
                  <w:vMerge w:val="restart"/>
                  <w:noWrap w:val="0"/>
                  <w:vAlign w:val="center"/>
                </w:tcPr>
                <w:p w14:paraId="712109B8">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项目区下风向A1</w:t>
                  </w:r>
                </w:p>
              </w:tc>
              <w:tc>
                <w:tcPr>
                  <w:tcW w:w="2516" w:type="dxa"/>
                  <w:noWrap w:val="0"/>
                  <w:vAlign w:val="center"/>
                </w:tcPr>
                <w:p w14:paraId="1B31C870">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2023.3.6</w:t>
                  </w:r>
                </w:p>
              </w:tc>
              <w:tc>
                <w:tcPr>
                  <w:tcW w:w="1868" w:type="dxa"/>
                  <w:noWrap w:val="0"/>
                  <w:vAlign w:val="center"/>
                </w:tcPr>
                <w:p w14:paraId="1E67BD79">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0.227</w:t>
                  </w:r>
                </w:p>
              </w:tc>
              <w:tc>
                <w:tcPr>
                  <w:tcW w:w="1532" w:type="dxa"/>
                  <w:noWrap w:val="0"/>
                  <w:vAlign w:val="center"/>
                </w:tcPr>
                <w:p w14:paraId="6A2F5FD8">
                  <w:pPr>
                    <w:pStyle w:val="7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0.3</w:t>
                  </w:r>
                </w:p>
              </w:tc>
              <w:tc>
                <w:tcPr>
                  <w:tcW w:w="864" w:type="dxa"/>
                  <w:noWrap w:val="0"/>
                  <w:vAlign w:val="center"/>
                </w:tcPr>
                <w:p w14:paraId="5130BCB2">
                  <w:pPr>
                    <w:pStyle w:val="7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达标</w:t>
                  </w:r>
                </w:p>
              </w:tc>
            </w:tr>
            <w:tr w14:paraId="24DF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137" w:type="dxa"/>
                  <w:vMerge w:val="continue"/>
                  <w:noWrap w:val="0"/>
                  <w:vAlign w:val="center"/>
                </w:tcPr>
                <w:p w14:paraId="6A7E75CD">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rPr>
                  </w:pPr>
                </w:p>
              </w:tc>
              <w:tc>
                <w:tcPr>
                  <w:tcW w:w="2516" w:type="dxa"/>
                  <w:noWrap w:val="0"/>
                  <w:vAlign w:val="center"/>
                </w:tcPr>
                <w:p w14:paraId="625BEB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2023.3.7</w:t>
                  </w:r>
                </w:p>
              </w:tc>
              <w:tc>
                <w:tcPr>
                  <w:tcW w:w="1868" w:type="dxa"/>
                  <w:noWrap w:val="0"/>
                  <w:vAlign w:val="center"/>
                </w:tcPr>
                <w:p w14:paraId="00682533">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0.246</w:t>
                  </w:r>
                </w:p>
              </w:tc>
              <w:tc>
                <w:tcPr>
                  <w:tcW w:w="1532" w:type="dxa"/>
                  <w:noWrap w:val="0"/>
                  <w:vAlign w:val="center"/>
                </w:tcPr>
                <w:p w14:paraId="113BD6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0.3</w:t>
                  </w:r>
                </w:p>
              </w:tc>
              <w:tc>
                <w:tcPr>
                  <w:tcW w:w="864" w:type="dxa"/>
                  <w:noWrap w:val="0"/>
                  <w:vAlign w:val="center"/>
                </w:tcPr>
                <w:p w14:paraId="20C496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r>
            <w:tr w14:paraId="1BCD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137" w:type="dxa"/>
                  <w:vMerge w:val="continue"/>
                  <w:noWrap w:val="0"/>
                  <w:vAlign w:val="center"/>
                </w:tcPr>
                <w:p w14:paraId="402AC578">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2516" w:type="dxa"/>
                  <w:noWrap w:val="0"/>
                  <w:vAlign w:val="center"/>
                </w:tcPr>
                <w:p w14:paraId="30C0D3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2023.3.8</w:t>
                  </w:r>
                </w:p>
              </w:tc>
              <w:tc>
                <w:tcPr>
                  <w:tcW w:w="1868" w:type="dxa"/>
                  <w:noWrap w:val="0"/>
                  <w:vAlign w:val="center"/>
                </w:tcPr>
                <w:p w14:paraId="73578150">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0.258</w:t>
                  </w:r>
                </w:p>
              </w:tc>
              <w:tc>
                <w:tcPr>
                  <w:tcW w:w="1532" w:type="dxa"/>
                  <w:noWrap w:val="0"/>
                  <w:vAlign w:val="center"/>
                </w:tcPr>
                <w:p w14:paraId="7FC687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0.3</w:t>
                  </w:r>
                </w:p>
              </w:tc>
              <w:tc>
                <w:tcPr>
                  <w:tcW w:w="864" w:type="dxa"/>
                  <w:noWrap w:val="0"/>
                  <w:vAlign w:val="center"/>
                </w:tcPr>
                <w:p w14:paraId="31B198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r>
          </w:tbl>
          <w:p w14:paraId="1146070A">
            <w:pPr>
              <w:spacing w:line="360" w:lineRule="auto"/>
              <w:ind w:firstLine="480" w:firstLineChars="200"/>
              <w:rPr>
                <w:rFonts w:hint="default" w:eastAsia="宋体"/>
                <w:color w:val="auto"/>
                <w:sz w:val="24"/>
                <w:lang w:val="en-US" w:eastAsia="zh-CN"/>
              </w:rPr>
            </w:pPr>
            <w:r>
              <w:rPr>
                <w:rFonts w:hint="eastAsia"/>
                <w:color w:val="auto"/>
                <w:sz w:val="24"/>
                <w:lang w:val="en-US" w:eastAsia="zh-CN"/>
              </w:rPr>
              <w:t>根据监测结果</w:t>
            </w:r>
            <w:r>
              <w:rPr>
                <w:color w:val="auto"/>
                <w:sz w:val="24"/>
              </w:rPr>
              <w:t>，</w:t>
            </w:r>
            <w:r>
              <w:rPr>
                <w:rFonts w:hint="eastAsia"/>
                <w:color w:val="auto"/>
                <w:sz w:val="24"/>
                <w:lang w:val="en-US" w:eastAsia="zh-CN"/>
              </w:rPr>
              <w:t>本项目所在区域</w:t>
            </w:r>
            <w:r>
              <w:rPr>
                <w:color w:val="auto"/>
                <w:sz w:val="24"/>
              </w:rPr>
              <w:t>TSP满足《环境空气质量标准》（GB3095-2012）及其修改单中的二级标准要求。</w:t>
            </w:r>
          </w:p>
          <w:p w14:paraId="58640095">
            <w:pPr>
              <w:spacing w:line="360" w:lineRule="auto"/>
              <w:ind w:firstLine="482" w:firstLineChars="200"/>
              <w:rPr>
                <w:rFonts w:hint="default" w:eastAsia="宋体"/>
                <w:b/>
                <w:bCs/>
                <w:color w:val="auto"/>
                <w:sz w:val="24"/>
                <w:lang w:val="en-US" w:eastAsia="zh-CN"/>
              </w:rPr>
            </w:pPr>
            <w:r>
              <w:rPr>
                <w:rFonts w:hint="eastAsia"/>
                <w:b/>
                <w:bCs/>
                <w:color w:val="auto"/>
                <w:sz w:val="24"/>
                <w:lang w:val="en-US" w:eastAsia="zh-CN"/>
              </w:rPr>
              <w:t>2）NOx</w:t>
            </w:r>
          </w:p>
          <w:p w14:paraId="0A99CF2D">
            <w:pPr>
              <w:spacing w:line="360" w:lineRule="auto"/>
              <w:ind w:firstLine="480" w:firstLineChars="200"/>
              <w:rPr>
                <w:rFonts w:hint="default" w:ascii="Times New Roman" w:hAnsi="Times New Roman" w:eastAsia="宋体" w:cs="Times New Roman"/>
                <w:color w:val="auto"/>
                <w:sz w:val="24"/>
                <w:lang w:val="en-US" w:eastAsia="zh-CN"/>
              </w:rPr>
            </w:pPr>
            <w:r>
              <w:rPr>
                <w:rFonts w:hint="eastAsia"/>
                <w:color w:val="auto"/>
                <w:sz w:val="24"/>
                <w:lang w:val="en-US" w:eastAsia="zh-CN"/>
              </w:rPr>
              <w:t>本项目特征污染物NOx引用《</w:t>
            </w:r>
            <w:r>
              <w:rPr>
                <w:color w:val="auto"/>
                <w:sz w:val="24"/>
              </w:rPr>
              <w:t>玉溪亿达铁合金有限公司锰硅合金冶炼炉热熔废渣生产6万吨矿棉项目</w:t>
            </w:r>
            <w:r>
              <w:rPr>
                <w:rFonts w:hint="eastAsia"/>
                <w:color w:val="auto"/>
                <w:sz w:val="24"/>
                <w:lang w:val="en-US" w:eastAsia="zh-CN"/>
              </w:rPr>
              <w:t>环境影响报告表》中的监测数据，该项目委托</w:t>
            </w:r>
            <w:r>
              <w:rPr>
                <w:rFonts w:ascii="Times New Roman" w:hAnsi="Times New Roman" w:eastAsia="宋体" w:cs="Times New Roman"/>
                <w:color w:val="auto"/>
                <w:sz w:val="24"/>
              </w:rPr>
              <w:t>云南环普检测科技有限公司</w:t>
            </w:r>
            <w:r>
              <w:rPr>
                <w:rFonts w:hint="eastAsia" w:ascii="Times New Roman" w:hAnsi="Times New Roman" w:eastAsia="宋体" w:cs="Times New Roman"/>
                <w:color w:val="auto"/>
                <w:sz w:val="24"/>
                <w:lang w:val="en-US" w:eastAsia="zh-CN"/>
              </w:rPr>
              <w:t>于2023年6月11日~6月14日</w:t>
            </w:r>
            <w:r>
              <w:rPr>
                <w:rFonts w:hint="default" w:ascii="Times New Roman" w:hAnsi="Times New Roman" w:eastAsia="宋体" w:cs="Times New Roman"/>
                <w:color w:val="auto"/>
                <w:sz w:val="24"/>
                <w:szCs w:val="24"/>
              </w:rPr>
              <w:t>对</w:t>
            </w:r>
            <w:r>
              <w:rPr>
                <w:rFonts w:hint="eastAsia" w:cs="Times New Roman"/>
                <w:color w:val="auto"/>
                <w:sz w:val="24"/>
                <w:szCs w:val="24"/>
                <w:lang w:val="en-US" w:eastAsia="zh-CN"/>
              </w:rPr>
              <w:t>其</w:t>
            </w:r>
            <w:r>
              <w:rPr>
                <w:rFonts w:hint="default" w:ascii="Times New Roman" w:hAnsi="Times New Roman" w:eastAsia="宋体" w:cs="Times New Roman"/>
                <w:color w:val="auto"/>
                <w:sz w:val="24"/>
                <w:szCs w:val="24"/>
              </w:rPr>
              <w:t>项目所处区域环境质量</w:t>
            </w:r>
            <w:r>
              <w:rPr>
                <w:rFonts w:hint="default" w:ascii="Times New Roman" w:hAnsi="Times New Roman" w:eastAsia="宋体" w:cs="Times New Roman"/>
                <w:color w:val="auto"/>
                <w:sz w:val="24"/>
                <w:szCs w:val="24"/>
                <w:lang w:val="en-US" w:eastAsia="zh-CN"/>
              </w:rPr>
              <w:t>进行现状监测</w:t>
            </w:r>
            <w:r>
              <w:rPr>
                <w:rFonts w:hint="eastAsia" w:ascii="Times New Roman" w:hAnsi="Times New Roman" w:eastAsia="宋体" w:cs="Times New Roman"/>
                <w:color w:val="auto"/>
                <w:sz w:val="24"/>
                <w:lang w:val="en-US" w:eastAsia="zh-CN"/>
              </w:rPr>
              <w:t>，监测</w:t>
            </w:r>
            <w:r>
              <w:rPr>
                <w:rFonts w:hint="eastAsia" w:cs="Times New Roman"/>
                <w:color w:val="auto"/>
                <w:sz w:val="24"/>
                <w:lang w:val="en-US" w:eastAsia="zh-CN"/>
              </w:rPr>
              <w:t>点位</w:t>
            </w:r>
            <w:r>
              <w:rPr>
                <w:rFonts w:hint="eastAsia" w:ascii="Times New Roman" w:hAnsi="Times New Roman" w:eastAsia="宋体" w:cs="Times New Roman"/>
                <w:color w:val="auto"/>
                <w:sz w:val="24"/>
                <w:lang w:val="en-US" w:eastAsia="zh-CN"/>
              </w:rPr>
              <w:t>位于本项目区西南侧</w:t>
            </w:r>
            <w:r>
              <w:rPr>
                <w:rFonts w:hint="eastAsia" w:cs="Times New Roman"/>
                <w:color w:val="auto"/>
                <w:sz w:val="24"/>
                <w:lang w:val="en-US" w:eastAsia="zh-CN"/>
              </w:rPr>
              <w:t>约</w:t>
            </w:r>
            <w:r>
              <w:rPr>
                <w:rFonts w:hint="eastAsia" w:ascii="Times New Roman" w:hAnsi="Times New Roman" w:eastAsia="宋体" w:cs="Times New Roman"/>
                <w:color w:val="auto"/>
                <w:sz w:val="24"/>
                <w:lang w:val="en-US" w:eastAsia="zh-CN"/>
              </w:rPr>
              <w:t>105m处，</w:t>
            </w:r>
            <w:r>
              <w:rPr>
                <w:rFonts w:hint="default" w:ascii="Times New Roman" w:hAnsi="Times New Roman" w:cs="Times New Roman"/>
                <w:color w:val="auto"/>
                <w:sz w:val="24"/>
                <w:szCs w:val="24"/>
              </w:rPr>
              <w:t>在本项目5km范围内，监测时间为近3年数据，因此监测数据为有效数据</w:t>
            </w:r>
            <w:r>
              <w:rPr>
                <w:rFonts w:hint="eastAsia" w:cs="Times New Roman"/>
                <w:color w:val="auto"/>
                <w:sz w:val="24"/>
                <w:szCs w:val="24"/>
                <w:lang w:eastAsia="zh-CN"/>
              </w:rPr>
              <w:t>。</w:t>
            </w:r>
            <w:r>
              <w:rPr>
                <w:rFonts w:hint="eastAsia" w:ascii="Times New Roman" w:hAnsi="Times New Roman" w:eastAsia="宋体" w:cs="Times New Roman"/>
                <w:color w:val="auto"/>
                <w:sz w:val="24"/>
                <w:lang w:val="en-US" w:eastAsia="zh-CN"/>
              </w:rPr>
              <w:t>监测方案及监测结果详见如下分析：</w:t>
            </w:r>
          </w:p>
          <w:p w14:paraId="6508E024">
            <w:pPr>
              <w:spacing w:line="360" w:lineRule="auto"/>
              <w:ind w:firstLine="482" w:firstLineChars="200"/>
              <w:rPr>
                <w:color w:val="auto"/>
                <w:sz w:val="24"/>
              </w:rPr>
            </w:pPr>
            <w:r>
              <w:rPr>
                <w:rFonts w:hint="eastAsia" w:ascii="宋体" w:hAnsi="宋体" w:eastAsia="宋体" w:cs="宋体"/>
                <w:b/>
                <w:bCs/>
                <w:color w:val="auto"/>
                <w:sz w:val="24"/>
                <w:lang w:val="en-US" w:eastAsia="zh-CN"/>
              </w:rPr>
              <w:t>①</w:t>
            </w:r>
            <w:r>
              <w:rPr>
                <w:rFonts w:hint="eastAsia"/>
                <w:b/>
                <w:bCs/>
                <w:color w:val="auto"/>
                <w:sz w:val="24"/>
                <w:lang w:val="en-US" w:eastAsia="zh-CN"/>
              </w:rPr>
              <w:t>监测方案</w:t>
            </w:r>
          </w:p>
          <w:p w14:paraId="1014298C">
            <w:pPr>
              <w:spacing w:line="360" w:lineRule="auto"/>
              <w:ind w:firstLine="480" w:firstLineChars="200"/>
              <w:rPr>
                <w:rFonts w:hint="eastAsia" w:eastAsia="宋体"/>
                <w:color w:val="auto"/>
                <w:sz w:val="24"/>
                <w:lang w:eastAsia="zh-CN"/>
              </w:rPr>
            </w:pPr>
            <w:r>
              <w:rPr>
                <w:color w:val="auto"/>
                <w:sz w:val="24"/>
              </w:rPr>
              <w:t>监测项目：</w:t>
            </w:r>
            <w:r>
              <w:rPr>
                <w:rFonts w:hint="eastAsia"/>
                <w:color w:val="auto"/>
                <w:sz w:val="24"/>
                <w:lang w:val="en-US" w:eastAsia="zh-CN"/>
              </w:rPr>
              <w:t>NOx</w:t>
            </w:r>
            <w:r>
              <w:rPr>
                <w:rFonts w:hint="eastAsia"/>
                <w:color w:val="auto"/>
                <w:sz w:val="24"/>
                <w:lang w:eastAsia="zh-CN"/>
              </w:rPr>
              <w:t>；</w:t>
            </w:r>
          </w:p>
          <w:p w14:paraId="4604AFBE">
            <w:pPr>
              <w:spacing w:line="360" w:lineRule="auto"/>
              <w:ind w:firstLine="480" w:firstLineChars="200"/>
              <w:rPr>
                <w:rFonts w:hint="eastAsia" w:eastAsia="宋体"/>
                <w:color w:val="auto"/>
                <w:sz w:val="24"/>
                <w:lang w:eastAsia="zh-CN"/>
              </w:rPr>
            </w:pPr>
            <w:r>
              <w:rPr>
                <w:color w:val="auto"/>
                <w:sz w:val="24"/>
              </w:rPr>
              <w:t>监测点位：</w:t>
            </w:r>
            <w:r>
              <w:rPr>
                <w:rFonts w:hint="eastAsia"/>
                <w:color w:val="auto"/>
                <w:sz w:val="24"/>
                <w:highlight w:val="none"/>
                <w:lang w:val="en-US" w:eastAsia="zh-CN"/>
              </w:rPr>
              <w:t>项目区下风向</w:t>
            </w:r>
            <w:r>
              <w:rPr>
                <w:rFonts w:hint="eastAsia"/>
                <w:color w:val="auto"/>
                <w:sz w:val="24"/>
                <w:lang w:val="en-US" w:eastAsia="zh-CN"/>
              </w:rPr>
              <w:t>设置</w:t>
            </w:r>
            <w:r>
              <w:rPr>
                <w:color w:val="auto"/>
                <w:sz w:val="24"/>
              </w:rPr>
              <w:t>1个监测点</w:t>
            </w:r>
            <w:r>
              <w:rPr>
                <w:rFonts w:hint="eastAsia"/>
                <w:color w:val="auto"/>
                <w:sz w:val="24"/>
                <w:lang w:eastAsia="zh-CN"/>
              </w:rPr>
              <w:t>；</w:t>
            </w:r>
          </w:p>
          <w:p w14:paraId="194FF5C7">
            <w:pPr>
              <w:spacing w:line="360" w:lineRule="auto"/>
              <w:ind w:firstLine="480" w:firstLineChars="200"/>
              <w:rPr>
                <w:rFonts w:hint="default"/>
                <w:color w:val="auto"/>
                <w:sz w:val="24"/>
                <w:lang w:val="en-US" w:eastAsia="zh-CN"/>
              </w:rPr>
            </w:pPr>
            <w:r>
              <w:rPr>
                <w:color w:val="auto"/>
                <w:sz w:val="24"/>
              </w:rPr>
              <w:t>监测频率：</w:t>
            </w:r>
            <w:bookmarkStart w:id="7" w:name="_Toc121915227"/>
            <w:r>
              <w:rPr>
                <w:rFonts w:hint="eastAsia" w:cs="Times New Roman"/>
                <w:color w:val="auto"/>
                <w:sz w:val="24"/>
                <w:szCs w:val="24"/>
                <w:lang w:val="en-US" w:eastAsia="zh-CN"/>
              </w:rPr>
              <w:t>连续监测3天，每天监测1次</w:t>
            </w:r>
            <w:r>
              <w:rPr>
                <w:rFonts w:hint="eastAsia" w:cs="Times New Roman"/>
                <w:color w:val="auto"/>
                <w:sz w:val="24"/>
                <w:szCs w:val="24"/>
                <w:highlight w:val="none"/>
                <w:lang w:val="en-US" w:eastAsia="zh-CN"/>
              </w:rPr>
              <w:t>日均值，每天采样4次小时值；</w:t>
            </w:r>
          </w:p>
          <w:p w14:paraId="69AF44E9">
            <w:pPr>
              <w:spacing w:line="360" w:lineRule="auto"/>
              <w:ind w:firstLine="480" w:firstLineChars="200"/>
              <w:rPr>
                <w:color w:val="auto"/>
                <w:sz w:val="24"/>
              </w:rPr>
            </w:pPr>
            <w:r>
              <w:rPr>
                <w:color w:val="auto"/>
                <w:sz w:val="24"/>
              </w:rPr>
              <w:t>评价标准：执行《环境空气质量标准》（GB3095-2012）中的二级标准。</w:t>
            </w:r>
          </w:p>
          <w:bookmarkEnd w:id="7"/>
          <w:p w14:paraId="6454E42A">
            <w:pPr>
              <w:spacing w:line="360" w:lineRule="auto"/>
              <w:ind w:firstLine="482" w:firstLineChars="200"/>
              <w:rPr>
                <w:rFonts w:hint="default" w:eastAsia="宋体"/>
                <w:color w:val="auto"/>
                <w:sz w:val="24"/>
                <w:lang w:val="en-US" w:eastAsia="zh-CN"/>
              </w:rPr>
            </w:pPr>
            <w:r>
              <w:rPr>
                <w:rFonts w:hint="eastAsia" w:ascii="宋体" w:hAnsi="宋体" w:eastAsia="宋体" w:cs="宋体"/>
                <w:b/>
                <w:bCs/>
                <w:color w:val="auto"/>
                <w:sz w:val="24"/>
              </w:rPr>
              <w:t>②</w:t>
            </w:r>
            <w:r>
              <w:rPr>
                <w:rFonts w:hint="eastAsia" w:eastAsia="宋体"/>
                <w:b/>
                <w:bCs/>
                <w:color w:val="auto"/>
                <w:sz w:val="24"/>
                <w:lang w:val="en-US" w:eastAsia="zh-CN"/>
              </w:rPr>
              <w:t>监测结果</w:t>
            </w:r>
          </w:p>
          <w:p w14:paraId="362924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表3-3   NOx质量现状监测结果一览表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254"/>
              <w:gridCol w:w="1800"/>
              <w:gridCol w:w="1377"/>
              <w:gridCol w:w="1130"/>
              <w:gridCol w:w="638"/>
            </w:tblGrid>
            <w:tr w14:paraId="0E247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774" w:type="dxa"/>
                  <w:noWrap w:val="0"/>
                  <w:vAlign w:val="center"/>
                </w:tcPr>
                <w:p w14:paraId="7CCF080D">
                  <w:pPr>
                    <w:keepNext w:val="0"/>
                    <w:keepLines w:val="0"/>
                    <w:pageBreakBefore w:val="0"/>
                    <w:widowControl w:val="0"/>
                    <w:tabs>
                      <w:tab w:val="left" w:pos="846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cs="Times New Roman"/>
                      <w:b/>
                      <w:bCs w:val="0"/>
                      <w:color w:val="auto"/>
                      <w:sz w:val="21"/>
                      <w:szCs w:val="21"/>
                      <w:lang w:val="en-US" w:eastAsia="zh-CN"/>
                    </w:rPr>
                    <w:t>监测点位</w:t>
                  </w:r>
                </w:p>
              </w:tc>
              <w:tc>
                <w:tcPr>
                  <w:tcW w:w="2253" w:type="dxa"/>
                  <w:noWrap w:val="0"/>
                  <w:vAlign w:val="center"/>
                </w:tcPr>
                <w:p w14:paraId="347AC8FE">
                  <w:pPr>
                    <w:keepNext w:val="0"/>
                    <w:keepLines w:val="0"/>
                    <w:pageBreakBefore w:val="0"/>
                    <w:widowControl w:val="0"/>
                    <w:tabs>
                      <w:tab w:val="left" w:pos="846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cs="Times New Roman"/>
                      <w:b/>
                      <w:bCs w:val="0"/>
                      <w:color w:val="auto"/>
                      <w:sz w:val="21"/>
                      <w:szCs w:val="21"/>
                      <w:lang w:eastAsia="zh-CN"/>
                    </w:rPr>
                    <w:t>监测日期</w:t>
                  </w:r>
                </w:p>
              </w:tc>
              <w:tc>
                <w:tcPr>
                  <w:tcW w:w="1800" w:type="dxa"/>
                  <w:noWrap w:val="0"/>
                  <w:vAlign w:val="center"/>
                </w:tcPr>
                <w:p w14:paraId="2CA66599">
                  <w:pPr>
                    <w:keepNext w:val="0"/>
                    <w:keepLines w:val="0"/>
                    <w:pageBreakBefore w:val="0"/>
                    <w:widowControl w:val="0"/>
                    <w:tabs>
                      <w:tab w:val="left" w:pos="846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rPr>
                    <w:t>采样时</w:t>
                  </w:r>
                  <w:r>
                    <w:rPr>
                      <w:rFonts w:hint="default" w:ascii="Times New Roman" w:hAnsi="Times New Roman" w:cs="Times New Roman"/>
                      <w:b/>
                      <w:bCs w:val="0"/>
                      <w:color w:val="auto"/>
                      <w:sz w:val="21"/>
                      <w:szCs w:val="21"/>
                      <w:lang w:val="en-US" w:eastAsia="zh-CN"/>
                    </w:rPr>
                    <w:t>段</w:t>
                  </w:r>
                </w:p>
              </w:tc>
              <w:tc>
                <w:tcPr>
                  <w:tcW w:w="1377" w:type="dxa"/>
                  <w:noWrap w:val="0"/>
                  <w:vAlign w:val="center"/>
                </w:tcPr>
                <w:p w14:paraId="5264F5E0">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val="0"/>
                      <w:color w:val="auto"/>
                      <w:sz w:val="21"/>
                      <w:szCs w:val="21"/>
                    </w:rPr>
                  </w:pPr>
                  <w:r>
                    <w:rPr>
                      <w:rFonts w:hint="eastAsia" w:cs="Times New Roman" w:eastAsiaTheme="minorEastAsia"/>
                      <w:b/>
                      <w:bCs/>
                      <w:color w:val="auto"/>
                      <w:sz w:val="21"/>
                      <w:szCs w:val="21"/>
                      <w:lang w:val="en-US" w:eastAsia="zh-CN"/>
                    </w:rPr>
                    <w:t>氮氧化物（mg/m</w:t>
                  </w:r>
                  <w:r>
                    <w:rPr>
                      <w:rFonts w:hint="eastAsia" w:cs="Times New Roman" w:eastAsiaTheme="minorEastAsia"/>
                      <w:b/>
                      <w:bCs/>
                      <w:color w:val="auto"/>
                      <w:sz w:val="21"/>
                      <w:szCs w:val="21"/>
                      <w:vertAlign w:val="superscript"/>
                      <w:lang w:val="en-US" w:eastAsia="zh-CN"/>
                    </w:rPr>
                    <w:t>3</w:t>
                  </w:r>
                  <w:r>
                    <w:rPr>
                      <w:rFonts w:hint="eastAsia" w:cs="Times New Roman" w:eastAsiaTheme="minorEastAsia"/>
                      <w:b/>
                      <w:bCs/>
                      <w:color w:val="auto"/>
                      <w:sz w:val="21"/>
                      <w:szCs w:val="21"/>
                      <w:lang w:val="en-US" w:eastAsia="zh-CN"/>
                    </w:rPr>
                    <w:t>）</w:t>
                  </w:r>
                </w:p>
              </w:tc>
              <w:tc>
                <w:tcPr>
                  <w:tcW w:w="1130" w:type="dxa"/>
                  <w:noWrap w:val="0"/>
                  <w:vAlign w:val="center"/>
                </w:tcPr>
                <w:p w14:paraId="52E4D1C3">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val="0"/>
                      <w:color w:val="auto"/>
                      <w:sz w:val="21"/>
                      <w:szCs w:val="21"/>
                      <w:lang w:val="en-US" w:eastAsia="zh-CN"/>
                    </w:rPr>
                  </w:pPr>
                  <w:r>
                    <w:rPr>
                      <w:rFonts w:hint="eastAsia" w:cs="Times New Roman"/>
                      <w:b/>
                      <w:bCs w:val="0"/>
                      <w:color w:val="auto"/>
                      <w:sz w:val="21"/>
                      <w:szCs w:val="21"/>
                      <w:lang w:val="en-US" w:eastAsia="zh-CN"/>
                    </w:rPr>
                    <w:t>标准值</w:t>
                  </w:r>
                  <w:r>
                    <w:rPr>
                      <w:rFonts w:hint="eastAsia" w:cs="Times New Roman" w:eastAsiaTheme="minorEastAsia"/>
                      <w:b/>
                      <w:bCs/>
                      <w:color w:val="auto"/>
                      <w:sz w:val="21"/>
                      <w:szCs w:val="21"/>
                      <w:lang w:val="en-US" w:eastAsia="zh-CN"/>
                    </w:rPr>
                    <w:t>（mg/m</w:t>
                  </w:r>
                  <w:r>
                    <w:rPr>
                      <w:rFonts w:hint="eastAsia" w:cs="Times New Roman" w:eastAsiaTheme="minorEastAsia"/>
                      <w:b/>
                      <w:bCs/>
                      <w:color w:val="auto"/>
                      <w:sz w:val="21"/>
                      <w:szCs w:val="21"/>
                      <w:vertAlign w:val="superscript"/>
                      <w:lang w:val="en-US" w:eastAsia="zh-CN"/>
                    </w:rPr>
                    <w:t>3</w:t>
                  </w:r>
                  <w:r>
                    <w:rPr>
                      <w:rFonts w:hint="eastAsia" w:cs="Times New Roman" w:eastAsiaTheme="minorEastAsia"/>
                      <w:b/>
                      <w:bCs/>
                      <w:color w:val="auto"/>
                      <w:sz w:val="21"/>
                      <w:szCs w:val="21"/>
                      <w:lang w:val="en-US" w:eastAsia="zh-CN"/>
                    </w:rPr>
                    <w:t>）</w:t>
                  </w:r>
                </w:p>
              </w:tc>
              <w:tc>
                <w:tcPr>
                  <w:tcW w:w="638" w:type="dxa"/>
                  <w:noWrap w:val="0"/>
                  <w:vAlign w:val="center"/>
                </w:tcPr>
                <w:p w14:paraId="30326A5C">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val="0"/>
                      <w:color w:val="auto"/>
                      <w:sz w:val="21"/>
                      <w:szCs w:val="21"/>
                      <w:lang w:val="en-US" w:eastAsia="zh-CN"/>
                    </w:rPr>
                  </w:pPr>
                  <w:r>
                    <w:rPr>
                      <w:rFonts w:hint="eastAsia" w:cs="Times New Roman"/>
                      <w:b/>
                      <w:bCs w:val="0"/>
                      <w:color w:val="auto"/>
                      <w:sz w:val="21"/>
                      <w:szCs w:val="21"/>
                      <w:lang w:val="en-US" w:eastAsia="zh-CN"/>
                    </w:rPr>
                    <w:t>达标情况</w:t>
                  </w:r>
                </w:p>
              </w:tc>
            </w:tr>
            <w:tr w14:paraId="70953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4" w:type="dxa"/>
                  <w:vMerge w:val="restart"/>
                  <w:noWrap w:val="0"/>
                  <w:vAlign w:val="center"/>
                </w:tcPr>
                <w:p w14:paraId="73504262">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项目区</w:t>
                  </w:r>
                  <w:r>
                    <w:rPr>
                      <w:rFonts w:hint="eastAsia" w:ascii="Times New Roman" w:hAnsi="Times New Roman" w:cs="Times New Roman"/>
                      <w:color w:val="auto"/>
                      <w:sz w:val="21"/>
                      <w:szCs w:val="21"/>
                      <w:lang w:val="en-US" w:eastAsia="zh-CN"/>
                    </w:rPr>
                    <w:t>下风向</w:t>
                  </w:r>
                </w:p>
              </w:tc>
              <w:tc>
                <w:tcPr>
                  <w:tcW w:w="2253" w:type="dxa"/>
                  <w:noWrap w:val="0"/>
                  <w:vAlign w:val="center"/>
                </w:tcPr>
                <w:p w14:paraId="1131DBB5">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2023.06.11~2023.06.12</w:t>
                  </w:r>
                </w:p>
              </w:tc>
              <w:tc>
                <w:tcPr>
                  <w:tcW w:w="1800" w:type="dxa"/>
                  <w:noWrap w:val="0"/>
                  <w:vAlign w:val="center"/>
                </w:tcPr>
                <w:p w14:paraId="4D54FB29">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eastAsiaTheme="minorEastAsia"/>
                      <w:color w:val="auto"/>
                      <w:sz w:val="21"/>
                      <w:szCs w:val="21"/>
                      <w:lang w:val="en-US" w:eastAsia="zh-CN"/>
                    </w:rPr>
                    <w:t>08:</w:t>
                  </w:r>
                  <w:r>
                    <w:rPr>
                      <w:rFonts w:hint="eastAsia" w:cs="Times New Roman"/>
                      <w:color w:val="auto"/>
                      <w:kern w:val="2"/>
                      <w:sz w:val="21"/>
                      <w:szCs w:val="21"/>
                      <w:lang w:val="en-US" w:eastAsia="zh-CN" w:bidi="ar-SA"/>
                    </w:rPr>
                    <w:t>00~次日08</w:t>
                  </w:r>
                  <w:r>
                    <w:rPr>
                      <w:rFonts w:hint="eastAsia" w:cs="Times New Roman" w:eastAsiaTheme="minorEastAsia"/>
                      <w:color w:val="auto"/>
                      <w:sz w:val="21"/>
                      <w:szCs w:val="21"/>
                      <w:lang w:val="en-US" w:eastAsia="zh-CN"/>
                    </w:rPr>
                    <w:t>:00</w:t>
                  </w:r>
                </w:p>
              </w:tc>
              <w:tc>
                <w:tcPr>
                  <w:tcW w:w="1377" w:type="dxa"/>
                  <w:noWrap w:val="0"/>
                  <w:vAlign w:val="center"/>
                </w:tcPr>
                <w:p w14:paraId="7B909D78">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0.012</w:t>
                  </w:r>
                </w:p>
              </w:tc>
              <w:tc>
                <w:tcPr>
                  <w:tcW w:w="1130" w:type="dxa"/>
                  <w:noWrap w:val="0"/>
                  <w:vAlign w:val="center"/>
                </w:tcPr>
                <w:p w14:paraId="3637ED0B">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lang w:val="en-US" w:eastAsia="zh-CN"/>
                    </w:rPr>
                  </w:pPr>
                  <w:r>
                    <w:rPr>
                      <w:rFonts w:hint="eastAsia" w:cs="Times New Roman"/>
                      <w:color w:val="auto"/>
                      <w:sz w:val="21"/>
                      <w:szCs w:val="21"/>
                      <w:lang w:val="en-US" w:eastAsia="zh-CN"/>
                    </w:rPr>
                    <w:t>0.1</w:t>
                  </w:r>
                </w:p>
              </w:tc>
              <w:tc>
                <w:tcPr>
                  <w:tcW w:w="638" w:type="dxa"/>
                  <w:noWrap w:val="0"/>
                  <w:vAlign w:val="center"/>
                </w:tcPr>
                <w:p w14:paraId="69CEA59D">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lang w:val="en-US" w:eastAsia="zh-CN"/>
                    </w:rPr>
                  </w:pPr>
                  <w:r>
                    <w:rPr>
                      <w:rFonts w:hint="eastAsia" w:cs="Times New Roman"/>
                      <w:color w:val="auto"/>
                      <w:sz w:val="21"/>
                      <w:szCs w:val="21"/>
                      <w:lang w:val="en-US" w:eastAsia="zh-CN"/>
                    </w:rPr>
                    <w:t>达标</w:t>
                  </w:r>
                </w:p>
              </w:tc>
            </w:tr>
            <w:tr w14:paraId="493D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4" w:type="dxa"/>
                  <w:vMerge w:val="continue"/>
                  <w:noWrap w:val="0"/>
                  <w:vAlign w:val="center"/>
                </w:tcPr>
                <w:p w14:paraId="2494588B">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rPr>
                  </w:pPr>
                </w:p>
              </w:tc>
              <w:tc>
                <w:tcPr>
                  <w:tcW w:w="2253" w:type="dxa"/>
                  <w:noWrap w:val="0"/>
                  <w:vAlign w:val="center"/>
                </w:tcPr>
                <w:p w14:paraId="03C2FB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2023.06.1</w:t>
                  </w:r>
                  <w:r>
                    <w:rPr>
                      <w:rFonts w:hint="eastAsia" w:ascii="Times New Roman" w:hAnsi="Times New Roman" w:cs="Times New Roman"/>
                      <w:color w:val="auto"/>
                      <w:kern w:val="2"/>
                      <w:sz w:val="21"/>
                      <w:szCs w:val="21"/>
                      <w:lang w:val="en-US" w:eastAsia="zh-CN" w:bidi="ar-SA"/>
                    </w:rPr>
                    <w:t>2</w:t>
                  </w:r>
                  <w:r>
                    <w:rPr>
                      <w:rFonts w:hint="eastAsia" w:ascii="Times New Roman" w:hAnsi="Times New Roman" w:eastAsia="宋体" w:cs="Times New Roman"/>
                      <w:color w:val="auto"/>
                      <w:kern w:val="2"/>
                      <w:sz w:val="21"/>
                      <w:szCs w:val="21"/>
                      <w:lang w:val="en-US" w:eastAsia="zh-CN" w:bidi="ar-SA"/>
                    </w:rPr>
                    <w:t>~2023.06.1</w:t>
                  </w:r>
                  <w:r>
                    <w:rPr>
                      <w:rFonts w:hint="eastAsia" w:ascii="Times New Roman" w:hAnsi="Times New Roman" w:cs="Times New Roman"/>
                      <w:color w:val="auto"/>
                      <w:kern w:val="2"/>
                      <w:sz w:val="21"/>
                      <w:szCs w:val="21"/>
                      <w:lang w:val="en-US" w:eastAsia="zh-CN" w:bidi="ar-SA"/>
                    </w:rPr>
                    <w:t>3</w:t>
                  </w:r>
                </w:p>
              </w:tc>
              <w:tc>
                <w:tcPr>
                  <w:tcW w:w="1800" w:type="dxa"/>
                  <w:noWrap w:val="0"/>
                  <w:vAlign w:val="center"/>
                </w:tcPr>
                <w:p w14:paraId="6E4FF477">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eastAsiaTheme="minorEastAsia"/>
                      <w:color w:val="auto"/>
                      <w:sz w:val="21"/>
                      <w:szCs w:val="21"/>
                      <w:lang w:val="en-US" w:eastAsia="zh-CN"/>
                    </w:rPr>
                    <w:t>08:06</w:t>
                  </w:r>
                  <w:r>
                    <w:rPr>
                      <w:rFonts w:hint="eastAsia" w:cs="Times New Roman"/>
                      <w:color w:val="auto"/>
                      <w:kern w:val="2"/>
                      <w:sz w:val="21"/>
                      <w:szCs w:val="21"/>
                      <w:lang w:val="en-US" w:eastAsia="zh-CN" w:bidi="ar-SA"/>
                    </w:rPr>
                    <w:t>~次日08</w:t>
                  </w:r>
                  <w:r>
                    <w:rPr>
                      <w:rFonts w:hint="eastAsia" w:cs="Times New Roman" w:eastAsiaTheme="minorEastAsia"/>
                      <w:color w:val="auto"/>
                      <w:sz w:val="21"/>
                      <w:szCs w:val="21"/>
                      <w:lang w:val="en-US" w:eastAsia="zh-CN"/>
                    </w:rPr>
                    <w:t>:06</w:t>
                  </w:r>
                </w:p>
              </w:tc>
              <w:tc>
                <w:tcPr>
                  <w:tcW w:w="1377" w:type="dxa"/>
                  <w:noWrap w:val="0"/>
                  <w:vAlign w:val="center"/>
                </w:tcPr>
                <w:p w14:paraId="01BE5633">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0.016</w:t>
                  </w:r>
                </w:p>
              </w:tc>
              <w:tc>
                <w:tcPr>
                  <w:tcW w:w="1130" w:type="dxa"/>
                  <w:noWrap w:val="0"/>
                  <w:vAlign w:val="center"/>
                </w:tcPr>
                <w:p w14:paraId="565E2E68">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lang w:val="en-US" w:eastAsia="zh-CN"/>
                    </w:rPr>
                  </w:pPr>
                  <w:r>
                    <w:rPr>
                      <w:rFonts w:hint="eastAsia" w:cs="Times New Roman"/>
                      <w:color w:val="auto"/>
                      <w:sz w:val="21"/>
                      <w:szCs w:val="21"/>
                      <w:lang w:val="en-US" w:eastAsia="zh-CN"/>
                    </w:rPr>
                    <w:t>0.1</w:t>
                  </w:r>
                </w:p>
              </w:tc>
              <w:tc>
                <w:tcPr>
                  <w:tcW w:w="638" w:type="dxa"/>
                  <w:noWrap w:val="0"/>
                  <w:vAlign w:val="center"/>
                </w:tcPr>
                <w:p w14:paraId="1B0EB39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r>
            <w:tr w14:paraId="07D1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4" w:type="dxa"/>
                  <w:vMerge w:val="continue"/>
                  <w:noWrap w:val="0"/>
                  <w:vAlign w:val="center"/>
                </w:tcPr>
                <w:p w14:paraId="5808E7A2">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2253" w:type="dxa"/>
                  <w:noWrap w:val="0"/>
                  <w:vAlign w:val="center"/>
                </w:tcPr>
                <w:p w14:paraId="284012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2023.06.1</w:t>
                  </w:r>
                  <w:r>
                    <w:rPr>
                      <w:rFonts w:hint="eastAsia" w:ascii="Times New Roman" w:hAnsi="Times New Roman" w:cs="Times New Roman"/>
                      <w:color w:val="auto"/>
                      <w:kern w:val="2"/>
                      <w:sz w:val="21"/>
                      <w:szCs w:val="21"/>
                      <w:lang w:val="en-US" w:eastAsia="zh-CN" w:bidi="ar-SA"/>
                    </w:rPr>
                    <w:t>3</w:t>
                  </w:r>
                  <w:r>
                    <w:rPr>
                      <w:rFonts w:hint="eastAsia" w:ascii="Times New Roman" w:hAnsi="Times New Roman" w:eastAsia="宋体" w:cs="Times New Roman"/>
                      <w:color w:val="auto"/>
                      <w:kern w:val="2"/>
                      <w:sz w:val="21"/>
                      <w:szCs w:val="21"/>
                      <w:lang w:val="en-US" w:eastAsia="zh-CN" w:bidi="ar-SA"/>
                    </w:rPr>
                    <w:t>~2023.06.1</w:t>
                  </w:r>
                  <w:r>
                    <w:rPr>
                      <w:rFonts w:hint="eastAsia" w:ascii="Times New Roman" w:hAnsi="Times New Roman" w:cs="Times New Roman"/>
                      <w:color w:val="auto"/>
                      <w:kern w:val="2"/>
                      <w:sz w:val="21"/>
                      <w:szCs w:val="21"/>
                      <w:lang w:val="en-US" w:eastAsia="zh-CN" w:bidi="ar-SA"/>
                    </w:rPr>
                    <w:t>4</w:t>
                  </w:r>
                </w:p>
              </w:tc>
              <w:tc>
                <w:tcPr>
                  <w:tcW w:w="1800" w:type="dxa"/>
                  <w:noWrap w:val="0"/>
                  <w:vAlign w:val="center"/>
                </w:tcPr>
                <w:p w14:paraId="1C99D3B9">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eastAsiaTheme="minorEastAsia"/>
                      <w:color w:val="auto"/>
                      <w:sz w:val="21"/>
                      <w:szCs w:val="21"/>
                      <w:lang w:val="en-US" w:eastAsia="zh-CN"/>
                    </w:rPr>
                    <w:t>08:14</w:t>
                  </w:r>
                  <w:r>
                    <w:rPr>
                      <w:rFonts w:hint="eastAsia" w:cs="Times New Roman"/>
                      <w:color w:val="auto"/>
                      <w:kern w:val="2"/>
                      <w:sz w:val="21"/>
                      <w:szCs w:val="21"/>
                      <w:lang w:val="en-US" w:eastAsia="zh-CN" w:bidi="ar-SA"/>
                    </w:rPr>
                    <w:t>~次日08</w:t>
                  </w:r>
                  <w:r>
                    <w:rPr>
                      <w:rFonts w:hint="eastAsia" w:cs="Times New Roman" w:eastAsiaTheme="minorEastAsia"/>
                      <w:color w:val="auto"/>
                      <w:sz w:val="21"/>
                      <w:szCs w:val="21"/>
                      <w:lang w:val="en-US" w:eastAsia="zh-CN"/>
                    </w:rPr>
                    <w:t>:14</w:t>
                  </w:r>
                </w:p>
              </w:tc>
              <w:tc>
                <w:tcPr>
                  <w:tcW w:w="1377" w:type="dxa"/>
                  <w:noWrap w:val="0"/>
                  <w:vAlign w:val="center"/>
                </w:tcPr>
                <w:p w14:paraId="5D6A3D94">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0.013</w:t>
                  </w:r>
                </w:p>
              </w:tc>
              <w:tc>
                <w:tcPr>
                  <w:tcW w:w="1130" w:type="dxa"/>
                  <w:noWrap w:val="0"/>
                  <w:vAlign w:val="center"/>
                </w:tcPr>
                <w:p w14:paraId="7FB341C6">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lang w:val="en-US" w:eastAsia="zh-CN"/>
                    </w:rPr>
                  </w:pPr>
                  <w:r>
                    <w:rPr>
                      <w:rFonts w:hint="eastAsia" w:cs="Times New Roman"/>
                      <w:color w:val="auto"/>
                      <w:sz w:val="21"/>
                      <w:szCs w:val="21"/>
                      <w:lang w:val="en-US" w:eastAsia="zh-CN"/>
                    </w:rPr>
                    <w:t>0.1</w:t>
                  </w:r>
                </w:p>
              </w:tc>
              <w:tc>
                <w:tcPr>
                  <w:tcW w:w="638" w:type="dxa"/>
                  <w:noWrap w:val="0"/>
                  <w:vAlign w:val="center"/>
                </w:tcPr>
                <w:p w14:paraId="6960C92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r>
            <w:tr w14:paraId="0FA0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4" w:type="dxa"/>
                  <w:vMerge w:val="continue"/>
                  <w:noWrap w:val="0"/>
                  <w:vAlign w:val="center"/>
                </w:tcPr>
                <w:p w14:paraId="534C8780">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2253" w:type="dxa"/>
                  <w:vMerge w:val="restart"/>
                  <w:noWrap w:val="0"/>
                  <w:vAlign w:val="center"/>
                </w:tcPr>
                <w:p w14:paraId="5A9A204F">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2023.06.11</w:t>
                  </w:r>
                </w:p>
              </w:tc>
              <w:tc>
                <w:tcPr>
                  <w:tcW w:w="1800" w:type="dxa"/>
                  <w:noWrap w:val="0"/>
                  <w:vAlign w:val="center"/>
                </w:tcPr>
                <w:p w14:paraId="201B085B">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08</w:t>
                  </w:r>
                  <w:r>
                    <w:rPr>
                      <w:rFonts w:hint="eastAsia" w:cs="Times New Roman" w:eastAsiaTheme="minorEastAsia"/>
                      <w:color w:val="auto"/>
                      <w:sz w:val="21"/>
                      <w:szCs w:val="21"/>
                      <w:lang w:val="en-US" w:eastAsia="zh-CN"/>
                    </w:rPr>
                    <w:t>:00~09:00</w:t>
                  </w:r>
                </w:p>
              </w:tc>
              <w:tc>
                <w:tcPr>
                  <w:tcW w:w="1377" w:type="dxa"/>
                  <w:noWrap w:val="0"/>
                  <w:vAlign w:val="center"/>
                </w:tcPr>
                <w:p w14:paraId="43DB5CA4">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0.025</w:t>
                  </w:r>
                </w:p>
              </w:tc>
              <w:tc>
                <w:tcPr>
                  <w:tcW w:w="1130" w:type="dxa"/>
                  <w:noWrap w:val="0"/>
                  <w:vAlign w:val="center"/>
                </w:tcPr>
                <w:p w14:paraId="6C98FB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0.25</w:t>
                  </w:r>
                </w:p>
              </w:tc>
              <w:tc>
                <w:tcPr>
                  <w:tcW w:w="638" w:type="dxa"/>
                  <w:noWrap w:val="0"/>
                  <w:vAlign w:val="center"/>
                </w:tcPr>
                <w:p w14:paraId="7EA8D9C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r>
            <w:tr w14:paraId="3A67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4" w:type="dxa"/>
                  <w:vMerge w:val="continue"/>
                  <w:noWrap w:val="0"/>
                  <w:vAlign w:val="center"/>
                </w:tcPr>
                <w:p w14:paraId="3BCE3B56">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2253" w:type="dxa"/>
                  <w:vMerge w:val="continue"/>
                  <w:noWrap w:val="0"/>
                  <w:vAlign w:val="center"/>
                </w:tcPr>
                <w:p w14:paraId="382024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p>
              </w:tc>
              <w:tc>
                <w:tcPr>
                  <w:tcW w:w="1800" w:type="dxa"/>
                  <w:noWrap w:val="0"/>
                  <w:vAlign w:val="center"/>
                </w:tcPr>
                <w:p w14:paraId="61ECE9B6">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w:t>
                  </w:r>
                  <w:r>
                    <w:rPr>
                      <w:rFonts w:hint="eastAsia" w:cs="Times New Roman" w:eastAsiaTheme="minorEastAsia"/>
                      <w:color w:val="auto"/>
                      <w:sz w:val="21"/>
                      <w:szCs w:val="21"/>
                      <w:lang w:val="en-US" w:eastAsia="zh-CN"/>
                    </w:rPr>
                    <w:t>:</w:t>
                  </w:r>
                  <w:r>
                    <w:rPr>
                      <w:rFonts w:hint="eastAsia" w:ascii="Times New Roman" w:hAnsi="Times New Roman" w:cs="Times New Roman"/>
                      <w:color w:val="auto"/>
                      <w:kern w:val="2"/>
                      <w:sz w:val="21"/>
                      <w:szCs w:val="21"/>
                      <w:lang w:val="en-US" w:eastAsia="zh-CN" w:bidi="ar-SA"/>
                    </w:rPr>
                    <w:t>00~15</w:t>
                  </w:r>
                  <w:r>
                    <w:rPr>
                      <w:rFonts w:hint="eastAsia" w:cs="Times New Roman" w:eastAsiaTheme="minorEastAsia"/>
                      <w:color w:val="auto"/>
                      <w:sz w:val="21"/>
                      <w:szCs w:val="21"/>
                      <w:lang w:val="en-US" w:eastAsia="zh-CN"/>
                    </w:rPr>
                    <w:t>:</w:t>
                  </w:r>
                  <w:r>
                    <w:rPr>
                      <w:rFonts w:hint="eastAsia" w:ascii="Times New Roman" w:hAnsi="Times New Roman" w:cs="Times New Roman"/>
                      <w:color w:val="auto"/>
                      <w:kern w:val="2"/>
                      <w:sz w:val="21"/>
                      <w:szCs w:val="21"/>
                      <w:lang w:val="en-US" w:eastAsia="zh-CN" w:bidi="ar-SA"/>
                    </w:rPr>
                    <w:t>00</w:t>
                  </w:r>
                </w:p>
              </w:tc>
              <w:tc>
                <w:tcPr>
                  <w:tcW w:w="1377" w:type="dxa"/>
                  <w:noWrap w:val="0"/>
                  <w:vAlign w:val="center"/>
                </w:tcPr>
                <w:p w14:paraId="03ADF971">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0.031</w:t>
                  </w:r>
                </w:p>
              </w:tc>
              <w:tc>
                <w:tcPr>
                  <w:tcW w:w="1130" w:type="dxa"/>
                  <w:noWrap w:val="0"/>
                  <w:vAlign w:val="center"/>
                </w:tcPr>
                <w:p w14:paraId="1EC424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0.25</w:t>
                  </w:r>
                </w:p>
              </w:tc>
              <w:tc>
                <w:tcPr>
                  <w:tcW w:w="638" w:type="dxa"/>
                  <w:noWrap w:val="0"/>
                  <w:vAlign w:val="center"/>
                </w:tcPr>
                <w:p w14:paraId="60AA2FF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r>
            <w:tr w14:paraId="5146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4" w:type="dxa"/>
                  <w:vMerge w:val="continue"/>
                  <w:noWrap w:val="0"/>
                  <w:vAlign w:val="center"/>
                </w:tcPr>
                <w:p w14:paraId="112A5998">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2253" w:type="dxa"/>
                  <w:vMerge w:val="continue"/>
                  <w:noWrap w:val="0"/>
                  <w:vAlign w:val="center"/>
                </w:tcPr>
                <w:p w14:paraId="47E063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p>
              </w:tc>
              <w:tc>
                <w:tcPr>
                  <w:tcW w:w="1800" w:type="dxa"/>
                  <w:noWrap w:val="0"/>
                  <w:vAlign w:val="center"/>
                </w:tcPr>
                <w:p w14:paraId="3F62FBA4">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w:t>
                  </w:r>
                  <w:r>
                    <w:rPr>
                      <w:rFonts w:hint="eastAsia" w:cs="Times New Roman" w:eastAsiaTheme="minorEastAsia"/>
                      <w:color w:val="auto"/>
                      <w:sz w:val="21"/>
                      <w:szCs w:val="21"/>
                      <w:lang w:val="en-US" w:eastAsia="zh-CN"/>
                    </w:rPr>
                    <w:t>:</w:t>
                  </w:r>
                  <w:r>
                    <w:rPr>
                      <w:rFonts w:hint="eastAsia" w:ascii="Times New Roman" w:hAnsi="Times New Roman" w:cs="Times New Roman"/>
                      <w:color w:val="auto"/>
                      <w:kern w:val="2"/>
                      <w:sz w:val="21"/>
                      <w:szCs w:val="21"/>
                      <w:lang w:val="en-US" w:eastAsia="zh-CN" w:bidi="ar-SA"/>
                    </w:rPr>
                    <w:t>00~21</w:t>
                  </w:r>
                  <w:r>
                    <w:rPr>
                      <w:rFonts w:hint="eastAsia" w:cs="Times New Roman" w:eastAsiaTheme="minorEastAsia"/>
                      <w:color w:val="auto"/>
                      <w:sz w:val="21"/>
                      <w:szCs w:val="21"/>
                      <w:lang w:val="en-US" w:eastAsia="zh-CN"/>
                    </w:rPr>
                    <w:t>:</w:t>
                  </w:r>
                  <w:r>
                    <w:rPr>
                      <w:rFonts w:hint="eastAsia" w:ascii="Times New Roman" w:hAnsi="Times New Roman" w:cs="Times New Roman"/>
                      <w:color w:val="auto"/>
                      <w:kern w:val="2"/>
                      <w:sz w:val="21"/>
                      <w:szCs w:val="21"/>
                      <w:lang w:val="en-US" w:eastAsia="zh-CN" w:bidi="ar-SA"/>
                    </w:rPr>
                    <w:t>00</w:t>
                  </w:r>
                </w:p>
              </w:tc>
              <w:tc>
                <w:tcPr>
                  <w:tcW w:w="1377" w:type="dxa"/>
                  <w:noWrap w:val="0"/>
                  <w:vAlign w:val="center"/>
                </w:tcPr>
                <w:p w14:paraId="07D79ACE">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0.035</w:t>
                  </w:r>
                </w:p>
              </w:tc>
              <w:tc>
                <w:tcPr>
                  <w:tcW w:w="1130" w:type="dxa"/>
                  <w:noWrap w:val="0"/>
                  <w:vAlign w:val="center"/>
                </w:tcPr>
                <w:p w14:paraId="227DC6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0.25</w:t>
                  </w:r>
                </w:p>
              </w:tc>
              <w:tc>
                <w:tcPr>
                  <w:tcW w:w="638" w:type="dxa"/>
                  <w:noWrap w:val="0"/>
                  <w:vAlign w:val="center"/>
                </w:tcPr>
                <w:p w14:paraId="6E80C62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r>
            <w:tr w14:paraId="59B5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4" w:type="dxa"/>
                  <w:vMerge w:val="continue"/>
                  <w:noWrap w:val="0"/>
                  <w:vAlign w:val="center"/>
                </w:tcPr>
                <w:p w14:paraId="5DF43475">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2253" w:type="dxa"/>
                  <w:vMerge w:val="restart"/>
                  <w:noWrap w:val="0"/>
                  <w:vAlign w:val="center"/>
                </w:tcPr>
                <w:p w14:paraId="25C934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2023.06.12</w:t>
                  </w:r>
                </w:p>
              </w:tc>
              <w:tc>
                <w:tcPr>
                  <w:tcW w:w="1800" w:type="dxa"/>
                  <w:noWrap w:val="0"/>
                  <w:vAlign w:val="center"/>
                </w:tcPr>
                <w:p w14:paraId="6A81B192">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02:00~03:00</w:t>
                  </w:r>
                </w:p>
              </w:tc>
              <w:tc>
                <w:tcPr>
                  <w:tcW w:w="1377" w:type="dxa"/>
                  <w:noWrap w:val="0"/>
                  <w:vAlign w:val="center"/>
                </w:tcPr>
                <w:p w14:paraId="25651256">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0.027</w:t>
                  </w:r>
                </w:p>
              </w:tc>
              <w:tc>
                <w:tcPr>
                  <w:tcW w:w="1130" w:type="dxa"/>
                  <w:noWrap w:val="0"/>
                  <w:vAlign w:val="center"/>
                </w:tcPr>
                <w:p w14:paraId="2C529F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0.25</w:t>
                  </w:r>
                </w:p>
              </w:tc>
              <w:tc>
                <w:tcPr>
                  <w:tcW w:w="638" w:type="dxa"/>
                  <w:noWrap w:val="0"/>
                  <w:vAlign w:val="center"/>
                </w:tcPr>
                <w:p w14:paraId="45A8600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r>
            <w:tr w14:paraId="205F0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4" w:type="dxa"/>
                  <w:vMerge w:val="continue"/>
                  <w:noWrap w:val="0"/>
                  <w:vAlign w:val="center"/>
                </w:tcPr>
                <w:p w14:paraId="4EF76ED1">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2253" w:type="dxa"/>
                  <w:vMerge w:val="continue"/>
                  <w:noWrap w:val="0"/>
                  <w:vAlign w:val="center"/>
                </w:tcPr>
                <w:p w14:paraId="08D61C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p>
              </w:tc>
              <w:tc>
                <w:tcPr>
                  <w:tcW w:w="1800" w:type="dxa"/>
                  <w:noWrap w:val="0"/>
                  <w:vAlign w:val="center"/>
                </w:tcPr>
                <w:p w14:paraId="35C12D0B">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08</w:t>
                  </w:r>
                  <w:r>
                    <w:rPr>
                      <w:rFonts w:hint="eastAsia" w:cs="Times New Roman" w:eastAsiaTheme="minorEastAsia"/>
                      <w:color w:val="auto"/>
                      <w:sz w:val="21"/>
                      <w:szCs w:val="21"/>
                      <w:lang w:val="en-US" w:eastAsia="zh-CN"/>
                    </w:rPr>
                    <w:t>:00~09:00</w:t>
                  </w:r>
                </w:p>
              </w:tc>
              <w:tc>
                <w:tcPr>
                  <w:tcW w:w="1377" w:type="dxa"/>
                  <w:noWrap w:val="0"/>
                  <w:vAlign w:val="center"/>
                </w:tcPr>
                <w:p w14:paraId="713B2D44">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0.029</w:t>
                  </w:r>
                </w:p>
              </w:tc>
              <w:tc>
                <w:tcPr>
                  <w:tcW w:w="1130" w:type="dxa"/>
                  <w:noWrap w:val="0"/>
                  <w:vAlign w:val="center"/>
                </w:tcPr>
                <w:p w14:paraId="3AEA6884">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lang w:val="en-US" w:eastAsia="zh-CN"/>
                    </w:rPr>
                  </w:pPr>
                  <w:r>
                    <w:rPr>
                      <w:rFonts w:hint="eastAsia" w:cs="Times New Roman"/>
                      <w:color w:val="auto"/>
                      <w:sz w:val="21"/>
                      <w:szCs w:val="21"/>
                      <w:lang w:val="en-US" w:eastAsia="zh-CN"/>
                    </w:rPr>
                    <w:t>0.25</w:t>
                  </w:r>
                </w:p>
              </w:tc>
              <w:tc>
                <w:tcPr>
                  <w:tcW w:w="638" w:type="dxa"/>
                  <w:noWrap w:val="0"/>
                  <w:vAlign w:val="center"/>
                </w:tcPr>
                <w:p w14:paraId="4A6E202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r>
            <w:tr w14:paraId="36B8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4" w:type="dxa"/>
                  <w:vMerge w:val="continue"/>
                  <w:noWrap w:val="0"/>
                  <w:vAlign w:val="center"/>
                </w:tcPr>
                <w:p w14:paraId="46AC7910">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2253" w:type="dxa"/>
                  <w:vMerge w:val="continue"/>
                  <w:noWrap w:val="0"/>
                  <w:vAlign w:val="center"/>
                </w:tcPr>
                <w:p w14:paraId="458DB1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p>
              </w:tc>
              <w:tc>
                <w:tcPr>
                  <w:tcW w:w="1800" w:type="dxa"/>
                  <w:noWrap w:val="0"/>
                  <w:vAlign w:val="center"/>
                </w:tcPr>
                <w:p w14:paraId="73FF96F2">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w:t>
                  </w:r>
                  <w:r>
                    <w:rPr>
                      <w:rFonts w:hint="eastAsia" w:cs="Times New Roman" w:eastAsiaTheme="minorEastAsia"/>
                      <w:color w:val="auto"/>
                      <w:sz w:val="21"/>
                      <w:szCs w:val="21"/>
                      <w:lang w:val="en-US" w:eastAsia="zh-CN"/>
                    </w:rPr>
                    <w:t>:</w:t>
                  </w:r>
                  <w:r>
                    <w:rPr>
                      <w:rFonts w:hint="eastAsia" w:ascii="Times New Roman" w:hAnsi="Times New Roman" w:cs="Times New Roman"/>
                      <w:color w:val="auto"/>
                      <w:kern w:val="2"/>
                      <w:sz w:val="21"/>
                      <w:szCs w:val="21"/>
                      <w:lang w:val="en-US" w:eastAsia="zh-CN" w:bidi="ar-SA"/>
                    </w:rPr>
                    <w:t>00~15</w:t>
                  </w:r>
                  <w:r>
                    <w:rPr>
                      <w:rFonts w:hint="eastAsia" w:cs="Times New Roman" w:eastAsiaTheme="minorEastAsia"/>
                      <w:color w:val="auto"/>
                      <w:sz w:val="21"/>
                      <w:szCs w:val="21"/>
                      <w:lang w:val="en-US" w:eastAsia="zh-CN"/>
                    </w:rPr>
                    <w:t>:</w:t>
                  </w:r>
                  <w:r>
                    <w:rPr>
                      <w:rFonts w:hint="eastAsia" w:ascii="Times New Roman" w:hAnsi="Times New Roman" w:cs="Times New Roman"/>
                      <w:color w:val="auto"/>
                      <w:kern w:val="2"/>
                      <w:sz w:val="21"/>
                      <w:szCs w:val="21"/>
                      <w:lang w:val="en-US" w:eastAsia="zh-CN" w:bidi="ar-SA"/>
                    </w:rPr>
                    <w:t>00</w:t>
                  </w:r>
                </w:p>
              </w:tc>
              <w:tc>
                <w:tcPr>
                  <w:tcW w:w="1377" w:type="dxa"/>
                  <w:noWrap w:val="0"/>
                  <w:vAlign w:val="center"/>
                </w:tcPr>
                <w:p w14:paraId="50C09853">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0.037</w:t>
                  </w:r>
                </w:p>
              </w:tc>
              <w:tc>
                <w:tcPr>
                  <w:tcW w:w="1130" w:type="dxa"/>
                  <w:noWrap w:val="0"/>
                  <w:vAlign w:val="center"/>
                </w:tcPr>
                <w:p w14:paraId="1ED824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0.25</w:t>
                  </w:r>
                </w:p>
              </w:tc>
              <w:tc>
                <w:tcPr>
                  <w:tcW w:w="638" w:type="dxa"/>
                  <w:noWrap w:val="0"/>
                  <w:vAlign w:val="center"/>
                </w:tcPr>
                <w:p w14:paraId="5AA8D56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r>
            <w:tr w14:paraId="0965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4" w:type="dxa"/>
                  <w:vMerge w:val="continue"/>
                  <w:noWrap w:val="0"/>
                  <w:vAlign w:val="center"/>
                </w:tcPr>
                <w:p w14:paraId="393C2607">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2253" w:type="dxa"/>
                  <w:vMerge w:val="continue"/>
                  <w:noWrap w:val="0"/>
                  <w:vAlign w:val="center"/>
                </w:tcPr>
                <w:p w14:paraId="3F2036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p>
              </w:tc>
              <w:tc>
                <w:tcPr>
                  <w:tcW w:w="1800" w:type="dxa"/>
                  <w:noWrap w:val="0"/>
                  <w:vAlign w:val="center"/>
                </w:tcPr>
                <w:p w14:paraId="5CA5EE68">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w:t>
                  </w:r>
                  <w:r>
                    <w:rPr>
                      <w:rFonts w:hint="eastAsia" w:cs="Times New Roman" w:eastAsiaTheme="minorEastAsia"/>
                      <w:color w:val="auto"/>
                      <w:sz w:val="21"/>
                      <w:szCs w:val="21"/>
                      <w:lang w:val="en-US" w:eastAsia="zh-CN"/>
                    </w:rPr>
                    <w:t>:</w:t>
                  </w:r>
                  <w:r>
                    <w:rPr>
                      <w:rFonts w:hint="eastAsia" w:ascii="Times New Roman" w:hAnsi="Times New Roman" w:cs="Times New Roman"/>
                      <w:color w:val="auto"/>
                      <w:kern w:val="2"/>
                      <w:sz w:val="21"/>
                      <w:szCs w:val="21"/>
                      <w:lang w:val="en-US" w:eastAsia="zh-CN" w:bidi="ar-SA"/>
                    </w:rPr>
                    <w:t>00~21</w:t>
                  </w:r>
                  <w:r>
                    <w:rPr>
                      <w:rFonts w:hint="eastAsia" w:cs="Times New Roman" w:eastAsiaTheme="minorEastAsia"/>
                      <w:color w:val="auto"/>
                      <w:sz w:val="21"/>
                      <w:szCs w:val="21"/>
                      <w:lang w:val="en-US" w:eastAsia="zh-CN"/>
                    </w:rPr>
                    <w:t>:</w:t>
                  </w:r>
                  <w:r>
                    <w:rPr>
                      <w:rFonts w:hint="eastAsia" w:ascii="Times New Roman" w:hAnsi="Times New Roman" w:cs="Times New Roman"/>
                      <w:color w:val="auto"/>
                      <w:kern w:val="2"/>
                      <w:sz w:val="21"/>
                      <w:szCs w:val="21"/>
                      <w:lang w:val="en-US" w:eastAsia="zh-CN" w:bidi="ar-SA"/>
                    </w:rPr>
                    <w:t>00</w:t>
                  </w:r>
                </w:p>
              </w:tc>
              <w:tc>
                <w:tcPr>
                  <w:tcW w:w="1377" w:type="dxa"/>
                  <w:noWrap w:val="0"/>
                  <w:vAlign w:val="center"/>
                </w:tcPr>
                <w:p w14:paraId="4188CB05">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0.030</w:t>
                  </w:r>
                </w:p>
              </w:tc>
              <w:tc>
                <w:tcPr>
                  <w:tcW w:w="1130" w:type="dxa"/>
                  <w:noWrap w:val="0"/>
                  <w:vAlign w:val="center"/>
                </w:tcPr>
                <w:p w14:paraId="452847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0.25</w:t>
                  </w:r>
                </w:p>
              </w:tc>
              <w:tc>
                <w:tcPr>
                  <w:tcW w:w="638" w:type="dxa"/>
                  <w:noWrap w:val="0"/>
                  <w:vAlign w:val="center"/>
                </w:tcPr>
                <w:p w14:paraId="02743B8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r>
            <w:tr w14:paraId="554F7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4" w:type="dxa"/>
                  <w:vMerge w:val="continue"/>
                  <w:noWrap w:val="0"/>
                  <w:vAlign w:val="center"/>
                </w:tcPr>
                <w:p w14:paraId="53A41CBE">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2253" w:type="dxa"/>
                  <w:vMerge w:val="restart"/>
                  <w:noWrap w:val="0"/>
                  <w:vAlign w:val="center"/>
                </w:tcPr>
                <w:p w14:paraId="41987F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2023.06.13</w:t>
                  </w:r>
                </w:p>
              </w:tc>
              <w:tc>
                <w:tcPr>
                  <w:tcW w:w="1800" w:type="dxa"/>
                  <w:noWrap w:val="0"/>
                  <w:vAlign w:val="center"/>
                </w:tcPr>
                <w:p w14:paraId="41883AB6">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02:00~03:00</w:t>
                  </w:r>
                </w:p>
              </w:tc>
              <w:tc>
                <w:tcPr>
                  <w:tcW w:w="1377" w:type="dxa"/>
                  <w:noWrap w:val="0"/>
                  <w:vAlign w:val="center"/>
                </w:tcPr>
                <w:p w14:paraId="06BDDE78">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0.034</w:t>
                  </w:r>
                </w:p>
              </w:tc>
              <w:tc>
                <w:tcPr>
                  <w:tcW w:w="1130" w:type="dxa"/>
                  <w:noWrap w:val="0"/>
                  <w:vAlign w:val="center"/>
                </w:tcPr>
                <w:p w14:paraId="30FC14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0.25</w:t>
                  </w:r>
                </w:p>
              </w:tc>
              <w:tc>
                <w:tcPr>
                  <w:tcW w:w="638" w:type="dxa"/>
                  <w:noWrap w:val="0"/>
                  <w:vAlign w:val="center"/>
                </w:tcPr>
                <w:p w14:paraId="7053C17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r>
            <w:tr w14:paraId="07F7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4" w:type="dxa"/>
                  <w:vMerge w:val="continue"/>
                  <w:noWrap w:val="0"/>
                  <w:vAlign w:val="center"/>
                </w:tcPr>
                <w:p w14:paraId="4BA8F547">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2253" w:type="dxa"/>
                  <w:vMerge w:val="continue"/>
                  <w:noWrap w:val="0"/>
                  <w:vAlign w:val="center"/>
                </w:tcPr>
                <w:p w14:paraId="29EB47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p>
              </w:tc>
              <w:tc>
                <w:tcPr>
                  <w:tcW w:w="1800" w:type="dxa"/>
                  <w:noWrap w:val="0"/>
                  <w:vAlign w:val="center"/>
                </w:tcPr>
                <w:p w14:paraId="06A52F93">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08</w:t>
                  </w:r>
                  <w:r>
                    <w:rPr>
                      <w:rFonts w:hint="eastAsia" w:cs="Times New Roman" w:eastAsiaTheme="minorEastAsia"/>
                      <w:color w:val="auto"/>
                      <w:sz w:val="21"/>
                      <w:szCs w:val="21"/>
                      <w:lang w:val="en-US" w:eastAsia="zh-CN"/>
                    </w:rPr>
                    <w:t>:00~09:00</w:t>
                  </w:r>
                </w:p>
              </w:tc>
              <w:tc>
                <w:tcPr>
                  <w:tcW w:w="1377" w:type="dxa"/>
                  <w:noWrap w:val="0"/>
                  <w:vAlign w:val="center"/>
                </w:tcPr>
                <w:p w14:paraId="6FB43302">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0.026</w:t>
                  </w:r>
                </w:p>
              </w:tc>
              <w:tc>
                <w:tcPr>
                  <w:tcW w:w="1130" w:type="dxa"/>
                  <w:noWrap w:val="0"/>
                  <w:vAlign w:val="center"/>
                </w:tcPr>
                <w:p w14:paraId="4EF4A3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0.25</w:t>
                  </w:r>
                </w:p>
              </w:tc>
              <w:tc>
                <w:tcPr>
                  <w:tcW w:w="638" w:type="dxa"/>
                  <w:noWrap w:val="0"/>
                  <w:vAlign w:val="center"/>
                </w:tcPr>
                <w:p w14:paraId="514C8D0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r>
            <w:tr w14:paraId="0991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4" w:type="dxa"/>
                  <w:vMerge w:val="continue"/>
                  <w:noWrap w:val="0"/>
                  <w:vAlign w:val="center"/>
                </w:tcPr>
                <w:p w14:paraId="6B2A355C">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2253" w:type="dxa"/>
                  <w:vMerge w:val="continue"/>
                  <w:noWrap w:val="0"/>
                  <w:vAlign w:val="center"/>
                </w:tcPr>
                <w:p w14:paraId="156C02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p>
              </w:tc>
              <w:tc>
                <w:tcPr>
                  <w:tcW w:w="1800" w:type="dxa"/>
                  <w:noWrap w:val="0"/>
                  <w:vAlign w:val="center"/>
                </w:tcPr>
                <w:p w14:paraId="5DA12FF3">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w:t>
                  </w:r>
                  <w:r>
                    <w:rPr>
                      <w:rFonts w:hint="eastAsia" w:cs="Times New Roman" w:eastAsiaTheme="minorEastAsia"/>
                      <w:color w:val="auto"/>
                      <w:sz w:val="21"/>
                      <w:szCs w:val="21"/>
                      <w:lang w:val="en-US" w:eastAsia="zh-CN"/>
                    </w:rPr>
                    <w:t>:</w:t>
                  </w:r>
                  <w:r>
                    <w:rPr>
                      <w:rFonts w:hint="eastAsia" w:ascii="Times New Roman" w:hAnsi="Times New Roman" w:cs="Times New Roman"/>
                      <w:color w:val="auto"/>
                      <w:kern w:val="2"/>
                      <w:sz w:val="21"/>
                      <w:szCs w:val="21"/>
                      <w:lang w:val="en-US" w:eastAsia="zh-CN" w:bidi="ar-SA"/>
                    </w:rPr>
                    <w:t>00~15</w:t>
                  </w:r>
                  <w:r>
                    <w:rPr>
                      <w:rFonts w:hint="eastAsia" w:cs="Times New Roman" w:eastAsiaTheme="minorEastAsia"/>
                      <w:color w:val="auto"/>
                      <w:sz w:val="21"/>
                      <w:szCs w:val="21"/>
                      <w:lang w:val="en-US" w:eastAsia="zh-CN"/>
                    </w:rPr>
                    <w:t>:</w:t>
                  </w:r>
                  <w:r>
                    <w:rPr>
                      <w:rFonts w:hint="eastAsia" w:ascii="Times New Roman" w:hAnsi="Times New Roman" w:cs="Times New Roman"/>
                      <w:color w:val="auto"/>
                      <w:kern w:val="2"/>
                      <w:sz w:val="21"/>
                      <w:szCs w:val="21"/>
                      <w:lang w:val="en-US" w:eastAsia="zh-CN" w:bidi="ar-SA"/>
                    </w:rPr>
                    <w:t>00</w:t>
                  </w:r>
                </w:p>
              </w:tc>
              <w:tc>
                <w:tcPr>
                  <w:tcW w:w="1377" w:type="dxa"/>
                  <w:noWrap w:val="0"/>
                  <w:vAlign w:val="center"/>
                </w:tcPr>
                <w:p w14:paraId="1797EF61">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0.036</w:t>
                  </w:r>
                </w:p>
              </w:tc>
              <w:tc>
                <w:tcPr>
                  <w:tcW w:w="1130" w:type="dxa"/>
                  <w:noWrap w:val="0"/>
                  <w:vAlign w:val="center"/>
                </w:tcPr>
                <w:p w14:paraId="155B7E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0.25</w:t>
                  </w:r>
                </w:p>
              </w:tc>
              <w:tc>
                <w:tcPr>
                  <w:tcW w:w="638" w:type="dxa"/>
                  <w:noWrap w:val="0"/>
                  <w:vAlign w:val="center"/>
                </w:tcPr>
                <w:p w14:paraId="2493DEF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r>
            <w:tr w14:paraId="7A41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4" w:type="dxa"/>
                  <w:vMerge w:val="continue"/>
                  <w:noWrap w:val="0"/>
                  <w:vAlign w:val="center"/>
                </w:tcPr>
                <w:p w14:paraId="2E0970EE">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2253" w:type="dxa"/>
                  <w:vMerge w:val="continue"/>
                  <w:noWrap w:val="0"/>
                  <w:vAlign w:val="center"/>
                </w:tcPr>
                <w:p w14:paraId="542B72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p>
              </w:tc>
              <w:tc>
                <w:tcPr>
                  <w:tcW w:w="1800" w:type="dxa"/>
                  <w:noWrap w:val="0"/>
                  <w:vAlign w:val="center"/>
                </w:tcPr>
                <w:p w14:paraId="2BA6315C">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w:t>
                  </w:r>
                  <w:r>
                    <w:rPr>
                      <w:rFonts w:hint="eastAsia" w:cs="Times New Roman" w:eastAsiaTheme="minorEastAsia"/>
                      <w:color w:val="auto"/>
                      <w:sz w:val="21"/>
                      <w:szCs w:val="21"/>
                      <w:lang w:val="en-US" w:eastAsia="zh-CN"/>
                    </w:rPr>
                    <w:t>:</w:t>
                  </w:r>
                  <w:r>
                    <w:rPr>
                      <w:rFonts w:hint="eastAsia" w:ascii="Times New Roman" w:hAnsi="Times New Roman" w:cs="Times New Roman"/>
                      <w:color w:val="auto"/>
                      <w:kern w:val="2"/>
                      <w:sz w:val="21"/>
                      <w:szCs w:val="21"/>
                      <w:lang w:val="en-US" w:eastAsia="zh-CN" w:bidi="ar-SA"/>
                    </w:rPr>
                    <w:t>00~21</w:t>
                  </w:r>
                  <w:r>
                    <w:rPr>
                      <w:rFonts w:hint="eastAsia" w:cs="Times New Roman" w:eastAsiaTheme="minorEastAsia"/>
                      <w:color w:val="auto"/>
                      <w:sz w:val="21"/>
                      <w:szCs w:val="21"/>
                      <w:lang w:val="en-US" w:eastAsia="zh-CN"/>
                    </w:rPr>
                    <w:t>:</w:t>
                  </w:r>
                  <w:r>
                    <w:rPr>
                      <w:rFonts w:hint="eastAsia" w:ascii="Times New Roman" w:hAnsi="Times New Roman" w:cs="Times New Roman"/>
                      <w:color w:val="auto"/>
                      <w:kern w:val="2"/>
                      <w:sz w:val="21"/>
                      <w:szCs w:val="21"/>
                      <w:lang w:val="en-US" w:eastAsia="zh-CN" w:bidi="ar-SA"/>
                    </w:rPr>
                    <w:t>00</w:t>
                  </w:r>
                </w:p>
              </w:tc>
              <w:tc>
                <w:tcPr>
                  <w:tcW w:w="1377" w:type="dxa"/>
                  <w:noWrap w:val="0"/>
                  <w:vAlign w:val="center"/>
                </w:tcPr>
                <w:p w14:paraId="1BBABCE2">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0.032</w:t>
                  </w:r>
                </w:p>
              </w:tc>
              <w:tc>
                <w:tcPr>
                  <w:tcW w:w="1130" w:type="dxa"/>
                  <w:noWrap w:val="0"/>
                  <w:vAlign w:val="center"/>
                </w:tcPr>
                <w:p w14:paraId="129702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0.25</w:t>
                  </w:r>
                </w:p>
              </w:tc>
              <w:tc>
                <w:tcPr>
                  <w:tcW w:w="638" w:type="dxa"/>
                  <w:noWrap w:val="0"/>
                  <w:vAlign w:val="center"/>
                </w:tcPr>
                <w:p w14:paraId="3D9D888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r>
            <w:tr w14:paraId="5BB73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4" w:type="dxa"/>
                  <w:vMerge w:val="continue"/>
                  <w:noWrap w:val="0"/>
                  <w:vAlign w:val="center"/>
                </w:tcPr>
                <w:p w14:paraId="56B508A8">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2253" w:type="dxa"/>
                  <w:noWrap w:val="0"/>
                  <w:vAlign w:val="center"/>
                </w:tcPr>
                <w:p w14:paraId="68E5C2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2023.06.14</w:t>
                  </w:r>
                </w:p>
              </w:tc>
              <w:tc>
                <w:tcPr>
                  <w:tcW w:w="1800" w:type="dxa"/>
                  <w:noWrap w:val="0"/>
                  <w:vAlign w:val="center"/>
                </w:tcPr>
                <w:p w14:paraId="7A5CF526">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02:00~03:00</w:t>
                  </w:r>
                </w:p>
              </w:tc>
              <w:tc>
                <w:tcPr>
                  <w:tcW w:w="1377" w:type="dxa"/>
                  <w:noWrap w:val="0"/>
                  <w:vAlign w:val="center"/>
                </w:tcPr>
                <w:p w14:paraId="28234FC9">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0.028</w:t>
                  </w:r>
                </w:p>
              </w:tc>
              <w:tc>
                <w:tcPr>
                  <w:tcW w:w="1130" w:type="dxa"/>
                  <w:noWrap w:val="0"/>
                  <w:vAlign w:val="center"/>
                </w:tcPr>
                <w:p w14:paraId="1C569097">
                  <w:pPr>
                    <w:pStyle w:val="7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lang w:val="en-US" w:eastAsia="zh-CN"/>
                    </w:rPr>
                  </w:pPr>
                  <w:r>
                    <w:rPr>
                      <w:rFonts w:hint="eastAsia" w:cs="Times New Roman"/>
                      <w:color w:val="auto"/>
                      <w:sz w:val="21"/>
                      <w:szCs w:val="21"/>
                      <w:lang w:val="en-US" w:eastAsia="zh-CN"/>
                    </w:rPr>
                    <w:t>0.25</w:t>
                  </w:r>
                </w:p>
              </w:tc>
              <w:tc>
                <w:tcPr>
                  <w:tcW w:w="638" w:type="dxa"/>
                  <w:noWrap w:val="0"/>
                  <w:vAlign w:val="center"/>
                </w:tcPr>
                <w:p w14:paraId="4E76D0F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r>
          </w:tbl>
          <w:p w14:paraId="3774F60B">
            <w:pPr>
              <w:spacing w:line="360" w:lineRule="auto"/>
              <w:ind w:firstLine="480" w:firstLineChars="200"/>
              <w:rPr>
                <w:color w:val="auto"/>
                <w:sz w:val="24"/>
              </w:rPr>
            </w:pPr>
            <w:r>
              <w:rPr>
                <w:rFonts w:hint="eastAsia"/>
                <w:color w:val="auto"/>
                <w:sz w:val="24"/>
                <w:lang w:val="en-US" w:eastAsia="zh-CN"/>
              </w:rPr>
              <w:t>根据监测结果</w:t>
            </w:r>
            <w:r>
              <w:rPr>
                <w:color w:val="auto"/>
                <w:sz w:val="24"/>
              </w:rPr>
              <w:t>，</w:t>
            </w:r>
            <w:r>
              <w:rPr>
                <w:rFonts w:hint="eastAsia"/>
                <w:color w:val="auto"/>
                <w:sz w:val="24"/>
                <w:lang w:val="en-US" w:eastAsia="zh-CN"/>
              </w:rPr>
              <w:t>本项目所在区域NOx满足</w:t>
            </w:r>
            <w:r>
              <w:rPr>
                <w:color w:val="auto"/>
                <w:sz w:val="24"/>
              </w:rPr>
              <w:t>《环境空气质量标准》（GB3095-2012）</w:t>
            </w:r>
            <w:r>
              <w:rPr>
                <w:rFonts w:hint="eastAsia"/>
                <w:color w:val="auto"/>
                <w:sz w:val="24"/>
              </w:rPr>
              <w:t>及其修改单</w:t>
            </w:r>
            <w:r>
              <w:rPr>
                <w:color w:val="auto"/>
                <w:sz w:val="24"/>
              </w:rPr>
              <w:t>中的二级标准。</w:t>
            </w:r>
          </w:p>
          <w:p w14:paraId="57CF6BEF">
            <w:pPr>
              <w:pStyle w:val="44"/>
              <w:spacing w:line="360" w:lineRule="auto"/>
              <w:ind w:firstLine="480"/>
              <w:rPr>
                <w:rFonts w:cs="Times New Roman"/>
                <w:b/>
                <w:bCs/>
                <w:color w:val="auto"/>
                <w:sz w:val="24"/>
                <w:szCs w:val="24"/>
              </w:rPr>
            </w:pPr>
            <w:r>
              <w:rPr>
                <w:rFonts w:cs="Times New Roman"/>
                <w:b/>
                <w:bCs/>
                <w:color w:val="auto"/>
                <w:sz w:val="24"/>
                <w:szCs w:val="24"/>
              </w:rPr>
              <w:t>2、地表水环境质量现状</w:t>
            </w:r>
          </w:p>
          <w:p w14:paraId="20C5CB48">
            <w:pPr>
              <w:adjustRightInd w:val="0"/>
              <w:snapToGrid w:val="0"/>
              <w:spacing w:line="360" w:lineRule="auto"/>
              <w:ind w:firstLine="480" w:firstLineChars="200"/>
              <w:rPr>
                <w:color w:val="auto"/>
                <w:sz w:val="24"/>
              </w:rPr>
            </w:pPr>
            <w:r>
              <w:rPr>
                <w:color w:val="auto"/>
                <w:kern w:val="0"/>
                <w:sz w:val="24"/>
              </w:rPr>
              <w:t>根据现场调查，项目区最近的地表水</w:t>
            </w:r>
            <w:r>
              <w:rPr>
                <w:rFonts w:hint="eastAsia"/>
                <w:color w:val="auto"/>
                <w:kern w:val="0"/>
                <w:sz w:val="24"/>
                <w:lang w:val="en-US" w:eastAsia="zh-CN"/>
              </w:rPr>
              <w:t>为项目</w:t>
            </w:r>
            <w:r>
              <w:rPr>
                <w:rFonts w:hint="eastAsia"/>
                <w:color w:val="auto"/>
                <w:kern w:val="0"/>
                <w:sz w:val="24"/>
                <w:highlight w:val="none"/>
                <w:lang w:val="en-US" w:eastAsia="zh-CN"/>
              </w:rPr>
              <w:t>区西南侧823m处的烂</w:t>
            </w:r>
            <w:r>
              <w:rPr>
                <w:rFonts w:hint="eastAsia"/>
                <w:color w:val="auto"/>
                <w:kern w:val="0"/>
                <w:sz w:val="24"/>
                <w:lang w:val="en-US" w:eastAsia="zh-CN"/>
              </w:rPr>
              <w:t>渣河及</w:t>
            </w:r>
            <w:r>
              <w:rPr>
                <w:rFonts w:hint="eastAsia"/>
                <w:color w:val="auto"/>
                <w:kern w:val="0"/>
                <w:sz w:val="24"/>
                <w:highlight w:val="none"/>
                <w:lang w:val="en-US" w:eastAsia="zh-CN"/>
              </w:rPr>
              <w:t>南侧1760</w:t>
            </w:r>
            <w:r>
              <w:rPr>
                <w:color w:val="auto"/>
                <w:kern w:val="0"/>
                <w:sz w:val="24"/>
                <w:highlight w:val="none"/>
              </w:rPr>
              <w:t>m</w:t>
            </w:r>
            <w:r>
              <w:rPr>
                <w:rFonts w:hint="eastAsia"/>
                <w:color w:val="auto"/>
                <w:kern w:val="0"/>
                <w:sz w:val="24"/>
                <w:highlight w:val="none"/>
                <w:lang w:val="en-US" w:eastAsia="zh-CN"/>
              </w:rPr>
              <w:t>处的</w:t>
            </w:r>
            <w:r>
              <w:rPr>
                <w:color w:val="auto"/>
                <w:sz w:val="24"/>
              </w:rPr>
              <w:t>甘庄河</w:t>
            </w:r>
            <w:r>
              <w:rPr>
                <w:rFonts w:hint="eastAsia"/>
                <w:color w:val="auto"/>
                <w:sz w:val="24"/>
                <w:lang w:eastAsia="zh-CN"/>
              </w:rPr>
              <w:t>，</w:t>
            </w:r>
            <w:r>
              <w:rPr>
                <w:color w:val="auto"/>
                <w:sz w:val="24"/>
              </w:rPr>
              <w:t>烂渣河为季节性河流，</w:t>
            </w:r>
            <w:r>
              <w:rPr>
                <w:rFonts w:hint="eastAsia"/>
                <w:color w:val="auto"/>
                <w:sz w:val="24"/>
                <w:lang w:val="en-US" w:eastAsia="zh-CN"/>
              </w:rPr>
              <w:t>最终</w:t>
            </w:r>
            <w:r>
              <w:rPr>
                <w:color w:val="auto"/>
                <w:sz w:val="24"/>
              </w:rPr>
              <w:t>汇入甘庄河，甘庄河为元江支流，根据《云南省水功能区划（2014年修订）》，属于元江红河巍山-河口保留区，类别为III类，执行《地表水环境质量标准》（GB3838-2002）Ⅲ类水质标准。</w:t>
            </w:r>
          </w:p>
          <w:p w14:paraId="45CB6083">
            <w:pPr>
              <w:adjustRightInd w:val="0"/>
              <w:snapToGrid w:val="0"/>
              <w:spacing w:line="360" w:lineRule="auto"/>
              <w:ind w:firstLine="480" w:firstLineChars="200"/>
              <w:rPr>
                <w:rFonts w:hint="default" w:eastAsia="宋体"/>
                <w:color w:val="auto"/>
                <w:sz w:val="24"/>
                <w:highlight w:val="none"/>
                <w:lang w:val="en-US" w:eastAsia="zh-CN"/>
              </w:rPr>
            </w:pPr>
            <w:r>
              <w:rPr>
                <w:rFonts w:hint="default" w:ascii="Times New Roman" w:hAnsi="Times New Roman" w:cs="Times New Roman"/>
                <w:color w:val="auto"/>
                <w:sz w:val="24"/>
                <w:szCs w:val="24"/>
                <w:highlight w:val="none"/>
              </w:rPr>
              <w:t>甘庄河箐门口断面</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甘庄河收费站断面</w:t>
            </w:r>
            <w:r>
              <w:rPr>
                <w:rFonts w:hint="eastAsia" w:ascii="Times New Roman" w:hAnsi="Times New Roman" w:cs="Times New Roman"/>
                <w:color w:val="auto"/>
                <w:sz w:val="24"/>
                <w:szCs w:val="24"/>
                <w:highlight w:val="none"/>
                <w:lang w:val="en-US" w:eastAsia="zh-CN"/>
              </w:rPr>
              <w:t>均位于项目区东北侧，与项目区直线距离约为5km、4.1km；</w:t>
            </w:r>
            <w:r>
              <w:rPr>
                <w:rFonts w:hint="default" w:ascii="Times New Roman" w:hAnsi="Times New Roman" w:cs="Times New Roman"/>
                <w:color w:val="auto"/>
                <w:sz w:val="24"/>
                <w:szCs w:val="24"/>
                <w:highlight w:val="none"/>
              </w:rPr>
              <w:t>甘庄河二塘桥断面</w:t>
            </w:r>
            <w:r>
              <w:rPr>
                <w:rFonts w:hint="eastAsia" w:ascii="Times New Roman" w:hAnsi="Times New Roman" w:cs="Times New Roman"/>
                <w:color w:val="auto"/>
                <w:sz w:val="24"/>
                <w:szCs w:val="24"/>
                <w:highlight w:val="none"/>
                <w:lang w:val="en-US" w:eastAsia="zh-CN"/>
              </w:rPr>
              <w:t>位于项目区南侧，与项目区直线距离约为2.1km。</w:t>
            </w:r>
            <w:r>
              <w:rPr>
                <w:rFonts w:hint="default" w:ascii="Times New Roman" w:hAnsi="Times New Roman" w:cs="Times New Roman"/>
                <w:color w:val="auto"/>
                <w:sz w:val="24"/>
                <w:szCs w:val="24"/>
                <w:highlight w:val="none"/>
              </w:rPr>
              <w:t>根据《元江县2024年环境质量状况（简报）》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玉溪市生态环境局元江分局，2025年1与13日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，甘庄河箐门口断面：2024年水质综合评价Ⅱ类，水质符合功能区划要求</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甘庄河收费站断面（甘庄立交）：2024年水质综合评价为Ⅴ类，超标因子氨氮（0.7倍），水质不符合功能区划要求</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甘庄河二塘桥断面：2024年水质综合评价Ⅲ类，水质符合功能区划要求</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2024年甘庄河河流整体评价Ⅲ类，水质状况良好，水质符合功能区划要求。</w:t>
            </w:r>
          </w:p>
          <w:p w14:paraId="3A80DA36">
            <w:pPr>
              <w:spacing w:line="360" w:lineRule="auto"/>
              <w:ind w:firstLine="480" w:firstLineChars="200"/>
              <w:rPr>
                <w:rFonts w:ascii="Times New Roman" w:hAnsi="Times New Roman" w:eastAsia="宋体" w:cs="Times New Roman"/>
                <w:color w:val="auto"/>
                <w:kern w:val="2"/>
                <w:sz w:val="24"/>
                <w:szCs w:val="24"/>
                <w:lang w:val="en-US" w:eastAsia="zh-CN" w:bidi="ar-SA"/>
              </w:rPr>
            </w:pPr>
            <w:r>
              <w:rPr>
                <w:rFonts w:hint="eastAsia"/>
                <w:color w:val="auto"/>
                <w:sz w:val="24"/>
                <w:lang w:val="en-US" w:eastAsia="zh-CN"/>
              </w:rPr>
              <w:t>综上所述，</w:t>
            </w:r>
            <w:r>
              <w:rPr>
                <w:color w:val="auto"/>
                <w:sz w:val="24"/>
              </w:rPr>
              <w:t>甘庄河</w:t>
            </w:r>
            <w:r>
              <w:rPr>
                <w:rFonts w:hint="eastAsia"/>
                <w:color w:val="auto"/>
                <w:sz w:val="24"/>
                <w:lang w:val="en-US" w:eastAsia="zh-CN"/>
              </w:rPr>
              <w:t>水质</w:t>
            </w:r>
            <w:r>
              <w:rPr>
                <w:color w:val="auto"/>
                <w:sz w:val="24"/>
              </w:rPr>
              <w:t>满足《地表水环境质量标准》（GB3838-2002）Ⅲ类水质标准要求。</w:t>
            </w:r>
          </w:p>
          <w:p w14:paraId="7CD816B5">
            <w:pPr>
              <w:pStyle w:val="44"/>
              <w:spacing w:line="360" w:lineRule="auto"/>
              <w:ind w:firstLine="480"/>
              <w:rPr>
                <w:rFonts w:cs="Times New Roman"/>
                <w:b/>
                <w:bCs/>
                <w:color w:val="auto"/>
                <w:sz w:val="24"/>
                <w:szCs w:val="24"/>
                <w:highlight w:val="none"/>
              </w:rPr>
            </w:pPr>
            <w:r>
              <w:rPr>
                <w:rFonts w:hint="eastAsia" w:cs="Times New Roman"/>
                <w:b/>
                <w:bCs/>
                <w:color w:val="auto"/>
                <w:sz w:val="24"/>
                <w:szCs w:val="24"/>
                <w:highlight w:val="none"/>
                <w:lang w:val="en-US" w:eastAsia="zh-CN"/>
              </w:rPr>
              <w:t>3</w:t>
            </w:r>
            <w:r>
              <w:rPr>
                <w:rFonts w:cs="Times New Roman"/>
                <w:b/>
                <w:bCs/>
                <w:color w:val="auto"/>
                <w:sz w:val="24"/>
                <w:szCs w:val="24"/>
                <w:highlight w:val="none"/>
              </w:rPr>
              <w:t>、声环境质量现状</w:t>
            </w:r>
          </w:p>
          <w:p w14:paraId="29E377D9">
            <w:pPr>
              <w:widowControl/>
              <w:spacing w:line="360" w:lineRule="auto"/>
              <w:ind w:firstLine="480" w:firstLineChars="200"/>
              <w:jc w:val="left"/>
              <w:rPr>
                <w:color w:val="auto"/>
                <w:kern w:val="0"/>
                <w:sz w:val="24"/>
                <w:highlight w:val="none"/>
              </w:rPr>
            </w:pPr>
            <w:r>
              <w:rPr>
                <w:color w:val="auto"/>
                <w:sz w:val="24"/>
                <w:highlight w:val="none"/>
              </w:rPr>
              <w:t>本项目位于云南</w:t>
            </w:r>
            <w:r>
              <w:rPr>
                <w:rFonts w:hint="eastAsia"/>
                <w:color w:val="auto"/>
                <w:sz w:val="24"/>
                <w:highlight w:val="none"/>
                <w:lang w:val="en-US" w:eastAsia="zh-CN"/>
              </w:rPr>
              <w:t>元江</w:t>
            </w:r>
            <w:r>
              <w:rPr>
                <w:color w:val="auto"/>
                <w:sz w:val="24"/>
                <w:highlight w:val="none"/>
              </w:rPr>
              <w:t>产业园区</w:t>
            </w:r>
            <w:r>
              <w:rPr>
                <w:rFonts w:hint="eastAsia"/>
                <w:color w:val="auto"/>
                <w:sz w:val="24"/>
                <w:highlight w:val="none"/>
                <w:lang w:val="en-US" w:eastAsia="zh-CN"/>
              </w:rPr>
              <w:t>甘庄</w:t>
            </w:r>
            <w:r>
              <w:rPr>
                <w:color w:val="auto"/>
                <w:sz w:val="24"/>
                <w:highlight w:val="none"/>
              </w:rPr>
              <w:t>片区</w:t>
            </w:r>
            <w:r>
              <w:rPr>
                <w:rFonts w:hint="eastAsia"/>
                <w:color w:val="auto"/>
                <w:sz w:val="24"/>
                <w:szCs w:val="24"/>
                <w:highlight w:val="none"/>
                <w:lang w:eastAsia="zh-CN"/>
              </w:rPr>
              <w:t>，</w:t>
            </w:r>
            <w:r>
              <w:rPr>
                <w:color w:val="auto"/>
                <w:sz w:val="24"/>
                <w:szCs w:val="24"/>
                <w:highlight w:val="none"/>
              </w:rPr>
              <w:t>声环境功能区为3类区，执行《声环境质量标准》（GB3096-2008）中的3类标准。根据现场踏勘，</w:t>
            </w:r>
            <w:r>
              <w:rPr>
                <w:color w:val="auto"/>
                <w:sz w:val="24"/>
                <w:highlight w:val="none"/>
              </w:rPr>
              <w:t>项目厂界外</w:t>
            </w:r>
            <w:r>
              <w:rPr>
                <w:rFonts w:hint="eastAsia"/>
                <w:color w:val="auto"/>
                <w:sz w:val="24"/>
                <w:highlight w:val="none"/>
                <w:lang w:val="en-US" w:eastAsia="zh-CN"/>
              </w:rPr>
              <w:t>声环境保护目标主要为园区办公楼，敏感点噪声</w:t>
            </w:r>
            <w:r>
              <w:rPr>
                <w:color w:val="auto"/>
                <w:sz w:val="24"/>
                <w:szCs w:val="24"/>
                <w:highlight w:val="none"/>
              </w:rPr>
              <w:t>执行《声环境质量标准》（GB3096-2008）中的</w:t>
            </w:r>
            <w:r>
              <w:rPr>
                <w:rFonts w:hint="eastAsia"/>
                <w:color w:val="auto"/>
                <w:sz w:val="24"/>
                <w:szCs w:val="24"/>
                <w:highlight w:val="none"/>
                <w:lang w:val="en-US" w:eastAsia="zh-CN"/>
              </w:rPr>
              <w:t>2</w:t>
            </w:r>
            <w:r>
              <w:rPr>
                <w:color w:val="auto"/>
                <w:sz w:val="24"/>
                <w:szCs w:val="24"/>
                <w:highlight w:val="none"/>
              </w:rPr>
              <w:t>类标准</w:t>
            </w:r>
            <w:r>
              <w:rPr>
                <w:color w:val="auto"/>
                <w:sz w:val="24"/>
                <w:highlight w:val="none"/>
              </w:rPr>
              <w:t>。</w:t>
            </w:r>
          </w:p>
          <w:p w14:paraId="25F34D99">
            <w:pPr>
              <w:widowControl/>
              <w:spacing w:line="360" w:lineRule="auto"/>
              <w:ind w:firstLine="480" w:firstLineChars="200"/>
              <w:jc w:val="left"/>
              <w:rPr>
                <w:color w:val="auto"/>
                <w:sz w:val="24"/>
                <w:szCs w:val="24"/>
                <w:highlight w:val="none"/>
              </w:rPr>
            </w:pPr>
            <w:r>
              <w:rPr>
                <w:rFonts w:hint="default" w:cs="Times New Roman"/>
                <w:b w:val="0"/>
                <w:bCs w:val="0"/>
                <w:color w:val="auto"/>
                <w:sz w:val="24"/>
                <w:szCs w:val="24"/>
                <w:highlight w:val="none"/>
                <w:u w:val="none"/>
                <w:lang w:val="en-US" w:eastAsia="zh-CN"/>
              </w:rPr>
              <w:t>为了解</w:t>
            </w:r>
            <w:r>
              <w:rPr>
                <w:rFonts w:hint="eastAsia" w:cs="Times New Roman"/>
                <w:b w:val="0"/>
                <w:bCs w:val="0"/>
                <w:color w:val="auto"/>
                <w:sz w:val="24"/>
                <w:szCs w:val="24"/>
                <w:highlight w:val="none"/>
                <w:u w:val="none"/>
                <w:lang w:val="en-US" w:eastAsia="zh-CN"/>
              </w:rPr>
              <w:t>敏感点的</w:t>
            </w:r>
            <w:r>
              <w:rPr>
                <w:rFonts w:hint="default" w:cs="Times New Roman"/>
                <w:b w:val="0"/>
                <w:bCs w:val="0"/>
                <w:color w:val="auto"/>
                <w:sz w:val="24"/>
                <w:szCs w:val="24"/>
                <w:highlight w:val="none"/>
                <w:u w:val="none"/>
                <w:lang w:val="en-US" w:eastAsia="zh-CN"/>
              </w:rPr>
              <w:t>声环境质量现状，建设单位委托云南环普检测科技有限公司于</w:t>
            </w:r>
            <w:r>
              <w:rPr>
                <w:rFonts w:hint="eastAsia" w:cs="Times New Roman"/>
                <w:b w:val="0"/>
                <w:bCs w:val="0"/>
                <w:color w:val="auto"/>
                <w:sz w:val="24"/>
                <w:szCs w:val="24"/>
                <w:highlight w:val="none"/>
                <w:u w:val="none"/>
                <w:lang w:val="en-US" w:eastAsia="zh-CN"/>
              </w:rPr>
              <w:t>2025</w:t>
            </w:r>
            <w:r>
              <w:rPr>
                <w:rFonts w:hint="default" w:cs="Times New Roman"/>
                <w:b w:val="0"/>
                <w:bCs w:val="0"/>
                <w:color w:val="auto"/>
                <w:sz w:val="24"/>
                <w:szCs w:val="24"/>
                <w:highlight w:val="none"/>
                <w:u w:val="none"/>
                <w:lang w:val="en-US" w:eastAsia="zh-CN"/>
              </w:rPr>
              <w:t>年</w:t>
            </w:r>
            <w:r>
              <w:rPr>
                <w:rFonts w:hint="eastAsia" w:cs="Times New Roman"/>
                <w:b w:val="0"/>
                <w:bCs w:val="0"/>
                <w:color w:val="auto"/>
                <w:sz w:val="24"/>
                <w:szCs w:val="24"/>
                <w:highlight w:val="none"/>
                <w:u w:val="none"/>
                <w:lang w:val="en-US" w:eastAsia="zh-CN"/>
              </w:rPr>
              <w:t>11</w:t>
            </w:r>
            <w:r>
              <w:rPr>
                <w:rFonts w:hint="default" w:cs="Times New Roman"/>
                <w:b w:val="0"/>
                <w:bCs w:val="0"/>
                <w:color w:val="auto"/>
                <w:sz w:val="24"/>
                <w:szCs w:val="24"/>
                <w:highlight w:val="none"/>
                <w:u w:val="none"/>
                <w:lang w:val="en-US" w:eastAsia="zh-CN"/>
              </w:rPr>
              <w:t>月</w:t>
            </w:r>
            <w:r>
              <w:rPr>
                <w:rFonts w:hint="eastAsia" w:cs="Times New Roman"/>
                <w:b w:val="0"/>
                <w:bCs w:val="0"/>
                <w:color w:val="auto"/>
                <w:sz w:val="24"/>
                <w:szCs w:val="24"/>
                <w:highlight w:val="none"/>
                <w:u w:val="none"/>
                <w:lang w:val="en-US" w:eastAsia="zh-CN"/>
              </w:rPr>
              <w:t>23</w:t>
            </w:r>
            <w:r>
              <w:rPr>
                <w:rFonts w:hint="default" w:cs="Times New Roman"/>
                <w:b w:val="0"/>
                <w:bCs w:val="0"/>
                <w:color w:val="auto"/>
                <w:sz w:val="24"/>
                <w:szCs w:val="24"/>
                <w:highlight w:val="none"/>
                <w:u w:val="none"/>
                <w:lang w:val="en-US" w:eastAsia="zh-CN"/>
              </w:rPr>
              <w:t>日对</w:t>
            </w:r>
            <w:r>
              <w:rPr>
                <w:rFonts w:hint="eastAsia" w:cs="Times New Roman"/>
                <w:b w:val="0"/>
                <w:bCs w:val="0"/>
                <w:color w:val="auto"/>
                <w:sz w:val="24"/>
                <w:szCs w:val="24"/>
                <w:highlight w:val="none"/>
                <w:u w:val="none"/>
                <w:lang w:val="en-US" w:eastAsia="zh-CN"/>
              </w:rPr>
              <w:t>园区办公楼外1m处的</w:t>
            </w:r>
            <w:r>
              <w:rPr>
                <w:rFonts w:hint="default" w:cs="Times New Roman"/>
                <w:b w:val="0"/>
                <w:bCs w:val="0"/>
                <w:color w:val="auto"/>
                <w:sz w:val="24"/>
                <w:szCs w:val="24"/>
                <w:highlight w:val="none"/>
                <w:u w:val="none"/>
                <w:lang w:val="en-US" w:eastAsia="zh-CN"/>
              </w:rPr>
              <w:t>声环境质量现状进行了监测。</w:t>
            </w:r>
          </w:p>
          <w:p w14:paraId="79869CC1">
            <w:pPr>
              <w:adjustRightInd w:val="0"/>
              <w:snapToGrid w:val="0"/>
              <w:spacing w:line="360" w:lineRule="auto"/>
              <w:ind w:firstLine="482" w:firstLineChars="200"/>
              <w:rPr>
                <w:rFonts w:hint="default" w:eastAsia="宋体"/>
                <w:b/>
                <w:bCs/>
                <w:color w:val="auto"/>
                <w:sz w:val="24"/>
                <w:highlight w:val="none"/>
                <w:lang w:val="en-US" w:eastAsia="zh-CN"/>
              </w:rPr>
            </w:pPr>
            <w:r>
              <w:rPr>
                <w:rFonts w:hint="eastAsia" w:ascii="宋体" w:hAnsi="宋体" w:eastAsia="宋体" w:cs="宋体"/>
                <w:b/>
                <w:bCs/>
                <w:color w:val="auto"/>
                <w:sz w:val="24"/>
                <w:highlight w:val="none"/>
              </w:rPr>
              <w:t>①</w:t>
            </w:r>
            <w:r>
              <w:rPr>
                <w:rFonts w:hint="eastAsia" w:eastAsia="宋体"/>
                <w:b/>
                <w:bCs/>
                <w:color w:val="auto"/>
                <w:sz w:val="24"/>
                <w:highlight w:val="none"/>
                <w:lang w:val="en-US" w:eastAsia="zh-CN"/>
              </w:rPr>
              <w:t>监测方案</w:t>
            </w:r>
          </w:p>
          <w:p w14:paraId="45B4AEAD">
            <w:pPr>
              <w:adjustRightInd w:val="0"/>
              <w:snapToGrid w:val="0"/>
              <w:spacing w:line="360" w:lineRule="auto"/>
              <w:ind w:firstLine="480" w:firstLineChars="200"/>
              <w:rPr>
                <w:color w:val="auto"/>
                <w:sz w:val="24"/>
                <w:highlight w:val="none"/>
              </w:rPr>
            </w:pPr>
            <w:r>
              <w:rPr>
                <w:color w:val="auto"/>
                <w:sz w:val="24"/>
                <w:highlight w:val="none"/>
              </w:rPr>
              <w:t>监测项目：等效A声级Leq；</w:t>
            </w:r>
          </w:p>
          <w:p w14:paraId="6AEF6DCE">
            <w:pPr>
              <w:adjustRightInd w:val="0"/>
              <w:snapToGrid w:val="0"/>
              <w:spacing w:line="360" w:lineRule="auto"/>
              <w:ind w:firstLine="480" w:firstLineChars="200"/>
              <w:rPr>
                <w:color w:val="auto"/>
                <w:sz w:val="24"/>
                <w:highlight w:val="none"/>
              </w:rPr>
            </w:pPr>
            <w:r>
              <w:rPr>
                <w:color w:val="auto"/>
                <w:sz w:val="24"/>
                <w:highlight w:val="none"/>
              </w:rPr>
              <w:t>监测点位：</w:t>
            </w:r>
            <w:r>
              <w:rPr>
                <w:rFonts w:hint="eastAsia"/>
                <w:color w:val="auto"/>
                <w:sz w:val="24"/>
                <w:highlight w:val="none"/>
                <w:lang w:val="en-US" w:eastAsia="zh-CN"/>
              </w:rPr>
              <w:t>园区办公楼1m外处设置</w:t>
            </w:r>
            <w:r>
              <w:rPr>
                <w:color w:val="auto"/>
                <w:sz w:val="24"/>
                <w:highlight w:val="none"/>
              </w:rPr>
              <w:t>1个监测点</w:t>
            </w:r>
            <w:r>
              <w:rPr>
                <w:rFonts w:hint="eastAsia"/>
                <w:color w:val="auto"/>
                <w:sz w:val="24"/>
                <w:highlight w:val="none"/>
                <w:lang w:eastAsia="zh-CN"/>
              </w:rPr>
              <w:t>（</w:t>
            </w:r>
            <w:r>
              <w:rPr>
                <w:rFonts w:hint="eastAsia"/>
                <w:color w:val="auto"/>
                <w:sz w:val="24"/>
                <w:highlight w:val="none"/>
                <w:lang w:val="en-US" w:eastAsia="zh-CN"/>
              </w:rPr>
              <w:t>位于项目区东北侧约44m处</w:t>
            </w:r>
            <w:r>
              <w:rPr>
                <w:rFonts w:hint="eastAsia"/>
                <w:color w:val="auto"/>
                <w:sz w:val="24"/>
                <w:highlight w:val="none"/>
                <w:lang w:eastAsia="zh-CN"/>
              </w:rPr>
              <w:t>）</w:t>
            </w:r>
            <w:r>
              <w:rPr>
                <w:color w:val="auto"/>
                <w:sz w:val="24"/>
                <w:highlight w:val="none"/>
              </w:rPr>
              <w:t xml:space="preserve">； </w:t>
            </w:r>
          </w:p>
          <w:p w14:paraId="0C0701D3">
            <w:pPr>
              <w:adjustRightInd w:val="0"/>
              <w:snapToGrid w:val="0"/>
              <w:spacing w:line="360" w:lineRule="auto"/>
              <w:ind w:firstLine="480" w:firstLineChars="200"/>
              <w:rPr>
                <w:color w:val="auto"/>
                <w:sz w:val="24"/>
                <w:highlight w:val="none"/>
              </w:rPr>
            </w:pPr>
            <w:r>
              <w:rPr>
                <w:color w:val="auto"/>
                <w:sz w:val="24"/>
                <w:highlight w:val="none"/>
              </w:rPr>
              <w:t>监测时段：</w:t>
            </w:r>
            <w:r>
              <w:rPr>
                <w:rFonts w:hint="eastAsia"/>
                <w:color w:val="auto"/>
                <w:sz w:val="24"/>
                <w:highlight w:val="none"/>
              </w:rPr>
              <w:t>20</w:t>
            </w:r>
            <w:r>
              <w:rPr>
                <w:rFonts w:hint="eastAsia"/>
                <w:color w:val="auto"/>
                <w:sz w:val="24"/>
                <w:highlight w:val="none"/>
                <w:lang w:val="en-US" w:eastAsia="zh-CN"/>
              </w:rPr>
              <w:t>25</w:t>
            </w:r>
            <w:r>
              <w:rPr>
                <w:color w:val="auto"/>
                <w:sz w:val="24"/>
                <w:highlight w:val="none"/>
              </w:rPr>
              <w:t>年</w:t>
            </w:r>
            <w:r>
              <w:rPr>
                <w:rFonts w:hint="eastAsia"/>
                <w:color w:val="auto"/>
                <w:sz w:val="24"/>
                <w:highlight w:val="none"/>
                <w:lang w:val="en-US" w:eastAsia="zh-CN"/>
              </w:rPr>
              <w:t>11</w:t>
            </w:r>
            <w:r>
              <w:rPr>
                <w:color w:val="auto"/>
                <w:sz w:val="24"/>
                <w:highlight w:val="none"/>
              </w:rPr>
              <w:t>月</w:t>
            </w:r>
            <w:r>
              <w:rPr>
                <w:rFonts w:hint="eastAsia"/>
                <w:color w:val="auto"/>
                <w:sz w:val="24"/>
                <w:highlight w:val="none"/>
                <w:lang w:val="en-US" w:eastAsia="zh-CN"/>
              </w:rPr>
              <w:t>23</w:t>
            </w:r>
            <w:r>
              <w:rPr>
                <w:color w:val="auto"/>
                <w:sz w:val="24"/>
                <w:highlight w:val="none"/>
              </w:rPr>
              <w:t>日，监测</w:t>
            </w:r>
            <w:r>
              <w:rPr>
                <w:rFonts w:hint="eastAsia"/>
                <w:color w:val="auto"/>
                <w:sz w:val="24"/>
                <w:highlight w:val="none"/>
                <w:lang w:val="en-US" w:eastAsia="zh-CN"/>
              </w:rPr>
              <w:t>1</w:t>
            </w:r>
            <w:r>
              <w:rPr>
                <w:color w:val="auto"/>
                <w:sz w:val="24"/>
                <w:highlight w:val="none"/>
              </w:rPr>
              <w:t>天，昼、夜各一次；</w:t>
            </w:r>
          </w:p>
          <w:p w14:paraId="299A7F01">
            <w:pPr>
              <w:adjustRightInd w:val="0"/>
              <w:snapToGrid w:val="0"/>
              <w:spacing w:line="360" w:lineRule="auto"/>
              <w:ind w:firstLine="480" w:firstLineChars="200"/>
              <w:rPr>
                <w:color w:val="auto"/>
                <w:sz w:val="24"/>
                <w:highlight w:val="none"/>
              </w:rPr>
            </w:pPr>
            <w:r>
              <w:rPr>
                <w:color w:val="auto"/>
                <w:sz w:val="24"/>
                <w:highlight w:val="none"/>
              </w:rPr>
              <w:t>监测方法：监测及分析方法依照《声环境质量标准》</w:t>
            </w:r>
            <w:r>
              <w:rPr>
                <w:rFonts w:hint="eastAsia"/>
                <w:color w:val="auto"/>
                <w:sz w:val="24"/>
                <w:highlight w:val="none"/>
              </w:rPr>
              <w:t>（</w:t>
            </w:r>
            <w:r>
              <w:rPr>
                <w:color w:val="auto"/>
                <w:sz w:val="24"/>
                <w:highlight w:val="none"/>
              </w:rPr>
              <w:t>GB3096-2008</w:t>
            </w:r>
            <w:r>
              <w:rPr>
                <w:rFonts w:hint="eastAsia"/>
                <w:color w:val="auto"/>
                <w:sz w:val="24"/>
                <w:highlight w:val="none"/>
              </w:rPr>
              <w:t>）</w:t>
            </w:r>
            <w:r>
              <w:rPr>
                <w:color w:val="auto"/>
                <w:sz w:val="24"/>
                <w:highlight w:val="none"/>
              </w:rPr>
              <w:t>的有关规定执行；</w:t>
            </w:r>
          </w:p>
          <w:p w14:paraId="54A4BD4D">
            <w:pPr>
              <w:adjustRightInd w:val="0"/>
              <w:snapToGrid w:val="0"/>
              <w:spacing w:line="360" w:lineRule="auto"/>
              <w:ind w:firstLine="480" w:firstLineChars="200"/>
              <w:rPr>
                <w:color w:val="auto"/>
                <w:sz w:val="24"/>
                <w:highlight w:val="none"/>
              </w:rPr>
            </w:pPr>
            <w:r>
              <w:rPr>
                <w:color w:val="auto"/>
                <w:sz w:val="24"/>
                <w:highlight w:val="none"/>
              </w:rPr>
              <w:t>评价标准：执行《声环境质量标准》（GB3096-2008）</w:t>
            </w:r>
            <w:r>
              <w:rPr>
                <w:rFonts w:hint="eastAsia"/>
                <w:color w:val="auto"/>
                <w:sz w:val="24"/>
                <w:highlight w:val="none"/>
                <w:lang w:val="en-US" w:eastAsia="zh-CN"/>
              </w:rPr>
              <w:t>2</w:t>
            </w:r>
            <w:r>
              <w:rPr>
                <w:rFonts w:hint="eastAsia"/>
                <w:color w:val="auto"/>
                <w:sz w:val="24"/>
                <w:highlight w:val="none"/>
              </w:rPr>
              <w:t>类</w:t>
            </w:r>
            <w:r>
              <w:rPr>
                <w:color w:val="auto"/>
                <w:sz w:val="24"/>
                <w:highlight w:val="none"/>
              </w:rPr>
              <w:t>标准。</w:t>
            </w:r>
          </w:p>
          <w:p w14:paraId="37655DA4">
            <w:pPr>
              <w:widowControl/>
              <w:spacing w:line="360" w:lineRule="auto"/>
              <w:ind w:firstLine="482" w:firstLineChars="200"/>
              <w:jc w:val="left"/>
              <w:rPr>
                <w:rFonts w:eastAsia="宋体"/>
                <w:color w:val="auto"/>
                <w:highlight w:val="none"/>
              </w:rPr>
            </w:pPr>
            <w:r>
              <w:rPr>
                <w:rFonts w:hint="eastAsia" w:ascii="宋体" w:hAnsi="宋体" w:eastAsia="宋体" w:cs="宋体"/>
                <w:b/>
                <w:bCs/>
                <w:color w:val="auto"/>
                <w:sz w:val="24"/>
                <w:highlight w:val="none"/>
              </w:rPr>
              <w:t>②</w:t>
            </w:r>
            <w:r>
              <w:rPr>
                <w:rFonts w:hint="eastAsia" w:eastAsia="宋体"/>
                <w:b/>
                <w:bCs/>
                <w:color w:val="auto"/>
                <w:sz w:val="24"/>
                <w:highlight w:val="none"/>
                <w:lang w:val="en-US" w:eastAsia="zh-CN"/>
              </w:rPr>
              <w:t>监测结果</w:t>
            </w:r>
          </w:p>
          <w:p w14:paraId="0F779B78">
            <w:pPr>
              <w:pStyle w:val="74"/>
              <w:spacing w:before="0" w:beforeLines="0"/>
              <w:rPr>
                <w:rFonts w:eastAsia="宋体"/>
                <w:color w:val="auto"/>
                <w:highlight w:val="none"/>
              </w:rPr>
            </w:pPr>
            <w:r>
              <w:rPr>
                <w:rFonts w:eastAsia="宋体"/>
                <w:color w:val="auto"/>
                <w:highlight w:val="none"/>
              </w:rPr>
              <w:t>表</w:t>
            </w:r>
            <w:r>
              <w:rPr>
                <w:rFonts w:hint="eastAsia" w:eastAsia="宋体"/>
                <w:color w:val="auto"/>
                <w:highlight w:val="none"/>
              </w:rPr>
              <w:t>3-</w:t>
            </w:r>
            <w:r>
              <w:rPr>
                <w:rFonts w:hint="eastAsia" w:eastAsia="宋体"/>
                <w:color w:val="auto"/>
                <w:highlight w:val="none"/>
                <w:lang w:val="en-US" w:eastAsia="zh-CN"/>
              </w:rPr>
              <w:t>4</w:t>
            </w:r>
            <w:r>
              <w:rPr>
                <w:rFonts w:eastAsia="宋体"/>
                <w:color w:val="auto"/>
                <w:highlight w:val="none"/>
              </w:rPr>
              <w:t xml:space="preserve">  声环境质量现状监测结果一览表  单位：dB(A)</w:t>
            </w:r>
          </w:p>
          <w:tbl>
            <w:tblPr>
              <w:tblStyle w:val="2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947"/>
              <w:gridCol w:w="1268"/>
              <w:gridCol w:w="1377"/>
              <w:gridCol w:w="1010"/>
              <w:gridCol w:w="1012"/>
              <w:gridCol w:w="1323"/>
            </w:tblGrid>
            <w:tr w14:paraId="5BC8E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947" w:type="dxa"/>
                  <w:vAlign w:val="center"/>
                </w:tcPr>
                <w:p w14:paraId="6589C0C5">
                  <w:pPr>
                    <w:adjustRightInd w:val="0"/>
                    <w:snapToGrid w:val="0"/>
                    <w:jc w:val="center"/>
                    <w:rPr>
                      <w:b/>
                      <w:color w:val="auto"/>
                      <w:szCs w:val="21"/>
                      <w:highlight w:val="none"/>
                    </w:rPr>
                  </w:pPr>
                  <w:r>
                    <w:rPr>
                      <w:b/>
                      <w:color w:val="auto"/>
                      <w:szCs w:val="21"/>
                      <w:highlight w:val="none"/>
                    </w:rPr>
                    <w:t>监测点位</w:t>
                  </w:r>
                </w:p>
              </w:tc>
              <w:tc>
                <w:tcPr>
                  <w:tcW w:w="1268" w:type="dxa"/>
                  <w:vAlign w:val="center"/>
                </w:tcPr>
                <w:p w14:paraId="340277A4">
                  <w:pPr>
                    <w:adjustRightInd w:val="0"/>
                    <w:snapToGrid w:val="0"/>
                    <w:jc w:val="center"/>
                    <w:rPr>
                      <w:b/>
                      <w:color w:val="auto"/>
                      <w:szCs w:val="21"/>
                      <w:highlight w:val="none"/>
                    </w:rPr>
                  </w:pPr>
                  <w:r>
                    <w:rPr>
                      <w:b/>
                      <w:color w:val="auto"/>
                      <w:szCs w:val="21"/>
                      <w:highlight w:val="none"/>
                    </w:rPr>
                    <w:t>监测日期</w:t>
                  </w:r>
                </w:p>
              </w:tc>
              <w:tc>
                <w:tcPr>
                  <w:tcW w:w="1377" w:type="dxa"/>
                  <w:vAlign w:val="center"/>
                </w:tcPr>
                <w:p w14:paraId="0CCB1664">
                  <w:pPr>
                    <w:adjustRightInd w:val="0"/>
                    <w:snapToGrid w:val="0"/>
                    <w:jc w:val="center"/>
                    <w:rPr>
                      <w:b/>
                      <w:color w:val="auto"/>
                      <w:szCs w:val="21"/>
                      <w:highlight w:val="none"/>
                    </w:rPr>
                  </w:pPr>
                  <w:r>
                    <w:rPr>
                      <w:b/>
                      <w:color w:val="auto"/>
                      <w:szCs w:val="21"/>
                      <w:highlight w:val="none"/>
                    </w:rPr>
                    <w:t>监测时段</w:t>
                  </w:r>
                </w:p>
              </w:tc>
              <w:tc>
                <w:tcPr>
                  <w:tcW w:w="1010" w:type="dxa"/>
                  <w:vAlign w:val="center"/>
                </w:tcPr>
                <w:p w14:paraId="1E9B2596">
                  <w:pPr>
                    <w:adjustRightInd w:val="0"/>
                    <w:snapToGrid w:val="0"/>
                    <w:jc w:val="center"/>
                    <w:rPr>
                      <w:b/>
                      <w:color w:val="auto"/>
                      <w:szCs w:val="21"/>
                      <w:highlight w:val="none"/>
                    </w:rPr>
                  </w:pPr>
                  <w:r>
                    <w:rPr>
                      <w:b/>
                      <w:color w:val="auto"/>
                      <w:szCs w:val="21"/>
                      <w:highlight w:val="none"/>
                    </w:rPr>
                    <w:t>监测结果</w:t>
                  </w:r>
                </w:p>
              </w:tc>
              <w:tc>
                <w:tcPr>
                  <w:tcW w:w="1012" w:type="dxa"/>
                  <w:vAlign w:val="center"/>
                </w:tcPr>
                <w:p w14:paraId="10ACB7A9">
                  <w:pPr>
                    <w:adjustRightInd w:val="0"/>
                    <w:snapToGrid w:val="0"/>
                    <w:jc w:val="center"/>
                    <w:rPr>
                      <w:b/>
                      <w:color w:val="auto"/>
                      <w:szCs w:val="21"/>
                      <w:highlight w:val="none"/>
                    </w:rPr>
                  </w:pPr>
                  <w:r>
                    <w:rPr>
                      <w:b/>
                      <w:color w:val="auto"/>
                      <w:szCs w:val="21"/>
                      <w:highlight w:val="none"/>
                    </w:rPr>
                    <w:t>标准值</w:t>
                  </w:r>
                </w:p>
              </w:tc>
              <w:tc>
                <w:tcPr>
                  <w:tcW w:w="1323" w:type="dxa"/>
                  <w:vAlign w:val="center"/>
                </w:tcPr>
                <w:p w14:paraId="5E4FDE66">
                  <w:pPr>
                    <w:adjustRightInd w:val="0"/>
                    <w:snapToGrid w:val="0"/>
                    <w:jc w:val="center"/>
                    <w:rPr>
                      <w:b/>
                      <w:color w:val="auto"/>
                      <w:szCs w:val="21"/>
                      <w:highlight w:val="none"/>
                    </w:rPr>
                  </w:pPr>
                  <w:r>
                    <w:rPr>
                      <w:b/>
                      <w:color w:val="auto"/>
                      <w:szCs w:val="21"/>
                      <w:highlight w:val="none"/>
                    </w:rPr>
                    <w:t>超标情况</w:t>
                  </w:r>
                </w:p>
              </w:tc>
            </w:tr>
            <w:tr w14:paraId="01EF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7" w:hRule="atLeast"/>
                <w:jc w:val="center"/>
              </w:trPr>
              <w:tc>
                <w:tcPr>
                  <w:tcW w:w="1947" w:type="dxa"/>
                  <w:vMerge w:val="restart"/>
                  <w:vAlign w:val="center"/>
                </w:tcPr>
                <w:p w14:paraId="0714A9D2">
                  <w:pPr>
                    <w:adjustRightInd w:val="0"/>
                    <w:snapToGrid w:val="0"/>
                    <w:jc w:val="center"/>
                    <w:rPr>
                      <w:color w:val="auto"/>
                      <w:szCs w:val="21"/>
                      <w:highlight w:val="none"/>
                    </w:rPr>
                  </w:pPr>
                  <w:r>
                    <w:rPr>
                      <w:rFonts w:hint="eastAsia"/>
                      <w:color w:val="auto"/>
                      <w:sz w:val="21"/>
                      <w:szCs w:val="21"/>
                      <w:highlight w:val="none"/>
                    </w:rPr>
                    <w:t>园区办公楼外1m处</w:t>
                  </w:r>
                </w:p>
              </w:tc>
              <w:tc>
                <w:tcPr>
                  <w:tcW w:w="1268" w:type="dxa"/>
                  <w:vMerge w:val="restart"/>
                  <w:vAlign w:val="center"/>
                </w:tcPr>
                <w:p w14:paraId="3E28A08F">
                  <w:pPr>
                    <w:adjustRightInd w:val="0"/>
                    <w:snapToGrid w:val="0"/>
                    <w:jc w:val="center"/>
                    <w:rPr>
                      <w:rFonts w:hint="default" w:eastAsia="宋体"/>
                      <w:color w:val="auto"/>
                      <w:szCs w:val="21"/>
                      <w:highlight w:val="none"/>
                      <w:lang w:val="en-US" w:eastAsia="zh-CN"/>
                    </w:rPr>
                  </w:pPr>
                  <w:r>
                    <w:rPr>
                      <w:rFonts w:hint="eastAsia"/>
                      <w:color w:val="auto"/>
                      <w:szCs w:val="21"/>
                      <w:highlight w:val="none"/>
                    </w:rPr>
                    <w:t>202</w:t>
                  </w:r>
                  <w:r>
                    <w:rPr>
                      <w:rFonts w:hint="eastAsia"/>
                      <w:color w:val="auto"/>
                      <w:szCs w:val="21"/>
                      <w:highlight w:val="none"/>
                      <w:lang w:val="en-US" w:eastAsia="zh-CN"/>
                    </w:rPr>
                    <w:t>5</w:t>
                  </w:r>
                  <w:r>
                    <w:rPr>
                      <w:rFonts w:hint="eastAsia"/>
                      <w:color w:val="auto"/>
                      <w:szCs w:val="21"/>
                      <w:highlight w:val="none"/>
                    </w:rPr>
                    <w:t>.</w:t>
                  </w:r>
                  <w:r>
                    <w:rPr>
                      <w:rFonts w:hint="eastAsia"/>
                      <w:color w:val="auto"/>
                      <w:szCs w:val="21"/>
                      <w:highlight w:val="none"/>
                      <w:lang w:val="en-US" w:eastAsia="zh-CN"/>
                    </w:rPr>
                    <w:t>11</w:t>
                  </w:r>
                  <w:r>
                    <w:rPr>
                      <w:rFonts w:hint="eastAsia"/>
                      <w:color w:val="auto"/>
                      <w:szCs w:val="21"/>
                      <w:highlight w:val="none"/>
                    </w:rPr>
                    <w:t>.</w:t>
                  </w:r>
                  <w:r>
                    <w:rPr>
                      <w:rFonts w:hint="eastAsia"/>
                      <w:color w:val="auto"/>
                      <w:szCs w:val="21"/>
                      <w:highlight w:val="none"/>
                      <w:lang w:val="en-US" w:eastAsia="zh-CN"/>
                    </w:rPr>
                    <w:t>23</w:t>
                  </w:r>
                </w:p>
              </w:tc>
              <w:tc>
                <w:tcPr>
                  <w:tcW w:w="1377" w:type="dxa"/>
                  <w:vAlign w:val="center"/>
                </w:tcPr>
                <w:p w14:paraId="2BEF858E">
                  <w:pPr>
                    <w:adjustRightInd w:val="0"/>
                    <w:snapToGrid w:val="0"/>
                    <w:jc w:val="center"/>
                    <w:rPr>
                      <w:color w:val="auto"/>
                      <w:szCs w:val="21"/>
                      <w:highlight w:val="none"/>
                    </w:rPr>
                  </w:pPr>
                  <w:r>
                    <w:rPr>
                      <w:color w:val="auto"/>
                      <w:szCs w:val="21"/>
                      <w:highlight w:val="none"/>
                    </w:rPr>
                    <w:t>昼间</w:t>
                  </w:r>
                </w:p>
              </w:tc>
              <w:tc>
                <w:tcPr>
                  <w:tcW w:w="1010" w:type="dxa"/>
                  <w:vAlign w:val="center"/>
                </w:tcPr>
                <w:p w14:paraId="702B8697">
                  <w:pPr>
                    <w:jc w:val="center"/>
                    <w:rPr>
                      <w:rFonts w:hint="default" w:eastAsia="宋体"/>
                      <w:color w:val="auto"/>
                      <w:szCs w:val="21"/>
                      <w:highlight w:val="none"/>
                      <w:lang w:val="en-US" w:eastAsia="zh-CN"/>
                    </w:rPr>
                  </w:pPr>
                  <w:r>
                    <w:rPr>
                      <w:rFonts w:hint="eastAsia"/>
                      <w:color w:val="auto"/>
                      <w:szCs w:val="21"/>
                      <w:highlight w:val="none"/>
                      <w:lang w:val="en-US" w:eastAsia="zh-CN"/>
                    </w:rPr>
                    <w:t>53</w:t>
                  </w:r>
                </w:p>
              </w:tc>
              <w:tc>
                <w:tcPr>
                  <w:tcW w:w="1012" w:type="dxa"/>
                  <w:vAlign w:val="center"/>
                </w:tcPr>
                <w:p w14:paraId="737FEF80">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60</w:t>
                  </w:r>
                </w:p>
              </w:tc>
              <w:tc>
                <w:tcPr>
                  <w:tcW w:w="1323" w:type="dxa"/>
                  <w:vAlign w:val="center"/>
                </w:tcPr>
                <w:p w14:paraId="060991D1">
                  <w:pPr>
                    <w:adjustRightInd w:val="0"/>
                    <w:snapToGrid w:val="0"/>
                    <w:jc w:val="center"/>
                    <w:rPr>
                      <w:color w:val="auto"/>
                      <w:szCs w:val="21"/>
                      <w:highlight w:val="none"/>
                    </w:rPr>
                  </w:pPr>
                  <w:r>
                    <w:rPr>
                      <w:color w:val="auto"/>
                      <w:szCs w:val="21"/>
                      <w:highlight w:val="none"/>
                    </w:rPr>
                    <w:t>达标</w:t>
                  </w:r>
                </w:p>
              </w:tc>
            </w:tr>
            <w:tr w14:paraId="4D00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947" w:type="dxa"/>
                  <w:vMerge w:val="continue"/>
                  <w:vAlign w:val="center"/>
                </w:tcPr>
                <w:p w14:paraId="287741D5">
                  <w:pPr>
                    <w:adjustRightInd w:val="0"/>
                    <w:snapToGrid w:val="0"/>
                    <w:jc w:val="center"/>
                    <w:rPr>
                      <w:color w:val="auto"/>
                      <w:szCs w:val="21"/>
                      <w:highlight w:val="none"/>
                    </w:rPr>
                  </w:pPr>
                </w:p>
              </w:tc>
              <w:tc>
                <w:tcPr>
                  <w:tcW w:w="1268" w:type="dxa"/>
                  <w:vMerge w:val="continue"/>
                  <w:vAlign w:val="center"/>
                </w:tcPr>
                <w:p w14:paraId="05D9A5E6">
                  <w:pPr>
                    <w:adjustRightInd w:val="0"/>
                    <w:snapToGrid w:val="0"/>
                    <w:jc w:val="center"/>
                    <w:rPr>
                      <w:color w:val="auto"/>
                      <w:szCs w:val="21"/>
                      <w:highlight w:val="none"/>
                    </w:rPr>
                  </w:pPr>
                </w:p>
              </w:tc>
              <w:tc>
                <w:tcPr>
                  <w:tcW w:w="1377" w:type="dxa"/>
                  <w:vAlign w:val="center"/>
                </w:tcPr>
                <w:p w14:paraId="7E3C9D08">
                  <w:pPr>
                    <w:adjustRightInd w:val="0"/>
                    <w:snapToGrid w:val="0"/>
                    <w:jc w:val="center"/>
                    <w:rPr>
                      <w:color w:val="auto"/>
                      <w:szCs w:val="21"/>
                      <w:highlight w:val="none"/>
                    </w:rPr>
                  </w:pPr>
                  <w:r>
                    <w:rPr>
                      <w:color w:val="auto"/>
                      <w:szCs w:val="21"/>
                      <w:highlight w:val="none"/>
                    </w:rPr>
                    <w:t>夜间</w:t>
                  </w:r>
                </w:p>
              </w:tc>
              <w:tc>
                <w:tcPr>
                  <w:tcW w:w="1010" w:type="dxa"/>
                  <w:vAlign w:val="center"/>
                </w:tcPr>
                <w:p w14:paraId="2089E529">
                  <w:pPr>
                    <w:jc w:val="center"/>
                    <w:rPr>
                      <w:rFonts w:hint="default" w:eastAsia="宋体"/>
                      <w:color w:val="auto"/>
                      <w:szCs w:val="21"/>
                      <w:highlight w:val="none"/>
                      <w:lang w:val="en-US" w:eastAsia="zh-CN"/>
                    </w:rPr>
                  </w:pPr>
                  <w:r>
                    <w:rPr>
                      <w:rFonts w:hint="eastAsia"/>
                      <w:color w:val="auto"/>
                      <w:szCs w:val="21"/>
                      <w:highlight w:val="none"/>
                      <w:lang w:val="en-US" w:eastAsia="zh-CN"/>
                    </w:rPr>
                    <w:t>46</w:t>
                  </w:r>
                </w:p>
              </w:tc>
              <w:tc>
                <w:tcPr>
                  <w:tcW w:w="1012" w:type="dxa"/>
                  <w:vAlign w:val="center"/>
                </w:tcPr>
                <w:p w14:paraId="47FC6BCB">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50</w:t>
                  </w:r>
                </w:p>
              </w:tc>
              <w:tc>
                <w:tcPr>
                  <w:tcW w:w="1323" w:type="dxa"/>
                  <w:vAlign w:val="center"/>
                </w:tcPr>
                <w:p w14:paraId="0F187BF0">
                  <w:pPr>
                    <w:adjustRightInd w:val="0"/>
                    <w:snapToGrid w:val="0"/>
                    <w:jc w:val="center"/>
                    <w:rPr>
                      <w:color w:val="auto"/>
                      <w:szCs w:val="21"/>
                      <w:highlight w:val="none"/>
                    </w:rPr>
                  </w:pPr>
                  <w:r>
                    <w:rPr>
                      <w:color w:val="auto"/>
                      <w:szCs w:val="21"/>
                      <w:highlight w:val="none"/>
                    </w:rPr>
                    <w:t>达标</w:t>
                  </w:r>
                </w:p>
              </w:tc>
            </w:tr>
            <w:tr w14:paraId="0B16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7937" w:type="dxa"/>
                  <w:gridSpan w:val="6"/>
                  <w:vAlign w:val="center"/>
                </w:tcPr>
                <w:p w14:paraId="0829ECEC">
                  <w:pPr>
                    <w:adjustRightInd w:val="0"/>
                    <w:snapToGrid w:val="0"/>
                    <w:jc w:val="left"/>
                    <w:rPr>
                      <w:rFonts w:hint="default" w:eastAsia="宋体"/>
                      <w:color w:val="auto"/>
                      <w:szCs w:val="21"/>
                      <w:highlight w:val="none"/>
                      <w:lang w:val="en-US" w:eastAsia="zh-CN"/>
                    </w:rPr>
                  </w:pPr>
                  <w:r>
                    <w:rPr>
                      <w:rFonts w:hint="eastAsia"/>
                      <w:color w:val="auto"/>
                      <w:szCs w:val="21"/>
                      <w:highlight w:val="none"/>
                      <w:lang w:val="en-US" w:eastAsia="zh-CN"/>
                    </w:rPr>
                    <w:t>注：监测期间现有项目锅炉未运行。</w:t>
                  </w:r>
                </w:p>
              </w:tc>
            </w:tr>
          </w:tbl>
          <w:p w14:paraId="02E16765">
            <w:pPr>
              <w:adjustRightInd w:val="0"/>
              <w:snapToGrid w:val="0"/>
              <w:spacing w:line="360" w:lineRule="auto"/>
              <w:ind w:firstLine="480" w:firstLineChars="200"/>
              <w:jc w:val="left"/>
              <w:rPr>
                <w:color w:val="auto"/>
                <w:sz w:val="24"/>
                <w:highlight w:val="none"/>
              </w:rPr>
            </w:pPr>
            <w:r>
              <w:rPr>
                <w:rFonts w:hint="default" w:ascii="Times New Roman" w:hAnsi="Times New Roman" w:cs="Times New Roman"/>
                <w:color w:val="auto"/>
                <w:sz w:val="24"/>
                <w:highlight w:val="none"/>
              </w:rPr>
              <w:t>根据上表监测结果，</w:t>
            </w:r>
            <w:r>
              <w:rPr>
                <w:rFonts w:hint="eastAsia" w:ascii="Times New Roman" w:hAnsi="Times New Roman" w:cs="Times New Roman"/>
                <w:color w:val="auto"/>
                <w:sz w:val="24"/>
                <w:highlight w:val="none"/>
                <w:lang w:val="en-US" w:eastAsia="zh-CN"/>
              </w:rPr>
              <w:t>项目声环境敏感点处的噪声</w:t>
            </w:r>
            <w:r>
              <w:rPr>
                <w:rFonts w:hint="default" w:ascii="Times New Roman" w:hAnsi="Times New Roman" w:cs="Times New Roman"/>
                <w:color w:val="auto"/>
                <w:sz w:val="24"/>
                <w:highlight w:val="none"/>
              </w:rPr>
              <w:t>能满足《声环境质量标准》（GB3096</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2008）</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eastAsia="zh-CN"/>
              </w:rPr>
              <w:t>类</w:t>
            </w:r>
            <w:r>
              <w:rPr>
                <w:rFonts w:hint="eastAsia" w:ascii="Times New Roman" w:hAnsi="Times New Roman" w:cs="Times New Roman"/>
                <w:color w:val="auto"/>
                <w:sz w:val="24"/>
                <w:highlight w:val="none"/>
                <w:lang w:val="en-US" w:eastAsia="zh-CN"/>
              </w:rPr>
              <w:t>标准要求</w:t>
            </w:r>
            <w:r>
              <w:rPr>
                <w:rFonts w:hint="default" w:ascii="Times New Roman" w:hAnsi="Times New Roman" w:cs="Times New Roman"/>
                <w:color w:val="auto"/>
                <w:sz w:val="24"/>
                <w:highlight w:val="none"/>
                <w:lang w:eastAsia="zh-CN"/>
              </w:rPr>
              <w:t>，区域声环境较好</w:t>
            </w:r>
            <w:r>
              <w:rPr>
                <w:rFonts w:hint="default" w:ascii="Times New Roman" w:hAnsi="Times New Roman" w:cs="Times New Roman"/>
                <w:color w:val="auto"/>
                <w:sz w:val="24"/>
                <w:highlight w:val="none"/>
              </w:rPr>
              <w:t>。</w:t>
            </w:r>
          </w:p>
          <w:p w14:paraId="15541D68">
            <w:pPr>
              <w:widowControl/>
              <w:spacing w:line="360" w:lineRule="auto"/>
              <w:ind w:firstLine="482" w:firstLineChars="200"/>
              <w:jc w:val="left"/>
              <w:rPr>
                <w:b/>
                <w:color w:val="auto"/>
                <w:kern w:val="0"/>
                <w:sz w:val="24"/>
              </w:rPr>
            </w:pPr>
            <w:r>
              <w:rPr>
                <w:b/>
                <w:color w:val="auto"/>
                <w:kern w:val="0"/>
                <w:sz w:val="24"/>
              </w:rPr>
              <w:t>4、地下水、土壤</w:t>
            </w:r>
          </w:p>
          <w:p w14:paraId="0BAC3B1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根据《关于印发&lt;建设项目环境影响报告表&gt;内容、格式及编制技术指南的通知》（环办环评〔2020〕33号），原则上不开展土壤、地下水环境质量现状调查。项目区厂房地面均进行了硬化，根据指南及项目区建设情况，本次环评不再进行土壤、地下水环境质量现状调查。</w:t>
            </w:r>
          </w:p>
          <w:p w14:paraId="2E69A7C3">
            <w:pPr>
              <w:pStyle w:val="44"/>
              <w:spacing w:line="360" w:lineRule="auto"/>
              <w:ind w:firstLine="480"/>
              <w:rPr>
                <w:rFonts w:cs="Times New Roman"/>
                <w:b/>
                <w:bCs/>
                <w:color w:val="auto"/>
                <w:sz w:val="24"/>
                <w:szCs w:val="24"/>
              </w:rPr>
            </w:pPr>
            <w:r>
              <w:rPr>
                <w:rFonts w:cs="Times New Roman"/>
                <w:b/>
                <w:bCs/>
                <w:color w:val="auto"/>
                <w:sz w:val="24"/>
                <w:szCs w:val="24"/>
              </w:rPr>
              <w:t>5、生态环境现状</w:t>
            </w:r>
          </w:p>
          <w:p w14:paraId="7C212F69">
            <w:pPr>
              <w:spacing w:line="360" w:lineRule="auto"/>
              <w:ind w:firstLine="480" w:firstLineChars="200"/>
              <w:rPr>
                <w:color w:val="auto"/>
                <w:kern w:val="0"/>
                <w:szCs w:val="21"/>
              </w:rPr>
            </w:pPr>
            <w:r>
              <w:rPr>
                <w:rFonts w:hint="eastAsia"/>
                <w:color w:val="auto"/>
                <w:sz w:val="24"/>
                <w:szCs w:val="24"/>
                <w:highlight w:val="none"/>
                <w:u w:val="none"/>
                <w:lang w:val="en-US" w:eastAsia="zh-CN"/>
              </w:rPr>
              <w:t>本次技改项目在现有厂房内进行，不新增占地，</w:t>
            </w:r>
            <w:r>
              <w:rPr>
                <w:rFonts w:hint="eastAsia" w:ascii="Times New Roman" w:hAnsi="Times New Roman" w:eastAsia="宋体" w:cs="Times New Roman"/>
                <w:color w:val="auto"/>
                <w:sz w:val="24"/>
                <w:lang w:val="en-US" w:eastAsia="zh-CN"/>
              </w:rPr>
              <w:t>根据《建设项目环境影响报告表编制技术指南（污染影响类）（试行）》，可不开展生态现状调查。</w:t>
            </w:r>
          </w:p>
        </w:tc>
      </w:tr>
      <w:tr w14:paraId="4C1E5A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vAlign w:val="center"/>
          </w:tcPr>
          <w:p w14:paraId="11B9DE05">
            <w:pPr>
              <w:adjustRightInd w:val="0"/>
              <w:snapToGrid w:val="0"/>
              <w:jc w:val="center"/>
              <w:rPr>
                <w:color w:val="auto"/>
                <w:kern w:val="0"/>
                <w:sz w:val="24"/>
              </w:rPr>
            </w:pPr>
            <w:r>
              <w:rPr>
                <w:color w:val="auto"/>
                <w:kern w:val="0"/>
                <w:sz w:val="24"/>
              </w:rPr>
              <w:t>环境</w:t>
            </w:r>
          </w:p>
          <w:p w14:paraId="52AFAE55">
            <w:pPr>
              <w:adjustRightInd w:val="0"/>
              <w:snapToGrid w:val="0"/>
              <w:jc w:val="center"/>
              <w:rPr>
                <w:color w:val="auto"/>
                <w:kern w:val="0"/>
                <w:sz w:val="24"/>
              </w:rPr>
            </w:pPr>
            <w:r>
              <w:rPr>
                <w:color w:val="auto"/>
                <w:kern w:val="0"/>
                <w:sz w:val="24"/>
              </w:rPr>
              <w:t>保护</w:t>
            </w:r>
          </w:p>
          <w:p w14:paraId="0556FD9F">
            <w:pPr>
              <w:adjustRightInd w:val="0"/>
              <w:snapToGrid w:val="0"/>
              <w:jc w:val="center"/>
              <w:rPr>
                <w:color w:val="auto"/>
                <w:kern w:val="0"/>
                <w:sz w:val="24"/>
              </w:rPr>
            </w:pPr>
            <w:r>
              <w:rPr>
                <w:color w:val="auto"/>
                <w:kern w:val="0"/>
                <w:sz w:val="24"/>
              </w:rPr>
              <w:t>目标</w:t>
            </w:r>
          </w:p>
        </w:tc>
        <w:tc>
          <w:tcPr>
            <w:tcW w:w="8200" w:type="dxa"/>
            <w:vAlign w:val="center"/>
          </w:tcPr>
          <w:p w14:paraId="59E1BCE7">
            <w:pPr>
              <w:widowControl/>
              <w:spacing w:line="360" w:lineRule="auto"/>
              <w:ind w:firstLine="482" w:firstLineChars="200"/>
              <w:jc w:val="left"/>
              <w:rPr>
                <w:b/>
                <w:color w:val="auto"/>
                <w:kern w:val="0"/>
                <w:sz w:val="24"/>
                <w:szCs w:val="24"/>
              </w:rPr>
            </w:pPr>
            <w:r>
              <w:rPr>
                <w:rFonts w:hint="eastAsia"/>
                <w:b/>
                <w:color w:val="auto"/>
                <w:kern w:val="0"/>
                <w:sz w:val="24"/>
                <w:szCs w:val="24"/>
                <w:lang w:val="en-US" w:eastAsia="zh-CN"/>
              </w:rPr>
              <w:t>1、</w:t>
            </w:r>
            <w:r>
              <w:rPr>
                <w:b/>
                <w:color w:val="auto"/>
                <w:kern w:val="0"/>
                <w:sz w:val="24"/>
                <w:szCs w:val="24"/>
              </w:rPr>
              <w:t>大气环境</w:t>
            </w:r>
          </w:p>
          <w:p w14:paraId="1326B35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eastAsia="宋体"/>
                <w:color w:val="auto"/>
                <w:sz w:val="24"/>
                <w:lang w:val="en-US" w:eastAsia="zh-CN"/>
              </w:rPr>
            </w:pPr>
            <w:r>
              <w:rPr>
                <w:color w:val="auto"/>
                <w:sz w:val="24"/>
              </w:rPr>
              <w:t>根据现场调查，</w:t>
            </w:r>
            <w:r>
              <w:rPr>
                <w:rFonts w:hint="default" w:ascii="Times New Roman" w:hAnsi="Times New Roman" w:cs="Times New Roman"/>
                <w:color w:val="auto"/>
                <w:sz w:val="24"/>
              </w:rPr>
              <w:t>项目厂界外500m范围内</w:t>
            </w:r>
            <w:r>
              <w:rPr>
                <w:rFonts w:hint="eastAsia" w:cs="Times New Roman"/>
                <w:color w:val="auto"/>
                <w:sz w:val="24"/>
                <w:lang w:val="en-US" w:eastAsia="zh-CN"/>
              </w:rPr>
              <w:t>大气环境保护目标主要为</w:t>
            </w:r>
            <w:r>
              <w:rPr>
                <w:rFonts w:hint="eastAsia"/>
                <w:color w:val="auto"/>
                <w:sz w:val="24"/>
                <w:lang w:val="en-US" w:eastAsia="zh-CN"/>
              </w:rPr>
              <w:t>园区办公楼</w:t>
            </w:r>
            <w:r>
              <w:rPr>
                <w:rFonts w:hint="default" w:ascii="Times New Roman" w:hAnsi="Times New Roman" w:cs="Times New Roman"/>
                <w:color w:val="auto"/>
                <w:sz w:val="24"/>
                <w:lang w:val="en-US" w:eastAsia="zh-CN"/>
              </w:rPr>
              <w:t>，不涉及</w:t>
            </w:r>
            <w:r>
              <w:rPr>
                <w:rFonts w:hint="default" w:ascii="Times New Roman" w:hAnsi="Times New Roman" w:cs="Times New Roman"/>
                <w:color w:val="auto"/>
                <w:sz w:val="24"/>
              </w:rPr>
              <w:t>自然保护区、风景名胜区等</w:t>
            </w:r>
            <w:r>
              <w:rPr>
                <w:rFonts w:hint="default" w:ascii="Times New Roman" w:hAnsi="Times New Roman" w:cs="Times New Roman"/>
                <w:color w:val="auto"/>
                <w:sz w:val="24"/>
                <w:lang w:val="en-US" w:eastAsia="zh-CN"/>
              </w:rPr>
              <w:t>敏感区</w:t>
            </w:r>
            <w:r>
              <w:rPr>
                <w:rFonts w:hint="default" w:ascii="Times New Roman" w:hAnsi="Times New Roman" w:cs="Times New Roman"/>
                <w:color w:val="auto"/>
                <w:sz w:val="24"/>
              </w:rPr>
              <w:t>。</w:t>
            </w:r>
          </w:p>
          <w:p w14:paraId="4959D274">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b/>
                <w:color w:val="auto"/>
                <w:kern w:val="0"/>
                <w:sz w:val="24"/>
                <w:szCs w:val="24"/>
                <w:lang w:val="en-US" w:eastAsia="zh-CN"/>
              </w:rPr>
            </w:pPr>
            <w:r>
              <w:rPr>
                <w:rFonts w:hint="eastAsia"/>
                <w:b/>
                <w:color w:val="auto"/>
                <w:kern w:val="0"/>
                <w:sz w:val="24"/>
                <w:szCs w:val="24"/>
                <w:lang w:val="en-US" w:eastAsia="zh-CN"/>
              </w:rPr>
              <w:t>2、声环境</w:t>
            </w:r>
          </w:p>
          <w:p w14:paraId="3EE34F4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color w:val="auto"/>
                <w:sz w:val="24"/>
              </w:rPr>
            </w:pPr>
            <w:r>
              <w:rPr>
                <w:color w:val="auto"/>
                <w:sz w:val="24"/>
              </w:rPr>
              <w:t>根据现场调查，项目周围50m范围内声环境保护目标</w:t>
            </w:r>
            <w:r>
              <w:rPr>
                <w:rFonts w:hint="eastAsia"/>
                <w:color w:val="auto"/>
                <w:sz w:val="24"/>
                <w:lang w:val="en-US" w:eastAsia="zh-CN"/>
              </w:rPr>
              <w:t>主要为园区办公楼，</w:t>
            </w:r>
            <w:r>
              <w:rPr>
                <w:color w:val="auto"/>
                <w:sz w:val="24"/>
              </w:rPr>
              <w:t>。</w:t>
            </w:r>
          </w:p>
          <w:p w14:paraId="1016DA41">
            <w:pPr>
              <w:widowControl/>
              <w:spacing w:line="360" w:lineRule="auto"/>
              <w:ind w:firstLine="482" w:firstLineChars="200"/>
              <w:jc w:val="left"/>
              <w:rPr>
                <w:b/>
                <w:color w:val="auto"/>
                <w:kern w:val="0"/>
                <w:sz w:val="24"/>
              </w:rPr>
            </w:pPr>
            <w:r>
              <w:rPr>
                <w:b/>
                <w:color w:val="auto"/>
                <w:kern w:val="0"/>
                <w:sz w:val="24"/>
              </w:rPr>
              <w:t>3、地表水环境</w:t>
            </w:r>
          </w:p>
          <w:p w14:paraId="74272718">
            <w:pPr>
              <w:adjustRightInd w:val="0"/>
              <w:snapToGrid w:val="0"/>
              <w:spacing w:line="360" w:lineRule="auto"/>
              <w:ind w:firstLine="480" w:firstLineChars="200"/>
              <w:rPr>
                <w:rFonts w:hint="eastAsia"/>
                <w:b/>
                <w:bCs/>
                <w:color w:val="auto"/>
                <w:sz w:val="24"/>
                <w:szCs w:val="24"/>
                <w:lang w:val="en-US" w:eastAsia="zh-CN"/>
              </w:rPr>
            </w:pPr>
            <w:r>
              <w:rPr>
                <w:color w:val="auto"/>
                <w:sz w:val="24"/>
              </w:rPr>
              <w:t>根据现场调查，项目周边最近的地表水体为</w:t>
            </w:r>
            <w:r>
              <w:rPr>
                <w:rFonts w:hint="eastAsia"/>
                <w:color w:val="auto"/>
                <w:sz w:val="24"/>
                <w:lang w:val="en-US" w:eastAsia="zh-CN"/>
              </w:rPr>
              <w:t>项目区</w:t>
            </w:r>
            <w:r>
              <w:rPr>
                <w:rFonts w:hint="eastAsia"/>
                <w:color w:val="auto"/>
                <w:kern w:val="0"/>
                <w:sz w:val="24"/>
                <w:highlight w:val="none"/>
                <w:lang w:val="en-US" w:eastAsia="zh-CN"/>
              </w:rPr>
              <w:t>西南侧823m处</w:t>
            </w:r>
            <w:r>
              <w:rPr>
                <w:rFonts w:hint="eastAsia"/>
                <w:color w:val="auto"/>
                <w:kern w:val="0"/>
                <w:sz w:val="24"/>
                <w:lang w:val="en-US" w:eastAsia="zh-CN"/>
              </w:rPr>
              <w:t>的烂渣河及</w:t>
            </w:r>
            <w:r>
              <w:rPr>
                <w:rFonts w:hint="eastAsia"/>
                <w:color w:val="auto"/>
                <w:kern w:val="0"/>
                <w:sz w:val="24"/>
                <w:highlight w:val="none"/>
                <w:lang w:val="en-US" w:eastAsia="zh-CN"/>
              </w:rPr>
              <w:t>南侧1760</w:t>
            </w:r>
            <w:r>
              <w:rPr>
                <w:color w:val="auto"/>
                <w:kern w:val="0"/>
                <w:sz w:val="24"/>
                <w:highlight w:val="none"/>
              </w:rPr>
              <w:t>m</w:t>
            </w:r>
            <w:r>
              <w:rPr>
                <w:rFonts w:hint="eastAsia"/>
                <w:color w:val="auto"/>
                <w:kern w:val="0"/>
                <w:sz w:val="24"/>
                <w:highlight w:val="none"/>
                <w:lang w:val="en-US" w:eastAsia="zh-CN"/>
              </w:rPr>
              <w:t>处的</w:t>
            </w:r>
            <w:r>
              <w:rPr>
                <w:color w:val="auto"/>
                <w:sz w:val="24"/>
                <w:highlight w:val="none"/>
              </w:rPr>
              <w:t>甘</w:t>
            </w:r>
            <w:r>
              <w:rPr>
                <w:color w:val="auto"/>
                <w:sz w:val="24"/>
              </w:rPr>
              <w:t>庄河。</w:t>
            </w:r>
          </w:p>
          <w:p w14:paraId="5FAB999E">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b/>
                <w:bCs/>
                <w:color w:val="auto"/>
                <w:sz w:val="24"/>
                <w:szCs w:val="24"/>
                <w:lang w:val="en-US" w:eastAsia="zh-CN"/>
              </w:rPr>
            </w:pPr>
            <w:r>
              <w:rPr>
                <w:rFonts w:hint="eastAsia"/>
                <w:b/>
                <w:bCs/>
                <w:color w:val="auto"/>
                <w:sz w:val="24"/>
                <w:szCs w:val="24"/>
                <w:lang w:val="en-US" w:eastAsia="zh-CN"/>
              </w:rPr>
              <w:t>4、地下水环境</w:t>
            </w:r>
          </w:p>
          <w:p w14:paraId="241A0C6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color w:val="auto"/>
                <w:sz w:val="24"/>
                <w:szCs w:val="24"/>
              </w:rPr>
            </w:pPr>
            <w:r>
              <w:rPr>
                <w:color w:val="auto"/>
                <w:sz w:val="24"/>
              </w:rPr>
              <w:t>根据现场调查，</w:t>
            </w:r>
            <w:r>
              <w:rPr>
                <w:color w:val="auto"/>
                <w:sz w:val="24"/>
                <w:szCs w:val="24"/>
              </w:rPr>
              <w:t>厂界外500m范围内无地下水集中式饮用水水源和热水、矿泉水、温泉等特殊地下水资源。</w:t>
            </w:r>
          </w:p>
          <w:p w14:paraId="5B9318D4">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b/>
                <w:bCs/>
                <w:color w:val="auto"/>
                <w:sz w:val="24"/>
                <w:szCs w:val="24"/>
                <w:lang w:val="en-US" w:eastAsia="zh-CN"/>
              </w:rPr>
            </w:pPr>
            <w:r>
              <w:rPr>
                <w:rFonts w:hint="eastAsia"/>
                <w:b/>
                <w:bCs/>
                <w:color w:val="auto"/>
                <w:sz w:val="24"/>
                <w:szCs w:val="24"/>
                <w:lang w:val="en-US" w:eastAsia="zh-CN"/>
              </w:rPr>
              <w:t>5、生态环境</w:t>
            </w:r>
          </w:p>
          <w:p w14:paraId="557C52D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color w:val="auto"/>
                <w:sz w:val="24"/>
                <w:szCs w:val="24"/>
              </w:rPr>
            </w:pPr>
            <w:r>
              <w:rPr>
                <w:rFonts w:hint="eastAsia"/>
                <w:color w:val="auto"/>
                <w:sz w:val="24"/>
                <w:szCs w:val="24"/>
              </w:rPr>
              <w:t>项目在</w:t>
            </w:r>
            <w:r>
              <w:rPr>
                <w:rFonts w:hint="eastAsia"/>
                <w:color w:val="auto"/>
                <w:sz w:val="24"/>
                <w:szCs w:val="24"/>
                <w:lang w:val="en-US" w:eastAsia="zh-CN"/>
              </w:rPr>
              <w:t>工业园区</w:t>
            </w:r>
            <w:r>
              <w:rPr>
                <w:rFonts w:hint="eastAsia"/>
                <w:color w:val="auto"/>
                <w:sz w:val="24"/>
                <w:szCs w:val="24"/>
              </w:rPr>
              <w:t>内进行建设，根据《建设项目环境影响报告表编制技术指南（污染影响类）（试行）》，可不进行生态现状调查</w:t>
            </w:r>
            <w:r>
              <w:rPr>
                <w:rFonts w:hint="eastAsia"/>
                <w:color w:val="auto"/>
                <w:sz w:val="24"/>
                <w:szCs w:val="24"/>
                <w:lang w:eastAsia="zh-CN"/>
              </w:rPr>
              <w:t>，</w:t>
            </w:r>
            <w:r>
              <w:rPr>
                <w:rFonts w:hint="eastAsia"/>
                <w:color w:val="auto"/>
                <w:sz w:val="24"/>
                <w:szCs w:val="24"/>
                <w:lang w:val="en-US" w:eastAsia="zh-CN"/>
              </w:rPr>
              <w:t>无生态环境保护目标</w:t>
            </w:r>
            <w:r>
              <w:rPr>
                <w:rFonts w:hint="eastAsia"/>
                <w:color w:val="auto"/>
                <w:sz w:val="24"/>
                <w:szCs w:val="24"/>
              </w:rPr>
              <w:t>。</w:t>
            </w:r>
          </w:p>
          <w:p w14:paraId="3080F8B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color w:val="auto"/>
                <w:sz w:val="24"/>
                <w:szCs w:val="24"/>
                <w:lang w:val="en-US" w:eastAsia="zh-CN"/>
              </w:rPr>
            </w:pPr>
            <w:r>
              <w:rPr>
                <w:rFonts w:hint="eastAsia"/>
                <w:color w:val="auto"/>
                <w:sz w:val="24"/>
                <w:szCs w:val="24"/>
                <w:lang w:val="en-US" w:eastAsia="zh-CN"/>
              </w:rPr>
              <w:t>本项目主要保护目标如下表所示。</w:t>
            </w:r>
          </w:p>
          <w:p w14:paraId="091857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5</w:t>
            </w:r>
            <w:r>
              <w:rPr>
                <w:rFonts w:hint="default" w:ascii="Times New Roman" w:hAnsi="Times New Roman" w:cs="Times New Roman"/>
                <w:b/>
                <w:bCs/>
                <w:color w:val="auto"/>
                <w:sz w:val="21"/>
                <w:szCs w:val="21"/>
                <w:lang w:val="en-US" w:eastAsia="zh-CN"/>
              </w:rPr>
              <w:t xml:space="preserve">  项目周边主要环境保护目标</w:t>
            </w:r>
          </w:p>
          <w:tbl>
            <w:tblPr>
              <w:tblStyle w:val="23"/>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725"/>
              <w:gridCol w:w="1313"/>
              <w:gridCol w:w="1177"/>
              <w:gridCol w:w="810"/>
              <w:gridCol w:w="688"/>
              <w:gridCol w:w="1056"/>
              <w:gridCol w:w="1417"/>
            </w:tblGrid>
            <w:tr w14:paraId="5895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vMerge w:val="restart"/>
                  <w:vAlign w:val="center"/>
                </w:tcPr>
                <w:p w14:paraId="335103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类别</w:t>
                  </w:r>
                </w:p>
              </w:tc>
              <w:tc>
                <w:tcPr>
                  <w:tcW w:w="725" w:type="dxa"/>
                  <w:vMerge w:val="restart"/>
                  <w:vAlign w:val="center"/>
                </w:tcPr>
                <w:p w14:paraId="0B047E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保护对象</w:t>
                  </w:r>
                </w:p>
              </w:tc>
              <w:tc>
                <w:tcPr>
                  <w:tcW w:w="2490" w:type="dxa"/>
                  <w:gridSpan w:val="2"/>
                  <w:vAlign w:val="center"/>
                </w:tcPr>
                <w:p w14:paraId="03AF8E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经纬度坐标</w:t>
                  </w:r>
                </w:p>
              </w:tc>
              <w:tc>
                <w:tcPr>
                  <w:tcW w:w="810" w:type="dxa"/>
                  <w:vMerge w:val="restart"/>
                  <w:vAlign w:val="center"/>
                </w:tcPr>
                <w:p w14:paraId="685C12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规模</w:t>
                  </w:r>
                  <w:r>
                    <w:rPr>
                      <w:rFonts w:hint="eastAsia" w:ascii="Times New Roman" w:hAnsi="Times New Roman" w:cs="Times New Roman"/>
                      <w:b/>
                      <w:bCs/>
                      <w:color w:val="auto"/>
                      <w:sz w:val="21"/>
                      <w:szCs w:val="21"/>
                      <w:vertAlign w:val="baseline"/>
                      <w:lang w:val="en-US" w:eastAsia="zh-CN"/>
                    </w:rPr>
                    <w:t>（人）</w:t>
                  </w:r>
                </w:p>
              </w:tc>
              <w:tc>
                <w:tcPr>
                  <w:tcW w:w="1744" w:type="dxa"/>
                  <w:gridSpan w:val="2"/>
                  <w:vAlign w:val="center"/>
                </w:tcPr>
                <w:p w14:paraId="23855B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相对位置</w:t>
                  </w:r>
                </w:p>
              </w:tc>
              <w:tc>
                <w:tcPr>
                  <w:tcW w:w="1417" w:type="dxa"/>
                  <w:vMerge w:val="restart"/>
                  <w:vAlign w:val="center"/>
                </w:tcPr>
                <w:p w14:paraId="7E4C78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环境功能</w:t>
                  </w:r>
                </w:p>
              </w:tc>
            </w:tr>
            <w:tr w14:paraId="73A8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vMerge w:val="continue"/>
                  <w:vAlign w:val="center"/>
                </w:tcPr>
                <w:p w14:paraId="74004A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vertAlign w:val="baseline"/>
                    </w:rPr>
                  </w:pPr>
                </w:p>
              </w:tc>
              <w:tc>
                <w:tcPr>
                  <w:tcW w:w="725" w:type="dxa"/>
                  <w:vMerge w:val="continue"/>
                  <w:vAlign w:val="center"/>
                </w:tcPr>
                <w:p w14:paraId="00532C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vertAlign w:val="baseline"/>
                    </w:rPr>
                  </w:pPr>
                </w:p>
              </w:tc>
              <w:tc>
                <w:tcPr>
                  <w:tcW w:w="1313" w:type="dxa"/>
                  <w:vAlign w:val="center"/>
                </w:tcPr>
                <w:p w14:paraId="46C296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经度</w:t>
                  </w:r>
                </w:p>
              </w:tc>
              <w:tc>
                <w:tcPr>
                  <w:tcW w:w="1177" w:type="dxa"/>
                  <w:vAlign w:val="center"/>
                </w:tcPr>
                <w:p w14:paraId="7FF85E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纬度</w:t>
                  </w:r>
                </w:p>
              </w:tc>
              <w:tc>
                <w:tcPr>
                  <w:tcW w:w="810" w:type="dxa"/>
                  <w:vMerge w:val="continue"/>
                  <w:vAlign w:val="center"/>
                </w:tcPr>
                <w:p w14:paraId="415340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vertAlign w:val="baseline"/>
                    </w:rPr>
                  </w:pPr>
                </w:p>
              </w:tc>
              <w:tc>
                <w:tcPr>
                  <w:tcW w:w="688" w:type="dxa"/>
                  <w:vAlign w:val="center"/>
                </w:tcPr>
                <w:p w14:paraId="0FEF58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方位</w:t>
                  </w:r>
                </w:p>
              </w:tc>
              <w:tc>
                <w:tcPr>
                  <w:tcW w:w="1056" w:type="dxa"/>
                  <w:vAlign w:val="center"/>
                </w:tcPr>
                <w:p w14:paraId="7C76D1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距离（m）</w:t>
                  </w:r>
                </w:p>
              </w:tc>
              <w:tc>
                <w:tcPr>
                  <w:tcW w:w="1417" w:type="dxa"/>
                  <w:vMerge w:val="continue"/>
                  <w:vAlign w:val="center"/>
                </w:tcPr>
                <w:p w14:paraId="217B20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rPr>
                  </w:pPr>
                </w:p>
              </w:tc>
            </w:tr>
            <w:tr w14:paraId="2E25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vAlign w:val="center"/>
                </w:tcPr>
                <w:p w14:paraId="58FA45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环境空气</w:t>
                  </w:r>
                </w:p>
              </w:tc>
              <w:tc>
                <w:tcPr>
                  <w:tcW w:w="725" w:type="dxa"/>
                  <w:vAlign w:val="center"/>
                </w:tcPr>
                <w:p w14:paraId="2472C7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园区办公楼</w:t>
                  </w:r>
                </w:p>
              </w:tc>
              <w:tc>
                <w:tcPr>
                  <w:tcW w:w="1313" w:type="dxa"/>
                  <w:vAlign w:val="center"/>
                </w:tcPr>
                <w:p w14:paraId="7BB24E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cs="Times New Roman"/>
                      <w:color w:val="auto"/>
                      <w:lang w:val="en-US" w:eastAsia="zh-CN"/>
                    </w:rPr>
                    <w:t>101°57′46.01″</w:t>
                  </w:r>
                </w:p>
              </w:tc>
              <w:tc>
                <w:tcPr>
                  <w:tcW w:w="1177" w:type="dxa"/>
                  <w:vAlign w:val="center"/>
                </w:tcPr>
                <w:p w14:paraId="5E9028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cs="Times New Roman"/>
                      <w:color w:val="auto"/>
                      <w:lang w:val="en-US" w:eastAsia="zh-CN"/>
                    </w:rPr>
                    <w:t>23°41′26.31″</w:t>
                  </w:r>
                </w:p>
              </w:tc>
              <w:tc>
                <w:tcPr>
                  <w:tcW w:w="810" w:type="dxa"/>
                  <w:vAlign w:val="center"/>
                </w:tcPr>
                <w:p w14:paraId="5057BE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约</w:t>
                  </w:r>
                  <w:r>
                    <w:rPr>
                      <w:rFonts w:hint="default" w:ascii="Times New Roman" w:hAnsi="Times New Roman" w:cs="Times New Roman"/>
                      <w:b w:val="0"/>
                      <w:bCs w:val="0"/>
                      <w:color w:val="auto"/>
                      <w:sz w:val="21"/>
                      <w:szCs w:val="21"/>
                      <w:vertAlign w:val="baseline"/>
                      <w:lang w:val="en-US" w:eastAsia="zh-CN"/>
                    </w:rPr>
                    <w:t>200人</w:t>
                  </w:r>
                </w:p>
              </w:tc>
              <w:tc>
                <w:tcPr>
                  <w:tcW w:w="688" w:type="dxa"/>
                  <w:vAlign w:val="center"/>
                </w:tcPr>
                <w:p w14:paraId="6C9789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东北</w:t>
                  </w:r>
                  <w:r>
                    <w:rPr>
                      <w:rFonts w:hint="default" w:ascii="Times New Roman" w:hAnsi="Times New Roman" w:cs="Times New Roman"/>
                      <w:b w:val="0"/>
                      <w:bCs w:val="0"/>
                      <w:color w:val="auto"/>
                      <w:sz w:val="21"/>
                      <w:szCs w:val="21"/>
                      <w:vertAlign w:val="baseline"/>
                      <w:lang w:val="en-US" w:eastAsia="zh-CN"/>
                    </w:rPr>
                    <w:t>侧</w:t>
                  </w:r>
                </w:p>
              </w:tc>
              <w:tc>
                <w:tcPr>
                  <w:tcW w:w="1056" w:type="dxa"/>
                  <w:vAlign w:val="center"/>
                </w:tcPr>
                <w:p w14:paraId="4B4C22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与生产车间直线距离约</w:t>
                  </w:r>
                  <w:r>
                    <w:rPr>
                      <w:rFonts w:hint="eastAsia" w:ascii="Times New Roman" w:hAnsi="Times New Roman" w:cs="Times New Roman"/>
                      <w:b w:val="0"/>
                      <w:bCs w:val="0"/>
                      <w:color w:val="auto"/>
                      <w:sz w:val="21"/>
                      <w:szCs w:val="21"/>
                      <w:vertAlign w:val="baseline"/>
                      <w:lang w:val="en-US" w:eastAsia="zh-CN"/>
                    </w:rPr>
                    <w:t>45</w:t>
                  </w:r>
                  <w:r>
                    <w:rPr>
                      <w:rFonts w:hint="eastAsia" w:cs="Times New Roman"/>
                      <w:b w:val="0"/>
                      <w:bCs w:val="0"/>
                      <w:color w:val="auto"/>
                      <w:sz w:val="21"/>
                      <w:szCs w:val="21"/>
                      <w:vertAlign w:val="baseline"/>
                      <w:lang w:val="en-US" w:eastAsia="zh-CN"/>
                    </w:rPr>
                    <w:t>，与锅炉房直线距离约193</w:t>
                  </w:r>
                </w:p>
              </w:tc>
              <w:tc>
                <w:tcPr>
                  <w:tcW w:w="1417" w:type="dxa"/>
                  <w:vAlign w:val="center"/>
                </w:tcPr>
                <w:p w14:paraId="63AF0C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color w:val="auto"/>
                      <w:sz w:val="21"/>
                      <w:szCs w:val="21"/>
                    </w:rPr>
                    <w:t>《环境空气质量标准》（GB3095-2012）及其修改单中的二级标准</w:t>
                  </w:r>
                </w:p>
              </w:tc>
            </w:tr>
            <w:tr w14:paraId="1A35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vAlign w:val="center"/>
                </w:tcPr>
                <w:p w14:paraId="363929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声环境</w:t>
                  </w:r>
                </w:p>
              </w:tc>
              <w:tc>
                <w:tcPr>
                  <w:tcW w:w="725" w:type="dxa"/>
                  <w:vAlign w:val="center"/>
                </w:tcPr>
                <w:p w14:paraId="07B05B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rPr>
                  </w:pPr>
                  <w:r>
                    <w:rPr>
                      <w:rFonts w:hint="eastAsia" w:ascii="Times New Roman" w:hAnsi="Times New Roman" w:cs="Times New Roman"/>
                      <w:b w:val="0"/>
                      <w:bCs w:val="0"/>
                      <w:color w:val="auto"/>
                      <w:sz w:val="21"/>
                      <w:szCs w:val="21"/>
                      <w:vertAlign w:val="baseline"/>
                      <w:lang w:val="en-US" w:eastAsia="zh-CN"/>
                    </w:rPr>
                    <w:t>园区办公楼</w:t>
                  </w:r>
                </w:p>
              </w:tc>
              <w:tc>
                <w:tcPr>
                  <w:tcW w:w="1313" w:type="dxa"/>
                  <w:vAlign w:val="center"/>
                </w:tcPr>
                <w:p w14:paraId="562ACF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lang w:val="en-US" w:eastAsia="zh-CN"/>
                    </w:rPr>
                    <w:t>101°57′46.01″</w:t>
                  </w:r>
                </w:p>
              </w:tc>
              <w:tc>
                <w:tcPr>
                  <w:tcW w:w="1177" w:type="dxa"/>
                  <w:vAlign w:val="center"/>
                </w:tcPr>
                <w:p w14:paraId="70926F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lang w:val="en-US" w:eastAsia="zh-CN"/>
                    </w:rPr>
                    <w:t>23°41′26.31″</w:t>
                  </w:r>
                </w:p>
              </w:tc>
              <w:tc>
                <w:tcPr>
                  <w:tcW w:w="810" w:type="dxa"/>
                  <w:vAlign w:val="center"/>
                </w:tcPr>
                <w:p w14:paraId="5896B3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eastAsia" w:cs="Times New Roman"/>
                      <w:b w:val="0"/>
                      <w:bCs w:val="0"/>
                      <w:color w:val="auto"/>
                      <w:sz w:val="21"/>
                      <w:szCs w:val="21"/>
                      <w:vertAlign w:val="baseline"/>
                      <w:lang w:val="en-US" w:eastAsia="zh-CN"/>
                    </w:rPr>
                    <w:t>约</w:t>
                  </w:r>
                  <w:r>
                    <w:rPr>
                      <w:rFonts w:hint="default" w:ascii="Times New Roman" w:hAnsi="Times New Roman" w:cs="Times New Roman"/>
                      <w:b w:val="0"/>
                      <w:bCs w:val="0"/>
                      <w:color w:val="auto"/>
                      <w:sz w:val="21"/>
                      <w:szCs w:val="21"/>
                      <w:vertAlign w:val="baseline"/>
                      <w:lang w:val="en-US" w:eastAsia="zh-CN"/>
                    </w:rPr>
                    <w:t>200人</w:t>
                  </w:r>
                </w:p>
              </w:tc>
              <w:tc>
                <w:tcPr>
                  <w:tcW w:w="688" w:type="dxa"/>
                  <w:vAlign w:val="center"/>
                </w:tcPr>
                <w:p w14:paraId="13EF83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eastAsia" w:cs="Times New Roman"/>
                      <w:b w:val="0"/>
                      <w:bCs w:val="0"/>
                      <w:color w:val="auto"/>
                      <w:sz w:val="21"/>
                      <w:szCs w:val="21"/>
                      <w:vertAlign w:val="baseline"/>
                      <w:lang w:val="en-US" w:eastAsia="zh-CN"/>
                    </w:rPr>
                    <w:t>东北</w:t>
                  </w:r>
                  <w:r>
                    <w:rPr>
                      <w:rFonts w:hint="default" w:ascii="Times New Roman" w:hAnsi="Times New Roman" w:cs="Times New Roman"/>
                      <w:b w:val="0"/>
                      <w:bCs w:val="0"/>
                      <w:color w:val="auto"/>
                      <w:sz w:val="21"/>
                      <w:szCs w:val="21"/>
                      <w:vertAlign w:val="baseline"/>
                      <w:lang w:val="en-US" w:eastAsia="zh-CN"/>
                    </w:rPr>
                    <w:t>侧</w:t>
                  </w:r>
                </w:p>
              </w:tc>
              <w:tc>
                <w:tcPr>
                  <w:tcW w:w="1056" w:type="dxa"/>
                  <w:vAlign w:val="center"/>
                </w:tcPr>
                <w:p w14:paraId="79AFA6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eastAsia" w:cs="Times New Roman"/>
                      <w:b w:val="0"/>
                      <w:bCs w:val="0"/>
                      <w:color w:val="auto"/>
                      <w:sz w:val="21"/>
                      <w:szCs w:val="21"/>
                      <w:vertAlign w:val="baseline"/>
                      <w:lang w:val="en-US" w:eastAsia="zh-CN"/>
                    </w:rPr>
                    <w:t>与生产车间直线距离约</w:t>
                  </w:r>
                  <w:r>
                    <w:rPr>
                      <w:rFonts w:hint="eastAsia" w:ascii="Times New Roman" w:hAnsi="Times New Roman" w:cs="Times New Roman"/>
                      <w:b w:val="0"/>
                      <w:bCs w:val="0"/>
                      <w:color w:val="auto"/>
                      <w:sz w:val="21"/>
                      <w:szCs w:val="21"/>
                      <w:vertAlign w:val="baseline"/>
                      <w:lang w:val="en-US" w:eastAsia="zh-CN"/>
                    </w:rPr>
                    <w:t>45</w:t>
                  </w:r>
                  <w:r>
                    <w:rPr>
                      <w:rFonts w:hint="eastAsia" w:cs="Times New Roman"/>
                      <w:b w:val="0"/>
                      <w:bCs w:val="0"/>
                      <w:color w:val="auto"/>
                      <w:sz w:val="21"/>
                      <w:szCs w:val="21"/>
                      <w:vertAlign w:val="baseline"/>
                      <w:lang w:val="en-US" w:eastAsia="zh-CN"/>
                    </w:rPr>
                    <w:t>，与锅炉房直线距离约193</w:t>
                  </w:r>
                </w:p>
              </w:tc>
              <w:tc>
                <w:tcPr>
                  <w:tcW w:w="1417" w:type="dxa"/>
                  <w:vAlign w:val="center"/>
                </w:tcPr>
                <w:p w14:paraId="4D0B85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color w:val="auto"/>
                      <w:sz w:val="21"/>
                      <w:szCs w:val="21"/>
                    </w:rPr>
                    <w:t>《声环境质量标准》（GB3096-2008）中的</w:t>
                  </w:r>
                  <w:r>
                    <w:rPr>
                      <w:rFonts w:hint="eastAsia"/>
                      <w:color w:val="auto"/>
                      <w:sz w:val="21"/>
                      <w:szCs w:val="21"/>
                      <w:lang w:val="en-US" w:eastAsia="zh-CN"/>
                    </w:rPr>
                    <w:t>2</w:t>
                  </w:r>
                  <w:r>
                    <w:rPr>
                      <w:color w:val="auto"/>
                      <w:sz w:val="21"/>
                      <w:szCs w:val="21"/>
                    </w:rPr>
                    <w:t>类标准</w:t>
                  </w:r>
                </w:p>
              </w:tc>
            </w:tr>
            <w:tr w14:paraId="2828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vMerge w:val="restart"/>
                  <w:vAlign w:val="center"/>
                </w:tcPr>
                <w:p w14:paraId="644002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地表水环境</w:t>
                  </w:r>
                </w:p>
              </w:tc>
              <w:tc>
                <w:tcPr>
                  <w:tcW w:w="725" w:type="dxa"/>
                  <w:vAlign w:val="center"/>
                </w:tcPr>
                <w:p w14:paraId="0E6782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kern w:val="0"/>
                      <w:sz w:val="21"/>
                      <w:szCs w:val="21"/>
                      <w:lang w:val="en-US" w:eastAsia="zh-CN"/>
                    </w:rPr>
                    <w:t>烂渣河</w:t>
                  </w:r>
                </w:p>
              </w:tc>
              <w:tc>
                <w:tcPr>
                  <w:tcW w:w="2490" w:type="dxa"/>
                  <w:gridSpan w:val="2"/>
                  <w:vAlign w:val="center"/>
                </w:tcPr>
                <w:p w14:paraId="365FED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810" w:type="dxa"/>
                  <w:vAlign w:val="center"/>
                </w:tcPr>
                <w:p w14:paraId="57A794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河流</w:t>
                  </w:r>
                </w:p>
              </w:tc>
              <w:tc>
                <w:tcPr>
                  <w:tcW w:w="688" w:type="dxa"/>
                  <w:vAlign w:val="center"/>
                </w:tcPr>
                <w:p w14:paraId="7EBA26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olor w:val="auto"/>
                      <w:kern w:val="0"/>
                      <w:sz w:val="21"/>
                      <w:szCs w:val="21"/>
                      <w:highlight w:val="none"/>
                      <w:lang w:val="en-US" w:eastAsia="zh-CN"/>
                    </w:rPr>
                    <w:t>西南侧</w:t>
                  </w:r>
                </w:p>
              </w:tc>
              <w:tc>
                <w:tcPr>
                  <w:tcW w:w="1056" w:type="dxa"/>
                  <w:vAlign w:val="center"/>
                </w:tcPr>
                <w:p w14:paraId="6EDFC0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olor w:val="auto"/>
                      <w:kern w:val="0"/>
                      <w:sz w:val="21"/>
                      <w:szCs w:val="21"/>
                      <w:highlight w:val="none"/>
                      <w:lang w:val="en-US" w:eastAsia="zh-CN"/>
                    </w:rPr>
                    <w:t>823</w:t>
                  </w:r>
                </w:p>
              </w:tc>
              <w:tc>
                <w:tcPr>
                  <w:tcW w:w="1417" w:type="dxa"/>
                  <w:vMerge w:val="restart"/>
                  <w:vAlign w:val="center"/>
                </w:tcPr>
                <w:p w14:paraId="2054CC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《地表水环境质量标准》（GB3838-2002 ）III 类标准</w:t>
                  </w:r>
                </w:p>
              </w:tc>
            </w:tr>
            <w:tr w14:paraId="056D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vMerge w:val="continue"/>
                  <w:vAlign w:val="center"/>
                </w:tcPr>
                <w:p w14:paraId="571DE2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25" w:type="dxa"/>
                  <w:vAlign w:val="center"/>
                </w:tcPr>
                <w:p w14:paraId="03C849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lang w:val="en-US" w:eastAsia="zh-CN"/>
                    </w:rPr>
                  </w:pPr>
                  <w:r>
                    <w:rPr>
                      <w:color w:val="auto"/>
                      <w:sz w:val="21"/>
                      <w:szCs w:val="21"/>
                    </w:rPr>
                    <w:t>甘庄河</w:t>
                  </w:r>
                </w:p>
              </w:tc>
              <w:tc>
                <w:tcPr>
                  <w:tcW w:w="2490" w:type="dxa"/>
                  <w:gridSpan w:val="2"/>
                  <w:vAlign w:val="center"/>
                </w:tcPr>
                <w:p w14:paraId="472C16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810" w:type="dxa"/>
                  <w:vAlign w:val="center"/>
                </w:tcPr>
                <w:p w14:paraId="0627BD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河流</w:t>
                  </w:r>
                </w:p>
              </w:tc>
              <w:tc>
                <w:tcPr>
                  <w:tcW w:w="688" w:type="dxa"/>
                  <w:vAlign w:val="center"/>
                </w:tcPr>
                <w:p w14:paraId="349638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highlight w:val="none"/>
                      <w:lang w:val="en-US" w:eastAsia="zh-CN"/>
                    </w:rPr>
                  </w:pPr>
                  <w:r>
                    <w:rPr>
                      <w:rFonts w:hint="eastAsia"/>
                      <w:color w:val="auto"/>
                      <w:kern w:val="0"/>
                      <w:sz w:val="21"/>
                      <w:szCs w:val="21"/>
                      <w:highlight w:val="none"/>
                      <w:lang w:val="en-US" w:eastAsia="zh-CN"/>
                    </w:rPr>
                    <w:t>南侧</w:t>
                  </w:r>
                </w:p>
              </w:tc>
              <w:tc>
                <w:tcPr>
                  <w:tcW w:w="1056" w:type="dxa"/>
                  <w:vAlign w:val="center"/>
                </w:tcPr>
                <w:p w14:paraId="459A1F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1760</w:t>
                  </w:r>
                </w:p>
              </w:tc>
              <w:tc>
                <w:tcPr>
                  <w:tcW w:w="1417" w:type="dxa"/>
                  <w:vMerge w:val="continue"/>
                  <w:vAlign w:val="center"/>
                </w:tcPr>
                <w:p w14:paraId="27F0C1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p>
              </w:tc>
            </w:tr>
            <w:tr w14:paraId="44C8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vAlign w:val="center"/>
                </w:tcPr>
                <w:p w14:paraId="7E6ED1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地下水环境</w:t>
                  </w:r>
                </w:p>
              </w:tc>
              <w:tc>
                <w:tcPr>
                  <w:tcW w:w="7186" w:type="dxa"/>
                  <w:gridSpan w:val="7"/>
                  <w:vAlign w:val="center"/>
                </w:tcPr>
                <w:p w14:paraId="245855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厂界外500m范围内</w:t>
                  </w:r>
                  <w:r>
                    <w:rPr>
                      <w:rFonts w:hint="default" w:ascii="Times New Roman" w:hAnsi="Times New Roman" w:cs="Times New Roman"/>
                      <w:color w:val="auto"/>
                      <w:sz w:val="21"/>
                      <w:szCs w:val="21"/>
                      <w:lang w:val="en-US" w:eastAsia="zh-CN"/>
                    </w:rPr>
                    <w:t>无地下水环境保护目标</w:t>
                  </w:r>
                </w:p>
              </w:tc>
            </w:tr>
            <w:tr w14:paraId="7227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vAlign w:val="center"/>
                </w:tcPr>
                <w:p w14:paraId="491B51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生态环境</w:t>
                  </w:r>
                </w:p>
              </w:tc>
              <w:tc>
                <w:tcPr>
                  <w:tcW w:w="7186" w:type="dxa"/>
                  <w:gridSpan w:val="7"/>
                  <w:vAlign w:val="center"/>
                </w:tcPr>
                <w:p w14:paraId="299C8B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不涉及生态环境保护目标</w:t>
                  </w:r>
                </w:p>
              </w:tc>
            </w:tr>
          </w:tbl>
          <w:p w14:paraId="25CA95E6">
            <w:pPr>
              <w:adjustRightInd w:val="0"/>
              <w:snapToGrid w:val="0"/>
              <w:spacing w:line="360" w:lineRule="auto"/>
              <w:ind w:firstLine="480" w:firstLineChars="200"/>
              <w:rPr>
                <w:color w:val="auto"/>
                <w:sz w:val="24"/>
                <w:szCs w:val="24"/>
              </w:rPr>
            </w:pPr>
          </w:p>
          <w:p w14:paraId="046CFBA1">
            <w:pPr>
              <w:adjustRightInd w:val="0"/>
              <w:snapToGrid w:val="0"/>
              <w:spacing w:line="360" w:lineRule="auto"/>
              <w:rPr>
                <w:color w:val="auto"/>
                <w:sz w:val="24"/>
                <w:szCs w:val="24"/>
              </w:rPr>
            </w:pPr>
          </w:p>
        </w:tc>
      </w:tr>
      <w:tr w14:paraId="4E82CF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tcMar>
              <w:left w:w="28" w:type="dxa"/>
              <w:right w:w="28" w:type="dxa"/>
            </w:tcMar>
            <w:vAlign w:val="center"/>
          </w:tcPr>
          <w:p w14:paraId="71846A13">
            <w:pPr>
              <w:adjustRightInd w:val="0"/>
              <w:snapToGrid w:val="0"/>
              <w:jc w:val="center"/>
              <w:rPr>
                <w:color w:val="auto"/>
                <w:kern w:val="0"/>
                <w:sz w:val="24"/>
              </w:rPr>
            </w:pPr>
            <w:r>
              <w:rPr>
                <w:color w:val="auto"/>
                <w:kern w:val="0"/>
                <w:sz w:val="24"/>
              </w:rPr>
              <w:t>污染</w:t>
            </w:r>
          </w:p>
          <w:p w14:paraId="00130255">
            <w:pPr>
              <w:adjustRightInd w:val="0"/>
              <w:snapToGrid w:val="0"/>
              <w:jc w:val="center"/>
              <w:rPr>
                <w:color w:val="auto"/>
                <w:kern w:val="0"/>
                <w:sz w:val="24"/>
              </w:rPr>
            </w:pPr>
            <w:r>
              <w:rPr>
                <w:color w:val="auto"/>
                <w:kern w:val="0"/>
                <w:sz w:val="24"/>
              </w:rPr>
              <w:t>物排</w:t>
            </w:r>
          </w:p>
          <w:p w14:paraId="64D81065">
            <w:pPr>
              <w:adjustRightInd w:val="0"/>
              <w:snapToGrid w:val="0"/>
              <w:jc w:val="center"/>
              <w:rPr>
                <w:color w:val="auto"/>
                <w:kern w:val="0"/>
                <w:sz w:val="24"/>
              </w:rPr>
            </w:pPr>
            <w:r>
              <w:rPr>
                <w:color w:val="auto"/>
                <w:kern w:val="0"/>
                <w:sz w:val="24"/>
              </w:rPr>
              <w:t>放控</w:t>
            </w:r>
          </w:p>
          <w:p w14:paraId="09024996">
            <w:pPr>
              <w:adjustRightInd w:val="0"/>
              <w:snapToGrid w:val="0"/>
              <w:jc w:val="center"/>
              <w:rPr>
                <w:color w:val="auto"/>
                <w:kern w:val="0"/>
                <w:sz w:val="24"/>
              </w:rPr>
            </w:pPr>
            <w:r>
              <w:rPr>
                <w:color w:val="auto"/>
                <w:kern w:val="0"/>
                <w:sz w:val="24"/>
              </w:rPr>
              <w:t>制标</w:t>
            </w:r>
          </w:p>
          <w:p w14:paraId="340E6298">
            <w:pPr>
              <w:adjustRightInd w:val="0"/>
              <w:snapToGrid w:val="0"/>
              <w:jc w:val="center"/>
              <w:rPr>
                <w:color w:val="auto"/>
                <w:kern w:val="0"/>
                <w:sz w:val="24"/>
              </w:rPr>
            </w:pPr>
            <w:r>
              <w:rPr>
                <w:color w:val="auto"/>
                <w:kern w:val="0"/>
                <w:sz w:val="24"/>
              </w:rPr>
              <w:t>准</w:t>
            </w:r>
          </w:p>
        </w:tc>
        <w:tc>
          <w:tcPr>
            <w:tcW w:w="8200" w:type="dxa"/>
            <w:vAlign w:val="center"/>
          </w:tcPr>
          <w:p w14:paraId="5853F3CC">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b/>
                <w:bCs/>
                <w:color w:val="auto"/>
                <w:sz w:val="24"/>
                <w:lang w:val="en-US" w:eastAsia="zh-CN"/>
              </w:rPr>
            </w:pPr>
            <w:r>
              <w:rPr>
                <w:rFonts w:hint="eastAsia"/>
                <w:b/>
                <w:bCs/>
                <w:color w:val="auto"/>
                <w:sz w:val="24"/>
                <w:lang w:val="en-US" w:eastAsia="zh-CN"/>
              </w:rPr>
              <w:t>一、施工期</w:t>
            </w:r>
          </w:p>
          <w:p w14:paraId="2EC78F18">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1、废气</w:t>
            </w:r>
          </w:p>
          <w:p w14:paraId="78698B41">
            <w:pPr>
              <w:spacing w:line="360" w:lineRule="auto"/>
              <w:ind w:firstLine="500"/>
              <w:rPr>
                <w:rFonts w:hint="default" w:ascii="Times New Roman" w:hAnsi="Times New Roman" w:cs="Times New Roman"/>
                <w:b w:val="0"/>
                <w:bCs w:val="0"/>
                <w:color w:val="auto"/>
                <w:sz w:val="24"/>
                <w:szCs w:val="24"/>
                <w:lang w:val="en-US" w:eastAsia="zh-CN"/>
              </w:rPr>
            </w:pPr>
            <w:r>
              <w:rPr>
                <w:rFonts w:hint="eastAsia" w:cs="Times New Roman"/>
                <w:color w:val="auto"/>
                <w:sz w:val="24"/>
                <w:szCs w:val="24"/>
                <w:lang w:val="en-US" w:eastAsia="zh-CN"/>
              </w:rPr>
              <w:t>施工期施工粉尘执行</w:t>
            </w:r>
            <w:r>
              <w:rPr>
                <w:rFonts w:hint="eastAsia" w:cs="Times New Roman"/>
                <w:b w:val="0"/>
                <w:bCs w:val="0"/>
                <w:color w:val="auto"/>
                <w:sz w:val="24"/>
                <w:szCs w:val="24"/>
                <w:lang w:val="en-US" w:eastAsia="zh-CN"/>
              </w:rPr>
              <w:t>《大气污染物综合排放标准》（GB16297-1996）表2中无组织排放监控浓度限值要求。具体详见下表：</w:t>
            </w:r>
          </w:p>
          <w:p w14:paraId="6E1E9B0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表3-6 大气污染物综合排放标准</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8"/>
              <w:gridCol w:w="2658"/>
              <w:gridCol w:w="2659"/>
            </w:tblGrid>
            <w:tr w14:paraId="1277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Merge w:val="restart"/>
                  <w:vAlign w:val="center"/>
                </w:tcPr>
                <w:p w14:paraId="75D18D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污染物</w:t>
                  </w:r>
                </w:p>
              </w:tc>
              <w:tc>
                <w:tcPr>
                  <w:tcW w:w="3991" w:type="dxa"/>
                  <w:gridSpan w:val="2"/>
                  <w:vAlign w:val="center"/>
                </w:tcPr>
                <w:p w14:paraId="5D8522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无组织排放监控浓度限值</w:t>
                  </w:r>
                </w:p>
              </w:tc>
            </w:tr>
            <w:tr w14:paraId="0B42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Merge w:val="continue"/>
                  <w:vAlign w:val="center"/>
                </w:tcPr>
                <w:p w14:paraId="531C3D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95" w:type="dxa"/>
                  <w:vAlign w:val="center"/>
                </w:tcPr>
                <w:p w14:paraId="2616DE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监控点</w:t>
                  </w:r>
                </w:p>
              </w:tc>
              <w:tc>
                <w:tcPr>
                  <w:tcW w:w="1996" w:type="dxa"/>
                  <w:vAlign w:val="center"/>
                </w:tcPr>
                <w:p w14:paraId="4EAFC5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浓度（mg/m</w:t>
                  </w:r>
                  <w:r>
                    <w:rPr>
                      <w:rFonts w:hint="eastAsia" w:cs="Times New Roman"/>
                      <w:b w:val="0"/>
                      <w:bCs w:val="0"/>
                      <w:color w:val="auto"/>
                      <w:sz w:val="21"/>
                      <w:szCs w:val="21"/>
                      <w:vertAlign w:val="superscript"/>
                      <w:lang w:val="en-US" w:eastAsia="zh-CN"/>
                    </w:rPr>
                    <w:t>3</w:t>
                  </w:r>
                  <w:r>
                    <w:rPr>
                      <w:rFonts w:hint="eastAsia" w:cs="Times New Roman"/>
                      <w:b w:val="0"/>
                      <w:bCs w:val="0"/>
                      <w:color w:val="auto"/>
                      <w:sz w:val="21"/>
                      <w:szCs w:val="21"/>
                      <w:vertAlign w:val="baseline"/>
                      <w:lang w:val="en-US" w:eastAsia="zh-CN"/>
                    </w:rPr>
                    <w:t>）</w:t>
                  </w:r>
                </w:p>
              </w:tc>
            </w:tr>
            <w:tr w14:paraId="6913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14:paraId="31EABE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颗粒物</w:t>
                  </w:r>
                </w:p>
              </w:tc>
              <w:tc>
                <w:tcPr>
                  <w:tcW w:w="1995" w:type="dxa"/>
                  <w:vAlign w:val="center"/>
                </w:tcPr>
                <w:p w14:paraId="509BDA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周界外浓度最高点</w:t>
                  </w:r>
                </w:p>
              </w:tc>
              <w:tc>
                <w:tcPr>
                  <w:tcW w:w="1996" w:type="dxa"/>
                  <w:vAlign w:val="center"/>
                </w:tcPr>
                <w:p w14:paraId="2486E4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p>
              </w:tc>
            </w:tr>
          </w:tbl>
          <w:p w14:paraId="47E27AF5">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2、废水</w:t>
            </w:r>
          </w:p>
          <w:p w14:paraId="0F1DE553">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b w:val="0"/>
                <w:bCs/>
                <w:color w:val="auto"/>
                <w:kern w:val="0"/>
                <w:sz w:val="24"/>
                <w:szCs w:val="24"/>
                <w:lang w:val="en-US" w:eastAsia="zh-CN"/>
              </w:rPr>
            </w:pPr>
            <w:r>
              <w:rPr>
                <w:rFonts w:hint="eastAsia"/>
                <w:b w:val="0"/>
                <w:bCs/>
                <w:color w:val="auto"/>
                <w:kern w:val="0"/>
                <w:sz w:val="24"/>
                <w:szCs w:val="24"/>
                <w:lang w:val="en-US" w:eastAsia="zh-CN"/>
              </w:rPr>
              <w:t>项目施工期无施工废水产生，施工人员生活污水</w:t>
            </w:r>
            <w:r>
              <w:rPr>
                <w:rFonts w:hint="eastAsia"/>
                <w:color w:val="auto"/>
                <w:sz w:val="24"/>
                <w:szCs w:val="24"/>
                <w:highlight w:val="none"/>
                <w:lang w:val="en-US" w:eastAsia="zh-CN"/>
              </w:rPr>
              <w:t>依托</w:t>
            </w:r>
            <w:r>
              <w:rPr>
                <w:color w:val="auto"/>
                <w:sz w:val="24"/>
                <w:szCs w:val="24"/>
              </w:rPr>
              <w:t>园区管理委员会</w:t>
            </w:r>
            <w:r>
              <w:rPr>
                <w:rFonts w:hint="eastAsia"/>
                <w:color w:val="auto"/>
                <w:sz w:val="24"/>
                <w:szCs w:val="24"/>
                <w:lang w:val="en-US" w:eastAsia="zh-CN"/>
              </w:rPr>
              <w:t>已建</w:t>
            </w:r>
            <w:r>
              <w:rPr>
                <w:color w:val="auto"/>
                <w:sz w:val="24"/>
                <w:szCs w:val="24"/>
              </w:rPr>
              <w:t>的综合楼</w:t>
            </w:r>
            <w:r>
              <w:rPr>
                <w:rFonts w:hint="eastAsia"/>
                <w:color w:val="auto"/>
                <w:sz w:val="24"/>
                <w:szCs w:val="24"/>
                <w:lang w:val="en-US" w:eastAsia="zh-CN"/>
              </w:rPr>
              <w:t>配套建设的化粪池处理达标后排入</w:t>
            </w:r>
            <w:r>
              <w:rPr>
                <w:color w:val="auto"/>
                <w:sz w:val="24"/>
                <w:szCs w:val="24"/>
                <w:highlight w:val="none"/>
              </w:rPr>
              <w:t>元江工业园区MBR膜一体化300m</w:t>
            </w:r>
            <w:r>
              <w:rPr>
                <w:color w:val="auto"/>
                <w:sz w:val="24"/>
                <w:szCs w:val="24"/>
                <w:highlight w:val="none"/>
                <w:vertAlign w:val="superscript"/>
              </w:rPr>
              <w:t>3</w:t>
            </w:r>
            <w:r>
              <w:rPr>
                <w:color w:val="auto"/>
                <w:sz w:val="24"/>
                <w:szCs w:val="24"/>
                <w:highlight w:val="none"/>
              </w:rPr>
              <w:t>/d过渡式污水处理站处理</w:t>
            </w:r>
            <w:r>
              <w:rPr>
                <w:rFonts w:hint="eastAsia"/>
                <w:color w:val="auto"/>
                <w:sz w:val="24"/>
                <w:szCs w:val="24"/>
                <w:highlight w:val="none"/>
                <w:lang w:eastAsia="zh-CN"/>
              </w:rPr>
              <w:t>。</w:t>
            </w:r>
          </w:p>
          <w:p w14:paraId="7497D9C3">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3、噪声</w:t>
            </w:r>
          </w:p>
          <w:p w14:paraId="1763C7E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b/>
                <w:bCs/>
                <w:color w:val="auto"/>
                <w:sz w:val="24"/>
                <w:lang w:val="en-US" w:eastAsia="zh-CN"/>
              </w:rPr>
            </w:pPr>
            <w:r>
              <w:rPr>
                <w:rFonts w:hint="eastAsia"/>
                <w:color w:val="auto"/>
                <w:sz w:val="24"/>
                <w:szCs w:val="24"/>
                <w:lang w:val="en-US" w:eastAsia="zh-CN"/>
              </w:rPr>
              <w:t>项目施工噪声执行</w:t>
            </w:r>
            <w:r>
              <w:rPr>
                <w:color w:val="auto"/>
                <w:sz w:val="24"/>
                <w:szCs w:val="24"/>
              </w:rPr>
              <w:t>《建筑施工场界环境噪声排放标准》</w:t>
            </w:r>
            <w:r>
              <w:rPr>
                <w:rFonts w:hint="eastAsia"/>
                <w:color w:val="auto"/>
                <w:sz w:val="24"/>
                <w:szCs w:val="24"/>
                <w:lang w:eastAsia="zh-CN"/>
              </w:rPr>
              <w:t>（</w:t>
            </w:r>
            <w:r>
              <w:rPr>
                <w:color w:val="auto"/>
                <w:sz w:val="24"/>
                <w:szCs w:val="24"/>
              </w:rPr>
              <w:t>GB12523-20</w:t>
            </w:r>
            <w:r>
              <w:rPr>
                <w:rFonts w:hint="eastAsia"/>
                <w:color w:val="auto"/>
                <w:sz w:val="24"/>
                <w:szCs w:val="24"/>
                <w:lang w:val="en-US" w:eastAsia="zh-CN"/>
              </w:rPr>
              <w:t>25</w:t>
            </w:r>
            <w:r>
              <w:rPr>
                <w:rFonts w:hint="eastAsia"/>
                <w:color w:val="auto"/>
                <w:sz w:val="24"/>
                <w:szCs w:val="24"/>
                <w:lang w:eastAsia="zh-CN"/>
              </w:rPr>
              <w:t>）</w:t>
            </w:r>
            <w:r>
              <w:rPr>
                <w:rFonts w:hint="eastAsia"/>
                <w:color w:val="auto"/>
                <w:sz w:val="24"/>
                <w:szCs w:val="24"/>
              </w:rPr>
              <w:t>，</w:t>
            </w:r>
            <w:r>
              <w:rPr>
                <w:rFonts w:hint="eastAsia"/>
                <w:color w:val="auto"/>
                <w:sz w:val="24"/>
                <w:szCs w:val="24"/>
                <w:lang w:val="en-US" w:eastAsia="zh-CN"/>
              </w:rPr>
              <w:t>即：</w:t>
            </w:r>
            <w:r>
              <w:rPr>
                <w:rFonts w:hint="eastAsia"/>
                <w:color w:val="auto"/>
                <w:sz w:val="24"/>
                <w:szCs w:val="24"/>
              </w:rPr>
              <w:t>昼间≤</w:t>
            </w:r>
            <w:r>
              <w:rPr>
                <w:color w:val="auto"/>
                <w:sz w:val="24"/>
                <w:szCs w:val="24"/>
              </w:rPr>
              <w:t>70dB</w:t>
            </w:r>
            <w:r>
              <w:rPr>
                <w:rFonts w:hint="eastAsia"/>
                <w:color w:val="auto"/>
                <w:sz w:val="24"/>
                <w:szCs w:val="24"/>
              </w:rPr>
              <w:t>（A），夜间≤</w:t>
            </w:r>
            <w:r>
              <w:rPr>
                <w:color w:val="auto"/>
                <w:sz w:val="24"/>
                <w:szCs w:val="24"/>
              </w:rPr>
              <w:t>55dB</w:t>
            </w:r>
            <w:r>
              <w:rPr>
                <w:rFonts w:hint="eastAsia"/>
                <w:color w:val="auto"/>
                <w:sz w:val="24"/>
                <w:szCs w:val="24"/>
              </w:rPr>
              <w:t>（A）。</w:t>
            </w:r>
          </w:p>
          <w:p w14:paraId="71B6797C">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b/>
                <w:bCs/>
                <w:color w:val="auto"/>
                <w:sz w:val="24"/>
                <w:lang w:val="en-US" w:eastAsia="zh-CN"/>
              </w:rPr>
            </w:pPr>
            <w:r>
              <w:rPr>
                <w:rFonts w:hint="eastAsia"/>
                <w:b/>
                <w:bCs/>
                <w:color w:val="auto"/>
                <w:sz w:val="24"/>
                <w:lang w:val="en-US" w:eastAsia="zh-CN"/>
              </w:rPr>
              <w:t>一、运营期</w:t>
            </w:r>
          </w:p>
          <w:p w14:paraId="6E07A18E">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eastAsia="宋体"/>
                <w:b/>
                <w:color w:val="auto"/>
                <w:sz w:val="24"/>
                <w:lang w:val="en-US" w:eastAsia="zh-CN"/>
              </w:rPr>
            </w:pPr>
            <w:r>
              <w:rPr>
                <w:rFonts w:hint="eastAsia"/>
                <w:b/>
                <w:bCs/>
                <w:color w:val="auto"/>
                <w:sz w:val="24"/>
                <w:lang w:val="en-US" w:eastAsia="zh-CN"/>
              </w:rPr>
              <w:t>1</w:t>
            </w:r>
            <w:r>
              <w:rPr>
                <w:rFonts w:hint="eastAsia"/>
                <w:b/>
                <w:bCs/>
                <w:color w:val="auto"/>
                <w:sz w:val="24"/>
              </w:rPr>
              <w:t>、</w:t>
            </w:r>
            <w:r>
              <w:rPr>
                <w:rFonts w:hint="eastAsia"/>
                <w:b/>
                <w:bCs/>
                <w:color w:val="auto"/>
                <w:sz w:val="24"/>
                <w:lang w:val="en-US" w:eastAsia="zh-CN"/>
              </w:rPr>
              <w:t>大气污染物排放标准</w:t>
            </w:r>
          </w:p>
          <w:p w14:paraId="5666BC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default" w:eastAsia="宋体"/>
                <w:b/>
                <w:bCs/>
                <w:color w:val="auto"/>
                <w:sz w:val="24"/>
                <w:szCs w:val="24"/>
                <w:lang w:val="en-US" w:eastAsia="zh-CN"/>
              </w:rPr>
            </w:pPr>
            <w:r>
              <w:rPr>
                <w:rFonts w:hint="eastAsia"/>
                <w:b/>
                <w:bCs/>
                <w:color w:val="auto"/>
                <w:sz w:val="24"/>
                <w:szCs w:val="24"/>
                <w:lang w:val="en-US" w:eastAsia="zh-CN"/>
              </w:rPr>
              <w:t>（1）有组织废气</w:t>
            </w:r>
          </w:p>
          <w:p w14:paraId="370F59F3">
            <w:pPr>
              <w:spacing w:line="360" w:lineRule="auto"/>
              <w:ind w:firstLine="480" w:firstLineChars="200"/>
              <w:rPr>
                <w:color w:val="auto"/>
                <w:sz w:val="24"/>
                <w:szCs w:val="24"/>
              </w:rPr>
            </w:pPr>
            <w:r>
              <w:rPr>
                <w:color w:val="auto"/>
                <w:sz w:val="24"/>
                <w:szCs w:val="24"/>
              </w:rPr>
              <w:t>项目</w:t>
            </w:r>
            <w:r>
              <w:rPr>
                <w:rFonts w:hint="eastAsia"/>
                <w:color w:val="auto"/>
                <w:sz w:val="24"/>
                <w:szCs w:val="24"/>
                <w:lang w:val="en-US" w:eastAsia="zh-CN"/>
              </w:rPr>
              <w:t>设置1</w:t>
            </w:r>
            <w:r>
              <w:rPr>
                <w:color w:val="auto"/>
                <w:sz w:val="24"/>
                <w:szCs w:val="24"/>
              </w:rPr>
              <w:t>台</w:t>
            </w:r>
            <w:r>
              <w:rPr>
                <w:rFonts w:hint="eastAsia"/>
                <w:color w:val="auto"/>
                <w:sz w:val="24"/>
                <w:szCs w:val="24"/>
                <w:lang w:val="en-US" w:eastAsia="zh-CN"/>
              </w:rPr>
              <w:t>2.2</w:t>
            </w:r>
            <w:r>
              <w:rPr>
                <w:color w:val="auto"/>
                <w:sz w:val="24"/>
                <w:szCs w:val="24"/>
              </w:rPr>
              <w:t>t/h生物质锅炉。根据《锅炉大气污染物排放标准》（GB13271-2014）中“适用范围：使用型煤、水煤浆、煤矸石、石油焦、油页岩、生物质成型燃料等的锅炉，参照本标准中燃煤锅炉排放控制要求执行”，所以，本次评价中生物质锅炉参照执行《锅炉大气污染物排放标准》（GB13271-2014）表2中新建燃煤锅炉大气污染物排放标准。标准值</w:t>
            </w:r>
            <w:r>
              <w:rPr>
                <w:rFonts w:hint="eastAsia"/>
                <w:color w:val="auto"/>
                <w:sz w:val="24"/>
                <w:szCs w:val="24"/>
                <w:lang w:val="en-US" w:eastAsia="zh-CN"/>
              </w:rPr>
              <w:t>详</w:t>
            </w:r>
            <w:r>
              <w:rPr>
                <w:color w:val="auto"/>
                <w:sz w:val="24"/>
                <w:szCs w:val="24"/>
              </w:rPr>
              <w:t>见</w:t>
            </w:r>
            <w:r>
              <w:rPr>
                <w:rFonts w:hint="eastAsia"/>
                <w:color w:val="auto"/>
                <w:sz w:val="24"/>
                <w:szCs w:val="24"/>
                <w:lang w:val="en-US" w:eastAsia="zh-CN"/>
              </w:rPr>
              <w:t>下表。</w:t>
            </w:r>
          </w:p>
          <w:p w14:paraId="0F65368F">
            <w:pPr>
              <w:pStyle w:val="10"/>
              <w:adjustRightInd w:val="0"/>
              <w:snapToGrid w:val="0"/>
              <w:spacing w:before="0" w:after="0"/>
              <w:jc w:val="center"/>
              <w:rPr>
                <w:b/>
                <w:bCs/>
                <w:color w:val="auto"/>
                <w:sz w:val="21"/>
                <w:szCs w:val="21"/>
                <w:lang w:val="en-US" w:eastAsia="zh-CN"/>
              </w:rPr>
            </w:pPr>
            <w:r>
              <w:rPr>
                <w:b/>
                <w:bCs/>
                <w:color w:val="auto"/>
                <w:sz w:val="21"/>
                <w:szCs w:val="21"/>
                <w:lang w:val="en-US" w:eastAsia="zh-CN"/>
              </w:rPr>
              <w:t>表</w:t>
            </w:r>
            <w:r>
              <w:rPr>
                <w:rFonts w:hint="eastAsia"/>
                <w:b/>
                <w:bCs/>
                <w:color w:val="auto"/>
                <w:sz w:val="21"/>
                <w:szCs w:val="21"/>
                <w:lang w:val="en-US" w:eastAsia="zh-CN"/>
              </w:rPr>
              <w:t>3-7</w:t>
            </w:r>
            <w:r>
              <w:rPr>
                <w:b/>
                <w:bCs/>
                <w:color w:val="auto"/>
                <w:sz w:val="21"/>
                <w:szCs w:val="21"/>
                <w:lang w:val="en-US" w:eastAsia="zh-CN"/>
              </w:rPr>
              <w:t xml:space="preserve">  新建锅炉大气污染物排放浓度限值  单位：mg/m</w:t>
            </w:r>
            <w:r>
              <w:rPr>
                <w:b/>
                <w:bCs/>
                <w:color w:val="auto"/>
                <w:sz w:val="21"/>
                <w:szCs w:val="21"/>
                <w:vertAlign w:val="superscript"/>
                <w:lang w:val="en-US" w:eastAsia="zh-CN"/>
              </w:rPr>
              <w:t>3</w:t>
            </w:r>
          </w:p>
          <w:tbl>
            <w:tblPr>
              <w:tblStyle w:val="22"/>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5"/>
              <w:gridCol w:w="2505"/>
              <w:gridCol w:w="1820"/>
              <w:gridCol w:w="1498"/>
            </w:tblGrid>
            <w:tr w14:paraId="2B28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2255" w:type="dxa"/>
                  <w:tcBorders>
                    <w:top w:val="single" w:color="auto" w:sz="4" w:space="0"/>
                    <w:left w:val="single" w:color="auto" w:sz="4" w:space="0"/>
                    <w:bottom w:val="single" w:color="auto" w:sz="4" w:space="0"/>
                    <w:right w:val="single" w:color="auto" w:sz="4" w:space="0"/>
                  </w:tcBorders>
                  <w:noWrap w:val="0"/>
                  <w:vAlign w:val="center"/>
                </w:tcPr>
                <w:p w14:paraId="1CF4D011">
                  <w:pPr>
                    <w:pStyle w:val="10"/>
                    <w:keepNext w:val="0"/>
                    <w:keepLines w:val="0"/>
                    <w:pageBreakBefore w:val="0"/>
                    <w:kinsoku/>
                    <w:wordWrap/>
                    <w:overflowPunct/>
                    <w:topLinePunct w:val="0"/>
                    <w:autoSpaceDE/>
                    <w:autoSpaceDN/>
                    <w:bidi w:val="0"/>
                    <w:adjustRightInd/>
                    <w:spacing w:before="0" w:after="0" w:line="240" w:lineRule="auto"/>
                    <w:jc w:val="center"/>
                    <w:textAlignment w:val="auto"/>
                    <w:rPr>
                      <w:b/>
                      <w:bCs/>
                      <w:color w:val="auto"/>
                      <w:sz w:val="21"/>
                      <w:szCs w:val="21"/>
                      <w:lang w:val="en-US" w:eastAsia="zh-CN"/>
                    </w:rPr>
                  </w:pPr>
                  <w:r>
                    <w:rPr>
                      <w:b/>
                      <w:bCs/>
                      <w:color w:val="auto"/>
                      <w:sz w:val="21"/>
                      <w:szCs w:val="21"/>
                      <w:lang w:val="en-US" w:eastAsia="zh-CN"/>
                    </w:rPr>
                    <w:t>污染物项目</w:t>
                  </w:r>
                </w:p>
              </w:tc>
              <w:tc>
                <w:tcPr>
                  <w:tcW w:w="2505" w:type="dxa"/>
                  <w:tcBorders>
                    <w:top w:val="single" w:color="auto" w:sz="4" w:space="0"/>
                    <w:left w:val="single" w:color="auto" w:sz="4" w:space="0"/>
                    <w:bottom w:val="single" w:color="auto" w:sz="4" w:space="0"/>
                    <w:right w:val="single" w:color="auto" w:sz="4" w:space="0"/>
                  </w:tcBorders>
                  <w:noWrap w:val="0"/>
                  <w:vAlign w:val="center"/>
                </w:tcPr>
                <w:p w14:paraId="4EACC4BE">
                  <w:pPr>
                    <w:pStyle w:val="10"/>
                    <w:keepNext w:val="0"/>
                    <w:keepLines w:val="0"/>
                    <w:pageBreakBefore w:val="0"/>
                    <w:kinsoku/>
                    <w:wordWrap/>
                    <w:overflowPunct/>
                    <w:topLinePunct w:val="0"/>
                    <w:autoSpaceDE/>
                    <w:autoSpaceDN/>
                    <w:bidi w:val="0"/>
                    <w:adjustRightInd/>
                    <w:spacing w:before="0" w:after="0" w:line="240" w:lineRule="auto"/>
                    <w:jc w:val="center"/>
                    <w:textAlignment w:val="auto"/>
                    <w:rPr>
                      <w:b/>
                      <w:bCs/>
                      <w:color w:val="auto"/>
                      <w:sz w:val="21"/>
                      <w:szCs w:val="21"/>
                      <w:lang w:val="en-US" w:eastAsia="zh-CN"/>
                    </w:rPr>
                  </w:pPr>
                  <w:r>
                    <w:rPr>
                      <w:b/>
                      <w:bCs/>
                      <w:color w:val="auto"/>
                      <w:sz w:val="21"/>
                      <w:szCs w:val="21"/>
                      <w:lang w:val="en-US" w:eastAsia="zh-CN"/>
                    </w:rPr>
                    <w:t>浓度限值（燃煤锅炉）</w:t>
                  </w:r>
                </w:p>
              </w:tc>
              <w:tc>
                <w:tcPr>
                  <w:tcW w:w="1820" w:type="dxa"/>
                  <w:tcBorders>
                    <w:top w:val="single" w:color="auto" w:sz="4" w:space="0"/>
                    <w:left w:val="single" w:color="auto" w:sz="4" w:space="0"/>
                    <w:bottom w:val="single" w:color="auto" w:sz="4" w:space="0"/>
                    <w:right w:val="single" w:color="auto" w:sz="4" w:space="0"/>
                  </w:tcBorders>
                  <w:noWrap w:val="0"/>
                  <w:vAlign w:val="center"/>
                </w:tcPr>
                <w:p w14:paraId="4981B09D">
                  <w:pPr>
                    <w:pStyle w:val="10"/>
                    <w:keepNext w:val="0"/>
                    <w:keepLines w:val="0"/>
                    <w:pageBreakBefore w:val="0"/>
                    <w:kinsoku/>
                    <w:wordWrap/>
                    <w:overflowPunct/>
                    <w:topLinePunct w:val="0"/>
                    <w:autoSpaceDE/>
                    <w:autoSpaceDN/>
                    <w:bidi w:val="0"/>
                    <w:adjustRightInd/>
                    <w:spacing w:before="0" w:after="0" w:line="240" w:lineRule="auto"/>
                    <w:jc w:val="center"/>
                    <w:textAlignment w:val="auto"/>
                    <w:rPr>
                      <w:b/>
                      <w:bCs/>
                      <w:color w:val="auto"/>
                      <w:sz w:val="21"/>
                      <w:szCs w:val="21"/>
                      <w:lang w:val="en-US" w:eastAsia="zh-CN"/>
                    </w:rPr>
                  </w:pPr>
                  <w:r>
                    <w:rPr>
                      <w:b/>
                      <w:bCs/>
                      <w:color w:val="auto"/>
                      <w:sz w:val="21"/>
                      <w:szCs w:val="21"/>
                      <w:lang w:val="en-US" w:eastAsia="zh-CN"/>
                    </w:rPr>
                    <w:t>污染物排放监控位置</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4018F99A">
                  <w:pPr>
                    <w:pStyle w:val="10"/>
                    <w:keepNext w:val="0"/>
                    <w:keepLines w:val="0"/>
                    <w:pageBreakBefore w:val="0"/>
                    <w:kinsoku/>
                    <w:wordWrap/>
                    <w:overflowPunct/>
                    <w:topLinePunct w:val="0"/>
                    <w:autoSpaceDE/>
                    <w:autoSpaceDN/>
                    <w:bidi w:val="0"/>
                    <w:adjustRightInd/>
                    <w:spacing w:before="0" w:after="0" w:line="24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排气筒高度</w:t>
                  </w:r>
                </w:p>
              </w:tc>
            </w:tr>
            <w:tr w14:paraId="5244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2255" w:type="dxa"/>
                  <w:tcBorders>
                    <w:top w:val="single" w:color="auto" w:sz="4" w:space="0"/>
                    <w:left w:val="single" w:color="auto" w:sz="4" w:space="0"/>
                    <w:bottom w:val="single" w:color="auto" w:sz="4" w:space="0"/>
                    <w:right w:val="single" w:color="auto" w:sz="4" w:space="0"/>
                  </w:tcBorders>
                  <w:noWrap w:val="0"/>
                  <w:vAlign w:val="center"/>
                </w:tcPr>
                <w:p w14:paraId="4BA6704D">
                  <w:pPr>
                    <w:pStyle w:val="10"/>
                    <w:keepNext w:val="0"/>
                    <w:keepLines w:val="0"/>
                    <w:pageBreakBefore w:val="0"/>
                    <w:kinsoku/>
                    <w:wordWrap/>
                    <w:overflowPunct/>
                    <w:topLinePunct w:val="0"/>
                    <w:autoSpaceDE/>
                    <w:autoSpaceDN/>
                    <w:bidi w:val="0"/>
                    <w:adjustRightInd/>
                    <w:spacing w:before="0" w:after="0" w:line="240" w:lineRule="auto"/>
                    <w:jc w:val="center"/>
                    <w:textAlignment w:val="auto"/>
                    <w:rPr>
                      <w:color w:val="auto"/>
                      <w:sz w:val="21"/>
                      <w:szCs w:val="21"/>
                      <w:lang w:val="en-US" w:eastAsia="zh-CN"/>
                    </w:rPr>
                  </w:pPr>
                  <w:r>
                    <w:rPr>
                      <w:color w:val="auto"/>
                      <w:sz w:val="21"/>
                      <w:szCs w:val="21"/>
                      <w:lang w:val="en-US" w:eastAsia="zh-CN"/>
                    </w:rPr>
                    <w:t>颗粒物</w:t>
                  </w:r>
                </w:p>
              </w:tc>
              <w:tc>
                <w:tcPr>
                  <w:tcW w:w="2505" w:type="dxa"/>
                  <w:tcBorders>
                    <w:top w:val="single" w:color="auto" w:sz="4" w:space="0"/>
                    <w:left w:val="single" w:color="auto" w:sz="4" w:space="0"/>
                    <w:bottom w:val="single" w:color="auto" w:sz="4" w:space="0"/>
                    <w:right w:val="single" w:color="auto" w:sz="4" w:space="0"/>
                  </w:tcBorders>
                  <w:noWrap w:val="0"/>
                  <w:vAlign w:val="center"/>
                </w:tcPr>
                <w:p w14:paraId="73A22ED5">
                  <w:pPr>
                    <w:pStyle w:val="10"/>
                    <w:keepNext w:val="0"/>
                    <w:keepLines w:val="0"/>
                    <w:pageBreakBefore w:val="0"/>
                    <w:kinsoku/>
                    <w:wordWrap/>
                    <w:overflowPunct/>
                    <w:topLinePunct w:val="0"/>
                    <w:autoSpaceDE/>
                    <w:autoSpaceDN/>
                    <w:bidi w:val="0"/>
                    <w:adjustRightInd/>
                    <w:spacing w:before="0" w:after="0" w:line="240" w:lineRule="auto"/>
                    <w:jc w:val="center"/>
                    <w:textAlignment w:val="auto"/>
                    <w:rPr>
                      <w:color w:val="auto"/>
                      <w:sz w:val="21"/>
                      <w:szCs w:val="21"/>
                      <w:lang w:val="en-US" w:eastAsia="zh-CN"/>
                    </w:rPr>
                  </w:pPr>
                  <w:r>
                    <w:rPr>
                      <w:color w:val="auto"/>
                      <w:sz w:val="21"/>
                      <w:szCs w:val="21"/>
                      <w:lang w:val="en-US" w:eastAsia="zh-CN"/>
                    </w:rPr>
                    <w:t>50</w:t>
                  </w:r>
                </w:p>
              </w:tc>
              <w:tc>
                <w:tcPr>
                  <w:tcW w:w="1820" w:type="dxa"/>
                  <w:vMerge w:val="restart"/>
                  <w:tcBorders>
                    <w:top w:val="single" w:color="auto" w:sz="4" w:space="0"/>
                    <w:left w:val="single" w:color="auto" w:sz="4" w:space="0"/>
                    <w:right w:val="single" w:color="auto" w:sz="4" w:space="0"/>
                  </w:tcBorders>
                  <w:noWrap w:val="0"/>
                  <w:vAlign w:val="center"/>
                </w:tcPr>
                <w:p w14:paraId="0E04EFC9">
                  <w:pPr>
                    <w:pStyle w:val="10"/>
                    <w:keepNext w:val="0"/>
                    <w:keepLines w:val="0"/>
                    <w:pageBreakBefore w:val="0"/>
                    <w:kinsoku/>
                    <w:wordWrap/>
                    <w:overflowPunct/>
                    <w:topLinePunct w:val="0"/>
                    <w:autoSpaceDE/>
                    <w:autoSpaceDN/>
                    <w:bidi w:val="0"/>
                    <w:adjustRightInd/>
                    <w:spacing w:before="0" w:after="0" w:line="240" w:lineRule="auto"/>
                    <w:jc w:val="center"/>
                    <w:textAlignment w:val="auto"/>
                    <w:rPr>
                      <w:color w:val="auto"/>
                      <w:sz w:val="21"/>
                      <w:szCs w:val="21"/>
                      <w:lang w:val="en-US" w:eastAsia="zh-CN"/>
                    </w:rPr>
                  </w:pPr>
                  <w:r>
                    <w:rPr>
                      <w:color w:val="auto"/>
                      <w:sz w:val="21"/>
                      <w:szCs w:val="21"/>
                      <w:lang w:val="en-US" w:eastAsia="zh-CN"/>
                    </w:rPr>
                    <w:t>烟囱或烟道</w:t>
                  </w:r>
                </w:p>
              </w:tc>
              <w:tc>
                <w:tcPr>
                  <w:tcW w:w="1498" w:type="dxa"/>
                  <w:vMerge w:val="restart"/>
                  <w:tcBorders>
                    <w:top w:val="single" w:color="auto" w:sz="4" w:space="0"/>
                    <w:left w:val="single" w:color="auto" w:sz="4" w:space="0"/>
                    <w:right w:val="single" w:color="auto" w:sz="4" w:space="0"/>
                  </w:tcBorders>
                  <w:noWrap w:val="0"/>
                  <w:vAlign w:val="center"/>
                </w:tcPr>
                <w:p w14:paraId="1782BE9F">
                  <w:pPr>
                    <w:pStyle w:val="10"/>
                    <w:keepNext w:val="0"/>
                    <w:keepLines w:val="0"/>
                    <w:pageBreakBefore w:val="0"/>
                    <w:kinsoku/>
                    <w:wordWrap/>
                    <w:overflowPunct/>
                    <w:topLinePunct w:val="0"/>
                    <w:autoSpaceDE/>
                    <w:autoSpaceDN/>
                    <w:bidi w:val="0"/>
                    <w:adjustRightInd/>
                    <w:spacing w:before="0" w:after="0" w:line="240" w:lineRule="auto"/>
                    <w:jc w:val="center"/>
                    <w:textAlignment w:val="auto"/>
                    <w:rPr>
                      <w:rFonts w:hint="default"/>
                      <w:color w:val="auto"/>
                      <w:sz w:val="21"/>
                      <w:szCs w:val="21"/>
                      <w:lang w:val="en-US" w:eastAsia="zh-CN"/>
                    </w:rPr>
                  </w:pPr>
                  <w:r>
                    <w:rPr>
                      <w:rFonts w:hint="eastAsia"/>
                      <w:color w:val="auto"/>
                      <w:sz w:val="21"/>
                      <w:szCs w:val="21"/>
                      <w:lang w:val="en-US" w:eastAsia="zh-CN"/>
                    </w:rPr>
                    <w:t>30m</w:t>
                  </w:r>
                </w:p>
              </w:tc>
            </w:tr>
            <w:tr w14:paraId="3092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2255" w:type="dxa"/>
                  <w:tcBorders>
                    <w:top w:val="single" w:color="auto" w:sz="4" w:space="0"/>
                    <w:left w:val="single" w:color="auto" w:sz="4" w:space="0"/>
                    <w:bottom w:val="single" w:color="auto" w:sz="4" w:space="0"/>
                    <w:right w:val="single" w:color="auto" w:sz="4" w:space="0"/>
                  </w:tcBorders>
                  <w:noWrap w:val="0"/>
                  <w:vAlign w:val="center"/>
                </w:tcPr>
                <w:p w14:paraId="7009C07A">
                  <w:pPr>
                    <w:pStyle w:val="10"/>
                    <w:keepNext w:val="0"/>
                    <w:keepLines w:val="0"/>
                    <w:pageBreakBefore w:val="0"/>
                    <w:kinsoku/>
                    <w:wordWrap/>
                    <w:overflowPunct/>
                    <w:topLinePunct w:val="0"/>
                    <w:autoSpaceDE/>
                    <w:autoSpaceDN/>
                    <w:bidi w:val="0"/>
                    <w:adjustRightInd/>
                    <w:spacing w:before="0" w:after="0" w:line="240" w:lineRule="auto"/>
                    <w:jc w:val="center"/>
                    <w:textAlignment w:val="auto"/>
                    <w:rPr>
                      <w:color w:val="auto"/>
                      <w:sz w:val="21"/>
                      <w:szCs w:val="21"/>
                    </w:rPr>
                  </w:pPr>
                  <w:r>
                    <w:rPr>
                      <w:color w:val="auto"/>
                      <w:sz w:val="21"/>
                      <w:szCs w:val="21"/>
                      <w:lang w:val="en-US" w:eastAsia="zh-CN"/>
                    </w:rPr>
                    <w:t>二氧化硫</w:t>
                  </w:r>
                </w:p>
              </w:tc>
              <w:tc>
                <w:tcPr>
                  <w:tcW w:w="2505" w:type="dxa"/>
                  <w:tcBorders>
                    <w:top w:val="single" w:color="auto" w:sz="4" w:space="0"/>
                    <w:left w:val="single" w:color="auto" w:sz="4" w:space="0"/>
                    <w:bottom w:val="single" w:color="auto" w:sz="4" w:space="0"/>
                    <w:right w:val="single" w:color="auto" w:sz="4" w:space="0"/>
                  </w:tcBorders>
                  <w:noWrap w:val="0"/>
                  <w:vAlign w:val="center"/>
                </w:tcPr>
                <w:p w14:paraId="5CBE889F">
                  <w:pPr>
                    <w:pStyle w:val="10"/>
                    <w:keepNext w:val="0"/>
                    <w:keepLines w:val="0"/>
                    <w:pageBreakBefore w:val="0"/>
                    <w:kinsoku/>
                    <w:wordWrap/>
                    <w:overflowPunct/>
                    <w:topLinePunct w:val="0"/>
                    <w:autoSpaceDE/>
                    <w:autoSpaceDN/>
                    <w:bidi w:val="0"/>
                    <w:adjustRightInd/>
                    <w:spacing w:before="0" w:after="0" w:line="240" w:lineRule="auto"/>
                    <w:jc w:val="center"/>
                    <w:textAlignment w:val="auto"/>
                    <w:rPr>
                      <w:color w:val="auto"/>
                      <w:sz w:val="21"/>
                      <w:szCs w:val="21"/>
                      <w:lang w:val="en-US" w:eastAsia="zh-CN"/>
                    </w:rPr>
                  </w:pPr>
                  <w:r>
                    <w:rPr>
                      <w:color w:val="auto"/>
                      <w:sz w:val="21"/>
                      <w:szCs w:val="21"/>
                      <w:lang w:val="en-US" w:eastAsia="zh-CN"/>
                    </w:rPr>
                    <w:t>300</w:t>
                  </w:r>
                </w:p>
              </w:tc>
              <w:tc>
                <w:tcPr>
                  <w:tcW w:w="1820" w:type="dxa"/>
                  <w:vMerge w:val="continue"/>
                  <w:tcBorders>
                    <w:left w:val="single" w:color="auto" w:sz="4" w:space="0"/>
                    <w:right w:val="single" w:color="auto" w:sz="4" w:space="0"/>
                  </w:tcBorders>
                  <w:noWrap w:val="0"/>
                  <w:vAlign w:val="center"/>
                </w:tcPr>
                <w:p w14:paraId="0E017174">
                  <w:pPr>
                    <w:pStyle w:val="10"/>
                    <w:keepNext w:val="0"/>
                    <w:keepLines w:val="0"/>
                    <w:pageBreakBefore w:val="0"/>
                    <w:kinsoku/>
                    <w:wordWrap/>
                    <w:overflowPunct/>
                    <w:topLinePunct w:val="0"/>
                    <w:autoSpaceDE/>
                    <w:autoSpaceDN/>
                    <w:bidi w:val="0"/>
                    <w:adjustRightInd/>
                    <w:spacing w:before="0" w:after="0" w:line="240" w:lineRule="auto"/>
                    <w:jc w:val="center"/>
                    <w:textAlignment w:val="auto"/>
                    <w:rPr>
                      <w:color w:val="auto"/>
                      <w:sz w:val="21"/>
                      <w:szCs w:val="21"/>
                      <w:lang w:val="en-US" w:eastAsia="zh-CN"/>
                    </w:rPr>
                  </w:pPr>
                </w:p>
              </w:tc>
              <w:tc>
                <w:tcPr>
                  <w:tcW w:w="1498" w:type="dxa"/>
                  <w:vMerge w:val="continue"/>
                  <w:tcBorders>
                    <w:left w:val="single" w:color="auto" w:sz="4" w:space="0"/>
                    <w:right w:val="single" w:color="auto" w:sz="4" w:space="0"/>
                  </w:tcBorders>
                  <w:noWrap w:val="0"/>
                  <w:vAlign w:val="center"/>
                </w:tcPr>
                <w:p w14:paraId="5324A07B">
                  <w:pPr>
                    <w:pStyle w:val="10"/>
                    <w:keepNext w:val="0"/>
                    <w:keepLines w:val="0"/>
                    <w:pageBreakBefore w:val="0"/>
                    <w:kinsoku/>
                    <w:wordWrap/>
                    <w:overflowPunct/>
                    <w:topLinePunct w:val="0"/>
                    <w:autoSpaceDE/>
                    <w:autoSpaceDN/>
                    <w:bidi w:val="0"/>
                    <w:adjustRightInd/>
                    <w:spacing w:before="0" w:after="0" w:line="240" w:lineRule="auto"/>
                    <w:jc w:val="center"/>
                    <w:textAlignment w:val="auto"/>
                    <w:rPr>
                      <w:color w:val="auto"/>
                      <w:sz w:val="21"/>
                      <w:szCs w:val="21"/>
                      <w:lang w:val="en-US" w:eastAsia="zh-CN"/>
                    </w:rPr>
                  </w:pPr>
                </w:p>
              </w:tc>
            </w:tr>
            <w:tr w14:paraId="059FA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2255" w:type="dxa"/>
                  <w:tcBorders>
                    <w:top w:val="single" w:color="auto" w:sz="4" w:space="0"/>
                    <w:left w:val="single" w:color="auto" w:sz="4" w:space="0"/>
                    <w:bottom w:val="single" w:color="auto" w:sz="4" w:space="0"/>
                    <w:right w:val="single" w:color="auto" w:sz="4" w:space="0"/>
                  </w:tcBorders>
                  <w:noWrap w:val="0"/>
                  <w:vAlign w:val="center"/>
                </w:tcPr>
                <w:p w14:paraId="4CC11CB5">
                  <w:pPr>
                    <w:keepNext w:val="0"/>
                    <w:keepLines w:val="0"/>
                    <w:pageBreakBefore w:val="0"/>
                    <w:kinsoku/>
                    <w:wordWrap/>
                    <w:overflowPunct/>
                    <w:topLinePunct w:val="0"/>
                    <w:autoSpaceDE/>
                    <w:autoSpaceDN/>
                    <w:bidi w:val="0"/>
                    <w:adjustRightInd/>
                    <w:spacing w:line="240" w:lineRule="auto"/>
                    <w:jc w:val="center"/>
                    <w:textAlignment w:val="auto"/>
                    <w:rPr>
                      <w:color w:val="auto"/>
                      <w:szCs w:val="21"/>
                    </w:rPr>
                  </w:pPr>
                  <w:r>
                    <w:rPr>
                      <w:color w:val="auto"/>
                    </w:rPr>
                    <w:t>氮氧化物</w:t>
                  </w:r>
                </w:p>
              </w:tc>
              <w:tc>
                <w:tcPr>
                  <w:tcW w:w="2505" w:type="dxa"/>
                  <w:tcBorders>
                    <w:top w:val="single" w:color="auto" w:sz="4" w:space="0"/>
                    <w:left w:val="single" w:color="auto" w:sz="4" w:space="0"/>
                    <w:bottom w:val="single" w:color="auto" w:sz="4" w:space="0"/>
                    <w:right w:val="single" w:color="auto" w:sz="4" w:space="0"/>
                  </w:tcBorders>
                  <w:noWrap w:val="0"/>
                  <w:vAlign w:val="center"/>
                </w:tcPr>
                <w:p w14:paraId="6ED550E8">
                  <w:pPr>
                    <w:pStyle w:val="10"/>
                    <w:keepNext w:val="0"/>
                    <w:keepLines w:val="0"/>
                    <w:pageBreakBefore w:val="0"/>
                    <w:kinsoku/>
                    <w:wordWrap/>
                    <w:overflowPunct/>
                    <w:topLinePunct w:val="0"/>
                    <w:autoSpaceDE/>
                    <w:autoSpaceDN/>
                    <w:bidi w:val="0"/>
                    <w:adjustRightInd/>
                    <w:spacing w:before="0" w:after="0" w:line="240" w:lineRule="auto"/>
                    <w:jc w:val="center"/>
                    <w:textAlignment w:val="auto"/>
                    <w:rPr>
                      <w:color w:val="auto"/>
                      <w:sz w:val="21"/>
                      <w:szCs w:val="21"/>
                      <w:lang w:val="en-US" w:eastAsia="zh-CN"/>
                    </w:rPr>
                  </w:pPr>
                  <w:r>
                    <w:rPr>
                      <w:color w:val="auto"/>
                      <w:sz w:val="21"/>
                      <w:szCs w:val="21"/>
                      <w:lang w:val="en-US" w:eastAsia="zh-CN"/>
                    </w:rPr>
                    <w:t>300</w:t>
                  </w:r>
                </w:p>
              </w:tc>
              <w:tc>
                <w:tcPr>
                  <w:tcW w:w="1820" w:type="dxa"/>
                  <w:vMerge w:val="continue"/>
                  <w:tcBorders>
                    <w:left w:val="single" w:color="auto" w:sz="4" w:space="0"/>
                    <w:right w:val="single" w:color="auto" w:sz="4" w:space="0"/>
                  </w:tcBorders>
                  <w:noWrap w:val="0"/>
                  <w:vAlign w:val="center"/>
                </w:tcPr>
                <w:p w14:paraId="6B6670EB">
                  <w:pPr>
                    <w:pStyle w:val="10"/>
                    <w:keepNext w:val="0"/>
                    <w:keepLines w:val="0"/>
                    <w:pageBreakBefore w:val="0"/>
                    <w:kinsoku/>
                    <w:wordWrap/>
                    <w:overflowPunct/>
                    <w:topLinePunct w:val="0"/>
                    <w:autoSpaceDE/>
                    <w:autoSpaceDN/>
                    <w:bidi w:val="0"/>
                    <w:adjustRightInd/>
                    <w:spacing w:before="0" w:after="0" w:line="240" w:lineRule="auto"/>
                    <w:jc w:val="center"/>
                    <w:textAlignment w:val="auto"/>
                    <w:rPr>
                      <w:color w:val="auto"/>
                      <w:sz w:val="21"/>
                      <w:szCs w:val="21"/>
                      <w:lang w:val="en-US" w:eastAsia="zh-CN"/>
                    </w:rPr>
                  </w:pPr>
                </w:p>
              </w:tc>
              <w:tc>
                <w:tcPr>
                  <w:tcW w:w="1498" w:type="dxa"/>
                  <w:vMerge w:val="continue"/>
                  <w:tcBorders>
                    <w:left w:val="single" w:color="auto" w:sz="4" w:space="0"/>
                    <w:right w:val="single" w:color="auto" w:sz="4" w:space="0"/>
                  </w:tcBorders>
                  <w:noWrap w:val="0"/>
                  <w:vAlign w:val="center"/>
                </w:tcPr>
                <w:p w14:paraId="307583F8">
                  <w:pPr>
                    <w:pStyle w:val="10"/>
                    <w:keepNext w:val="0"/>
                    <w:keepLines w:val="0"/>
                    <w:pageBreakBefore w:val="0"/>
                    <w:kinsoku/>
                    <w:wordWrap/>
                    <w:overflowPunct/>
                    <w:topLinePunct w:val="0"/>
                    <w:autoSpaceDE/>
                    <w:autoSpaceDN/>
                    <w:bidi w:val="0"/>
                    <w:adjustRightInd/>
                    <w:spacing w:before="0" w:after="0" w:line="240" w:lineRule="auto"/>
                    <w:jc w:val="center"/>
                    <w:textAlignment w:val="auto"/>
                    <w:rPr>
                      <w:color w:val="auto"/>
                      <w:sz w:val="21"/>
                      <w:szCs w:val="21"/>
                      <w:lang w:val="en-US" w:eastAsia="zh-CN"/>
                    </w:rPr>
                  </w:pPr>
                </w:p>
              </w:tc>
            </w:tr>
            <w:tr w14:paraId="1B88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255" w:type="dxa"/>
                  <w:tcBorders>
                    <w:top w:val="single" w:color="auto" w:sz="4" w:space="0"/>
                    <w:left w:val="single" w:color="auto" w:sz="4" w:space="0"/>
                    <w:bottom w:val="single" w:color="auto" w:sz="4" w:space="0"/>
                    <w:right w:val="single" w:color="auto" w:sz="4" w:space="0"/>
                  </w:tcBorders>
                  <w:noWrap w:val="0"/>
                  <w:vAlign w:val="center"/>
                </w:tcPr>
                <w:p w14:paraId="50A006A4">
                  <w:pPr>
                    <w:pStyle w:val="10"/>
                    <w:keepNext w:val="0"/>
                    <w:keepLines w:val="0"/>
                    <w:pageBreakBefore w:val="0"/>
                    <w:kinsoku/>
                    <w:wordWrap/>
                    <w:overflowPunct/>
                    <w:topLinePunct w:val="0"/>
                    <w:autoSpaceDE/>
                    <w:autoSpaceDN/>
                    <w:bidi w:val="0"/>
                    <w:adjustRightInd/>
                    <w:spacing w:before="0" w:after="0" w:line="240" w:lineRule="auto"/>
                    <w:jc w:val="center"/>
                    <w:textAlignment w:val="auto"/>
                    <w:rPr>
                      <w:color w:val="auto"/>
                      <w:sz w:val="21"/>
                      <w:szCs w:val="21"/>
                      <w:lang w:val="en-US" w:eastAsia="zh-CN"/>
                    </w:rPr>
                  </w:pPr>
                  <w:r>
                    <w:rPr>
                      <w:color w:val="auto"/>
                      <w:sz w:val="21"/>
                      <w:szCs w:val="21"/>
                      <w:lang w:val="en-US" w:eastAsia="zh-CN"/>
                    </w:rPr>
                    <w:t>林格曼黑度（级）</w:t>
                  </w:r>
                </w:p>
              </w:tc>
              <w:tc>
                <w:tcPr>
                  <w:tcW w:w="2505" w:type="dxa"/>
                  <w:tcBorders>
                    <w:top w:val="single" w:color="auto" w:sz="4" w:space="0"/>
                    <w:left w:val="single" w:color="auto" w:sz="4" w:space="0"/>
                    <w:bottom w:val="single" w:color="auto" w:sz="4" w:space="0"/>
                    <w:right w:val="single" w:color="auto" w:sz="4" w:space="0"/>
                  </w:tcBorders>
                  <w:noWrap w:val="0"/>
                  <w:vAlign w:val="center"/>
                </w:tcPr>
                <w:p w14:paraId="04F9B5A3">
                  <w:pPr>
                    <w:pStyle w:val="10"/>
                    <w:keepNext w:val="0"/>
                    <w:keepLines w:val="0"/>
                    <w:pageBreakBefore w:val="0"/>
                    <w:kinsoku/>
                    <w:wordWrap/>
                    <w:overflowPunct/>
                    <w:topLinePunct w:val="0"/>
                    <w:autoSpaceDE/>
                    <w:autoSpaceDN/>
                    <w:bidi w:val="0"/>
                    <w:adjustRightInd/>
                    <w:spacing w:before="0" w:after="0" w:line="240" w:lineRule="auto"/>
                    <w:jc w:val="center"/>
                    <w:textAlignment w:val="auto"/>
                    <w:rPr>
                      <w:color w:val="auto"/>
                      <w:sz w:val="21"/>
                      <w:szCs w:val="21"/>
                      <w:lang w:val="en-US" w:eastAsia="zh-CN"/>
                    </w:rPr>
                  </w:pPr>
                  <w:r>
                    <w:rPr>
                      <w:color w:val="auto"/>
                      <w:sz w:val="21"/>
                      <w:szCs w:val="21"/>
                      <w:lang w:val="en-US" w:eastAsia="zh-CN"/>
                    </w:rPr>
                    <w:t>1</w:t>
                  </w:r>
                </w:p>
              </w:tc>
              <w:tc>
                <w:tcPr>
                  <w:tcW w:w="1820" w:type="dxa"/>
                  <w:tcBorders>
                    <w:top w:val="single" w:color="auto" w:sz="4" w:space="0"/>
                    <w:left w:val="single" w:color="auto" w:sz="4" w:space="0"/>
                    <w:bottom w:val="single" w:color="auto" w:sz="4" w:space="0"/>
                    <w:right w:val="single" w:color="auto" w:sz="4" w:space="0"/>
                  </w:tcBorders>
                  <w:noWrap w:val="0"/>
                  <w:vAlign w:val="center"/>
                </w:tcPr>
                <w:p w14:paraId="593A545D">
                  <w:pPr>
                    <w:pStyle w:val="10"/>
                    <w:keepNext w:val="0"/>
                    <w:keepLines w:val="0"/>
                    <w:pageBreakBefore w:val="0"/>
                    <w:kinsoku/>
                    <w:wordWrap/>
                    <w:overflowPunct/>
                    <w:topLinePunct w:val="0"/>
                    <w:autoSpaceDE/>
                    <w:autoSpaceDN/>
                    <w:bidi w:val="0"/>
                    <w:adjustRightInd/>
                    <w:spacing w:before="0" w:after="0" w:line="240" w:lineRule="auto"/>
                    <w:jc w:val="center"/>
                    <w:textAlignment w:val="auto"/>
                    <w:rPr>
                      <w:color w:val="auto"/>
                      <w:sz w:val="21"/>
                      <w:szCs w:val="21"/>
                      <w:lang w:val="en-US" w:eastAsia="zh-CN"/>
                    </w:rPr>
                  </w:pPr>
                  <w:r>
                    <w:rPr>
                      <w:color w:val="auto"/>
                      <w:sz w:val="21"/>
                      <w:szCs w:val="21"/>
                      <w:lang w:val="en-US" w:eastAsia="zh-CN"/>
                    </w:rPr>
                    <w:t>烟囱排放口</w:t>
                  </w:r>
                </w:p>
              </w:tc>
              <w:tc>
                <w:tcPr>
                  <w:tcW w:w="1498" w:type="dxa"/>
                  <w:vMerge w:val="continue"/>
                  <w:tcBorders>
                    <w:left w:val="single" w:color="auto" w:sz="4" w:space="0"/>
                    <w:bottom w:val="single" w:color="auto" w:sz="4" w:space="0"/>
                    <w:right w:val="single" w:color="auto" w:sz="4" w:space="0"/>
                  </w:tcBorders>
                  <w:noWrap w:val="0"/>
                  <w:vAlign w:val="center"/>
                </w:tcPr>
                <w:p w14:paraId="49A0CFC7">
                  <w:pPr>
                    <w:pStyle w:val="10"/>
                    <w:keepNext w:val="0"/>
                    <w:keepLines w:val="0"/>
                    <w:pageBreakBefore w:val="0"/>
                    <w:kinsoku/>
                    <w:wordWrap/>
                    <w:overflowPunct/>
                    <w:topLinePunct w:val="0"/>
                    <w:autoSpaceDE/>
                    <w:autoSpaceDN/>
                    <w:bidi w:val="0"/>
                    <w:adjustRightInd/>
                    <w:spacing w:before="0" w:after="0" w:line="240" w:lineRule="auto"/>
                    <w:jc w:val="center"/>
                    <w:textAlignment w:val="auto"/>
                    <w:rPr>
                      <w:color w:val="auto"/>
                      <w:sz w:val="21"/>
                      <w:szCs w:val="21"/>
                      <w:lang w:val="en-US" w:eastAsia="zh-CN"/>
                    </w:rPr>
                  </w:pPr>
                </w:p>
              </w:tc>
            </w:tr>
          </w:tbl>
          <w:p w14:paraId="74795C3D">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firstLineChars="200"/>
              <w:textAlignment w:val="auto"/>
              <w:rPr>
                <w:rFonts w:hint="default"/>
                <w:b/>
                <w:bCs/>
                <w:color w:val="auto"/>
                <w:sz w:val="24"/>
                <w:lang w:val="en-US" w:eastAsia="zh-CN"/>
              </w:rPr>
            </w:pPr>
            <w:r>
              <w:rPr>
                <w:rFonts w:hint="eastAsia"/>
                <w:b/>
                <w:bCs/>
                <w:color w:val="auto"/>
                <w:sz w:val="24"/>
                <w:lang w:val="en-US" w:eastAsia="zh-CN"/>
              </w:rPr>
              <w:t>（2）无组织废气</w:t>
            </w:r>
          </w:p>
          <w:p w14:paraId="0CBB584C">
            <w:pPr>
              <w:spacing w:line="360" w:lineRule="auto"/>
              <w:ind w:firstLine="480" w:firstLineChars="200"/>
              <w:rPr>
                <w:color w:val="auto"/>
                <w:sz w:val="24"/>
                <w:szCs w:val="24"/>
              </w:rPr>
            </w:pPr>
            <w:r>
              <w:rPr>
                <w:rFonts w:hint="eastAsia"/>
                <w:b w:val="0"/>
                <w:bCs w:val="0"/>
                <w:color w:val="auto"/>
                <w:sz w:val="24"/>
                <w:lang w:val="en-US" w:eastAsia="zh-CN"/>
              </w:rPr>
              <w:t>项目生物质锅炉炉渣清灰过程中产生的无组织粉尘执行《大气污染物综合排放标准》（GB16297-1996）表2中无组织排放浓度要求。</w:t>
            </w:r>
            <w:r>
              <w:rPr>
                <w:color w:val="auto"/>
                <w:sz w:val="24"/>
                <w:szCs w:val="24"/>
              </w:rPr>
              <w:t>标准值</w:t>
            </w:r>
            <w:r>
              <w:rPr>
                <w:rFonts w:hint="eastAsia"/>
                <w:color w:val="auto"/>
                <w:sz w:val="24"/>
                <w:szCs w:val="24"/>
                <w:lang w:val="en-US" w:eastAsia="zh-CN"/>
              </w:rPr>
              <w:t>详见下表</w:t>
            </w:r>
            <w:r>
              <w:rPr>
                <w:color w:val="auto"/>
                <w:sz w:val="24"/>
                <w:szCs w:val="24"/>
              </w:rPr>
              <w:t>。</w:t>
            </w:r>
          </w:p>
          <w:p w14:paraId="0D374711">
            <w:pPr>
              <w:pStyle w:val="10"/>
              <w:adjustRightInd w:val="0"/>
              <w:snapToGrid w:val="0"/>
              <w:spacing w:before="0" w:after="0"/>
              <w:jc w:val="center"/>
              <w:rPr>
                <w:b/>
                <w:bCs/>
                <w:color w:val="auto"/>
                <w:sz w:val="21"/>
                <w:szCs w:val="21"/>
                <w:lang w:val="en-US" w:eastAsia="zh-CN"/>
              </w:rPr>
            </w:pPr>
            <w:r>
              <w:rPr>
                <w:b/>
                <w:bCs/>
                <w:color w:val="auto"/>
                <w:sz w:val="21"/>
                <w:szCs w:val="21"/>
                <w:lang w:val="en-US" w:eastAsia="zh-CN"/>
              </w:rPr>
              <w:t>表</w:t>
            </w:r>
            <w:r>
              <w:rPr>
                <w:rFonts w:hint="eastAsia"/>
                <w:b/>
                <w:bCs/>
                <w:color w:val="auto"/>
                <w:sz w:val="21"/>
                <w:szCs w:val="21"/>
                <w:lang w:val="en-US" w:eastAsia="zh-CN"/>
              </w:rPr>
              <w:t>3-8</w:t>
            </w:r>
            <w:r>
              <w:rPr>
                <w:b/>
                <w:bCs/>
                <w:color w:val="auto"/>
                <w:sz w:val="21"/>
                <w:szCs w:val="21"/>
                <w:lang w:val="en-US" w:eastAsia="zh-CN"/>
              </w:rPr>
              <w:t xml:space="preserve">  </w:t>
            </w:r>
            <w:r>
              <w:rPr>
                <w:b/>
                <w:color w:val="auto"/>
                <w:sz w:val="21"/>
                <w:szCs w:val="21"/>
              </w:rPr>
              <w:t>大气污染物无组织排放标准限值</w:t>
            </w:r>
            <w:r>
              <w:rPr>
                <w:b/>
                <w:bCs/>
                <w:color w:val="auto"/>
                <w:sz w:val="21"/>
                <w:szCs w:val="21"/>
                <w:lang w:val="en-US" w:eastAsia="zh-CN"/>
              </w:rPr>
              <w:t xml:space="preserve">  单位：mg/m</w:t>
            </w:r>
            <w:r>
              <w:rPr>
                <w:b/>
                <w:bCs/>
                <w:color w:val="auto"/>
                <w:sz w:val="21"/>
                <w:szCs w:val="21"/>
                <w:vertAlign w:val="superscript"/>
                <w:lang w:val="en-US" w:eastAsia="zh-CN"/>
              </w:rPr>
              <w:t>3</w:t>
            </w:r>
          </w:p>
          <w:tbl>
            <w:tblPr>
              <w:tblStyle w:val="22"/>
              <w:tblW w:w="7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3228"/>
              <w:gridCol w:w="2775"/>
            </w:tblGrid>
            <w:tr w14:paraId="380E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936" w:type="dxa"/>
                  <w:vMerge w:val="restart"/>
                  <w:tcBorders>
                    <w:top w:val="single" w:color="auto" w:sz="4" w:space="0"/>
                    <w:left w:val="single" w:color="auto" w:sz="4" w:space="0"/>
                    <w:right w:val="single" w:color="auto" w:sz="4" w:space="0"/>
                  </w:tcBorders>
                  <w:noWrap w:val="0"/>
                  <w:vAlign w:val="center"/>
                </w:tcPr>
                <w:p w14:paraId="6CB86CEC">
                  <w:pPr>
                    <w:pStyle w:val="10"/>
                    <w:spacing w:before="0" w:after="0"/>
                    <w:jc w:val="center"/>
                    <w:rPr>
                      <w:b/>
                      <w:bCs/>
                      <w:color w:val="auto"/>
                      <w:sz w:val="21"/>
                      <w:szCs w:val="21"/>
                      <w:lang w:val="en-US" w:eastAsia="zh-CN"/>
                    </w:rPr>
                  </w:pPr>
                  <w:r>
                    <w:rPr>
                      <w:b/>
                      <w:bCs/>
                      <w:color w:val="auto"/>
                      <w:sz w:val="21"/>
                      <w:szCs w:val="21"/>
                      <w:lang w:val="en-US" w:eastAsia="zh-CN"/>
                    </w:rPr>
                    <w:t>污染物项目</w:t>
                  </w:r>
                </w:p>
              </w:tc>
              <w:tc>
                <w:tcPr>
                  <w:tcW w:w="6003" w:type="dxa"/>
                  <w:gridSpan w:val="2"/>
                  <w:tcBorders>
                    <w:top w:val="single" w:color="auto" w:sz="4" w:space="0"/>
                    <w:left w:val="single" w:color="auto" w:sz="4" w:space="0"/>
                    <w:bottom w:val="single" w:color="auto" w:sz="4" w:space="0"/>
                    <w:right w:val="single" w:color="auto" w:sz="4" w:space="0"/>
                  </w:tcBorders>
                  <w:noWrap w:val="0"/>
                  <w:vAlign w:val="center"/>
                </w:tcPr>
                <w:p w14:paraId="45447677">
                  <w:pPr>
                    <w:jc w:val="center"/>
                    <w:rPr>
                      <w:b/>
                      <w:bCs/>
                      <w:color w:val="auto"/>
                      <w:sz w:val="21"/>
                      <w:szCs w:val="21"/>
                      <w:lang w:val="en-US" w:eastAsia="zh-CN"/>
                    </w:rPr>
                  </w:pPr>
                  <w:r>
                    <w:rPr>
                      <w:rFonts w:hint="default" w:ascii="Times New Roman" w:hAnsi="Times New Roman" w:cs="Times New Roman"/>
                      <w:b/>
                      <w:bCs/>
                      <w:color w:val="auto"/>
                      <w:kern w:val="2"/>
                      <w:sz w:val="21"/>
                      <w:szCs w:val="21"/>
                      <w:highlight w:val="none"/>
                    </w:rPr>
                    <w:t>无组织排放监控浓度限值</w:t>
                  </w:r>
                </w:p>
              </w:tc>
            </w:tr>
            <w:tr w14:paraId="0269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936" w:type="dxa"/>
                  <w:vMerge w:val="continue"/>
                  <w:tcBorders>
                    <w:left w:val="single" w:color="auto" w:sz="4" w:space="0"/>
                    <w:bottom w:val="single" w:color="auto" w:sz="4" w:space="0"/>
                    <w:right w:val="single" w:color="auto" w:sz="4" w:space="0"/>
                  </w:tcBorders>
                  <w:noWrap w:val="0"/>
                  <w:vAlign w:val="center"/>
                </w:tcPr>
                <w:p w14:paraId="3AE2E46F">
                  <w:pPr>
                    <w:pStyle w:val="10"/>
                    <w:spacing w:before="0" w:after="0"/>
                    <w:jc w:val="center"/>
                    <w:rPr>
                      <w:b/>
                      <w:bCs/>
                      <w:color w:val="auto"/>
                      <w:sz w:val="21"/>
                      <w:szCs w:val="21"/>
                      <w:lang w:val="en-US" w:eastAsia="zh-CN"/>
                    </w:rPr>
                  </w:pPr>
                </w:p>
              </w:tc>
              <w:tc>
                <w:tcPr>
                  <w:tcW w:w="3228" w:type="dxa"/>
                  <w:tcBorders>
                    <w:top w:val="single" w:color="auto" w:sz="4" w:space="0"/>
                    <w:left w:val="single" w:color="auto" w:sz="4" w:space="0"/>
                    <w:bottom w:val="single" w:color="auto" w:sz="4" w:space="0"/>
                    <w:right w:val="single" w:color="auto" w:sz="4" w:space="0"/>
                  </w:tcBorders>
                  <w:noWrap w:val="0"/>
                  <w:vAlign w:val="center"/>
                </w:tcPr>
                <w:p w14:paraId="622F6876">
                  <w:pPr>
                    <w:jc w:val="center"/>
                    <w:rPr>
                      <w:b/>
                      <w:bCs/>
                      <w:color w:val="auto"/>
                      <w:sz w:val="21"/>
                      <w:szCs w:val="21"/>
                      <w:lang w:val="en-US" w:eastAsia="zh-CN"/>
                    </w:rPr>
                  </w:pPr>
                  <w:r>
                    <w:rPr>
                      <w:rFonts w:hint="default" w:ascii="Times New Roman" w:hAnsi="Times New Roman" w:cs="Times New Roman"/>
                      <w:b/>
                      <w:bCs/>
                      <w:color w:val="auto"/>
                      <w:kern w:val="2"/>
                      <w:sz w:val="21"/>
                      <w:szCs w:val="21"/>
                      <w:highlight w:val="none"/>
                    </w:rPr>
                    <w:t>监控点</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522922EE">
                  <w:pPr>
                    <w:jc w:val="center"/>
                    <w:rPr>
                      <w:b/>
                      <w:bCs/>
                      <w:color w:val="auto"/>
                      <w:sz w:val="21"/>
                      <w:szCs w:val="21"/>
                      <w:lang w:val="en-US" w:eastAsia="zh-CN"/>
                    </w:rPr>
                  </w:pPr>
                  <w:r>
                    <w:rPr>
                      <w:rFonts w:hint="default" w:ascii="Times New Roman" w:hAnsi="Times New Roman" w:cs="Times New Roman"/>
                      <w:b/>
                      <w:bCs/>
                      <w:color w:val="auto"/>
                      <w:kern w:val="2"/>
                      <w:sz w:val="21"/>
                      <w:szCs w:val="21"/>
                      <w:highlight w:val="none"/>
                    </w:rPr>
                    <w:t>浓度(mg/m</w:t>
                  </w:r>
                  <w:r>
                    <w:rPr>
                      <w:rFonts w:hint="default" w:ascii="Times New Roman" w:hAnsi="Times New Roman" w:cs="Times New Roman"/>
                      <w:b/>
                      <w:bCs/>
                      <w:color w:val="auto"/>
                      <w:kern w:val="2"/>
                      <w:sz w:val="21"/>
                      <w:szCs w:val="21"/>
                      <w:highlight w:val="none"/>
                      <w:vertAlign w:val="superscript"/>
                    </w:rPr>
                    <w:t>3</w:t>
                  </w:r>
                  <w:r>
                    <w:rPr>
                      <w:rFonts w:hint="default" w:ascii="Times New Roman" w:hAnsi="Times New Roman" w:cs="Times New Roman"/>
                      <w:b/>
                      <w:bCs/>
                      <w:color w:val="auto"/>
                      <w:kern w:val="2"/>
                      <w:sz w:val="21"/>
                      <w:szCs w:val="21"/>
                      <w:highlight w:val="none"/>
                    </w:rPr>
                    <w:t>)</w:t>
                  </w:r>
                </w:p>
              </w:tc>
            </w:tr>
            <w:tr w14:paraId="1C09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936" w:type="dxa"/>
                  <w:tcBorders>
                    <w:top w:val="single" w:color="auto" w:sz="4" w:space="0"/>
                    <w:left w:val="single" w:color="auto" w:sz="4" w:space="0"/>
                    <w:bottom w:val="single" w:color="auto" w:sz="4" w:space="0"/>
                    <w:right w:val="single" w:color="auto" w:sz="4" w:space="0"/>
                  </w:tcBorders>
                  <w:noWrap w:val="0"/>
                  <w:vAlign w:val="center"/>
                </w:tcPr>
                <w:p w14:paraId="6DDA1C62">
                  <w:pPr>
                    <w:pStyle w:val="10"/>
                    <w:spacing w:before="0" w:after="0"/>
                    <w:jc w:val="center"/>
                    <w:rPr>
                      <w:color w:val="auto"/>
                      <w:sz w:val="21"/>
                      <w:szCs w:val="21"/>
                      <w:lang w:val="en-US" w:eastAsia="zh-CN"/>
                    </w:rPr>
                  </w:pPr>
                  <w:r>
                    <w:rPr>
                      <w:color w:val="auto"/>
                      <w:sz w:val="21"/>
                      <w:szCs w:val="21"/>
                      <w:lang w:val="en-US" w:eastAsia="zh-CN"/>
                    </w:rPr>
                    <w:t>颗粒物</w:t>
                  </w:r>
                </w:p>
              </w:tc>
              <w:tc>
                <w:tcPr>
                  <w:tcW w:w="3228" w:type="dxa"/>
                  <w:tcBorders>
                    <w:top w:val="single" w:color="auto" w:sz="4" w:space="0"/>
                    <w:left w:val="single" w:color="auto" w:sz="4" w:space="0"/>
                    <w:bottom w:val="single" w:color="auto" w:sz="4" w:space="0"/>
                    <w:right w:val="single" w:color="auto" w:sz="4" w:space="0"/>
                  </w:tcBorders>
                  <w:noWrap w:val="0"/>
                  <w:vAlign w:val="center"/>
                </w:tcPr>
                <w:p w14:paraId="6C767436">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Cs w:val="21"/>
                      <w:highlight w:val="none"/>
                    </w:rPr>
                    <w:t>周界外浓度最高点</w:t>
                  </w:r>
                </w:p>
              </w:tc>
              <w:tc>
                <w:tcPr>
                  <w:tcW w:w="2775" w:type="dxa"/>
                  <w:tcBorders>
                    <w:top w:val="single" w:color="auto" w:sz="4" w:space="0"/>
                    <w:left w:val="single" w:color="auto" w:sz="4" w:space="0"/>
                    <w:right w:val="single" w:color="auto" w:sz="4" w:space="0"/>
                  </w:tcBorders>
                  <w:noWrap w:val="0"/>
                  <w:vAlign w:val="center"/>
                </w:tcPr>
                <w:p w14:paraId="508F1A3B">
                  <w:pPr>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1.0</w:t>
                  </w:r>
                </w:p>
              </w:tc>
            </w:tr>
          </w:tbl>
          <w:p w14:paraId="3F755CCC">
            <w:pPr>
              <w:spacing w:line="360" w:lineRule="auto"/>
              <w:ind w:firstLine="354" w:firstLineChars="147"/>
              <w:rPr>
                <w:rFonts w:hint="default"/>
                <w:b/>
                <w:bCs/>
                <w:color w:val="auto"/>
                <w:sz w:val="24"/>
                <w:szCs w:val="24"/>
                <w:lang w:val="en-US" w:eastAsia="zh-CN"/>
              </w:rPr>
            </w:pPr>
            <w:r>
              <w:rPr>
                <w:rFonts w:hint="eastAsia"/>
                <w:b/>
                <w:bCs/>
                <w:color w:val="auto"/>
                <w:sz w:val="24"/>
                <w:szCs w:val="24"/>
                <w:lang w:val="en-US" w:eastAsia="zh-CN"/>
              </w:rPr>
              <w:t>（3）异味</w:t>
            </w:r>
          </w:p>
          <w:p w14:paraId="109F1025">
            <w:pPr>
              <w:spacing w:line="360" w:lineRule="auto"/>
              <w:ind w:firstLine="352" w:firstLineChars="147"/>
              <w:rPr>
                <w:color w:val="auto"/>
                <w:sz w:val="24"/>
              </w:rPr>
            </w:pPr>
            <w:r>
              <w:rPr>
                <w:color w:val="auto"/>
                <w:sz w:val="24"/>
              </w:rPr>
              <w:t>运营期</w:t>
            </w:r>
            <w:r>
              <w:rPr>
                <w:rFonts w:hint="eastAsia"/>
                <w:color w:val="auto"/>
                <w:sz w:val="24"/>
                <w:lang w:val="en-US" w:eastAsia="zh-CN"/>
              </w:rPr>
              <w:t>产生的废果</w:t>
            </w:r>
            <w:r>
              <w:rPr>
                <w:rFonts w:hint="eastAsia"/>
                <w:color w:val="auto"/>
                <w:sz w:val="24"/>
              </w:rPr>
              <w:t>、</w:t>
            </w:r>
            <w:r>
              <w:rPr>
                <w:rFonts w:hint="eastAsia"/>
                <w:color w:val="auto"/>
                <w:sz w:val="24"/>
                <w:lang w:val="en-US" w:eastAsia="zh-CN"/>
              </w:rPr>
              <w:t>废</w:t>
            </w:r>
            <w:r>
              <w:rPr>
                <w:rFonts w:hint="eastAsia"/>
                <w:color w:val="auto"/>
                <w:sz w:val="24"/>
              </w:rPr>
              <w:t>果皮</w:t>
            </w:r>
            <w:r>
              <w:rPr>
                <w:rFonts w:hint="eastAsia"/>
                <w:color w:val="auto"/>
                <w:sz w:val="24"/>
                <w:lang w:val="en-US" w:eastAsia="zh-CN"/>
              </w:rPr>
              <w:t>等</w:t>
            </w:r>
            <w:r>
              <w:rPr>
                <w:color w:val="auto"/>
                <w:sz w:val="24"/>
              </w:rPr>
              <w:t>产生的异味</w:t>
            </w:r>
            <w:r>
              <w:rPr>
                <w:rFonts w:hint="eastAsia"/>
                <w:color w:val="auto"/>
                <w:sz w:val="24"/>
                <w:lang w:val="en-US" w:eastAsia="zh-CN"/>
              </w:rPr>
              <w:t>及一体化污水处理站产生的废气</w:t>
            </w:r>
            <w:r>
              <w:rPr>
                <w:color w:val="auto"/>
                <w:sz w:val="24"/>
              </w:rPr>
              <w:t>参照执行《恶臭污染物排放标准》（GB14554-93）表1的二级标准，标准限值见下表。</w:t>
            </w:r>
          </w:p>
          <w:p w14:paraId="58587B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val="0"/>
                <w:color w:val="auto"/>
                <w:sz w:val="21"/>
                <w:szCs w:val="21"/>
              </w:rPr>
            </w:pPr>
          </w:p>
          <w:p w14:paraId="09ABC8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val="0"/>
                <w:color w:val="auto"/>
                <w:sz w:val="21"/>
                <w:szCs w:val="21"/>
              </w:rPr>
            </w:pPr>
            <w:r>
              <w:rPr>
                <w:b/>
                <w:bCs w:val="0"/>
                <w:color w:val="auto"/>
                <w:sz w:val="21"/>
                <w:szCs w:val="21"/>
              </w:rPr>
              <w:t>表3-</w:t>
            </w:r>
            <w:r>
              <w:rPr>
                <w:rFonts w:hint="eastAsia"/>
                <w:b/>
                <w:bCs w:val="0"/>
                <w:color w:val="auto"/>
                <w:sz w:val="21"/>
                <w:szCs w:val="21"/>
                <w:lang w:val="en-US" w:eastAsia="zh-CN"/>
              </w:rPr>
              <w:t>9</w:t>
            </w:r>
            <w:r>
              <w:rPr>
                <w:b/>
                <w:bCs w:val="0"/>
                <w:color w:val="auto"/>
                <w:sz w:val="21"/>
                <w:szCs w:val="21"/>
              </w:rPr>
              <w:t xml:space="preserve">  恶臭污染物排放标准</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55"/>
              <w:gridCol w:w="2656"/>
              <w:gridCol w:w="2664"/>
            </w:tblGrid>
            <w:tr w14:paraId="18ED8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2610" w:type="dxa"/>
                  <w:vAlign w:val="top"/>
                </w:tcPr>
                <w:p w14:paraId="5BAF10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Cs w:val="21"/>
                    </w:rPr>
                  </w:pPr>
                  <w:r>
                    <w:rPr>
                      <w:b/>
                      <w:bCs/>
                      <w:color w:val="auto"/>
                      <w:szCs w:val="21"/>
                    </w:rPr>
                    <w:t>项目</w:t>
                  </w:r>
                </w:p>
              </w:tc>
              <w:tc>
                <w:tcPr>
                  <w:tcW w:w="2611" w:type="dxa"/>
                  <w:vAlign w:val="top"/>
                </w:tcPr>
                <w:p w14:paraId="21173E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Cs w:val="21"/>
                    </w:rPr>
                  </w:pPr>
                  <w:r>
                    <w:rPr>
                      <w:b/>
                      <w:bCs/>
                      <w:color w:val="auto"/>
                      <w:szCs w:val="21"/>
                    </w:rPr>
                    <w:t>单位</w:t>
                  </w:r>
                </w:p>
              </w:tc>
              <w:tc>
                <w:tcPr>
                  <w:tcW w:w="2618" w:type="dxa"/>
                  <w:vAlign w:val="top"/>
                </w:tcPr>
                <w:p w14:paraId="496116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Cs w:val="21"/>
                    </w:rPr>
                  </w:pPr>
                  <w:r>
                    <w:rPr>
                      <w:b/>
                      <w:bCs/>
                      <w:color w:val="auto"/>
                      <w:szCs w:val="21"/>
                    </w:rPr>
                    <w:t>标准限值</w:t>
                  </w:r>
                </w:p>
              </w:tc>
            </w:tr>
            <w:tr w14:paraId="14C4B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2610" w:type="dxa"/>
                  <w:vAlign w:val="top"/>
                </w:tcPr>
                <w:p w14:paraId="090F67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szCs w:val="21"/>
                      <w:lang w:val="en-US" w:eastAsia="zh-CN"/>
                    </w:rPr>
                  </w:pPr>
                  <w:r>
                    <w:rPr>
                      <w:rFonts w:hint="eastAsia"/>
                      <w:b w:val="0"/>
                      <w:bCs w:val="0"/>
                      <w:color w:val="auto"/>
                      <w:szCs w:val="21"/>
                      <w:lang w:val="en-US" w:eastAsia="zh-CN"/>
                    </w:rPr>
                    <w:t>氨</w:t>
                  </w:r>
                </w:p>
              </w:tc>
              <w:tc>
                <w:tcPr>
                  <w:tcW w:w="2611" w:type="dxa"/>
                  <w:vAlign w:val="top"/>
                </w:tcPr>
                <w:p w14:paraId="1F675C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mg/m</w:t>
                  </w:r>
                  <w:r>
                    <w:rPr>
                      <w:rFonts w:hint="eastAsia"/>
                      <w:b w:val="0"/>
                      <w:bCs w:val="0"/>
                      <w:color w:val="auto"/>
                      <w:szCs w:val="21"/>
                      <w:vertAlign w:val="superscript"/>
                      <w:lang w:val="en-US" w:eastAsia="zh-CN"/>
                    </w:rPr>
                    <w:t>3</w:t>
                  </w:r>
                </w:p>
              </w:tc>
              <w:tc>
                <w:tcPr>
                  <w:tcW w:w="2618" w:type="dxa"/>
                  <w:vAlign w:val="top"/>
                </w:tcPr>
                <w:p w14:paraId="32CCB4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1.5</w:t>
                  </w:r>
                </w:p>
              </w:tc>
            </w:tr>
            <w:tr w14:paraId="2FABF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2610" w:type="dxa"/>
                  <w:vAlign w:val="top"/>
                </w:tcPr>
                <w:p w14:paraId="3428FA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szCs w:val="21"/>
                      <w:lang w:val="en-US" w:eastAsia="zh-CN"/>
                    </w:rPr>
                  </w:pPr>
                  <w:r>
                    <w:rPr>
                      <w:rFonts w:hint="eastAsia"/>
                      <w:b w:val="0"/>
                      <w:bCs w:val="0"/>
                      <w:color w:val="auto"/>
                      <w:szCs w:val="21"/>
                      <w:lang w:val="en-US" w:eastAsia="zh-CN"/>
                    </w:rPr>
                    <w:t>硫化氢</w:t>
                  </w:r>
                </w:p>
              </w:tc>
              <w:tc>
                <w:tcPr>
                  <w:tcW w:w="2611" w:type="dxa"/>
                  <w:vAlign w:val="top"/>
                </w:tcPr>
                <w:p w14:paraId="59A7F9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szCs w:val="21"/>
                    </w:rPr>
                  </w:pPr>
                  <w:r>
                    <w:rPr>
                      <w:rFonts w:hint="eastAsia"/>
                      <w:b w:val="0"/>
                      <w:bCs w:val="0"/>
                      <w:color w:val="auto"/>
                      <w:szCs w:val="21"/>
                      <w:lang w:val="en-US" w:eastAsia="zh-CN"/>
                    </w:rPr>
                    <w:t>mg/m</w:t>
                  </w:r>
                  <w:r>
                    <w:rPr>
                      <w:rFonts w:hint="eastAsia"/>
                      <w:b w:val="0"/>
                      <w:bCs w:val="0"/>
                      <w:color w:val="auto"/>
                      <w:szCs w:val="21"/>
                      <w:vertAlign w:val="superscript"/>
                      <w:lang w:val="en-US" w:eastAsia="zh-CN"/>
                    </w:rPr>
                    <w:t>3</w:t>
                  </w:r>
                </w:p>
              </w:tc>
              <w:tc>
                <w:tcPr>
                  <w:tcW w:w="2618" w:type="dxa"/>
                  <w:vAlign w:val="top"/>
                </w:tcPr>
                <w:p w14:paraId="54B671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0.06</w:t>
                  </w:r>
                </w:p>
              </w:tc>
            </w:tr>
            <w:tr w14:paraId="0DD84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2610" w:type="dxa"/>
                  <w:vAlign w:val="top"/>
                </w:tcPr>
                <w:p w14:paraId="7424AF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lang w:val="en-US" w:eastAsia="zh-CN"/>
                    </w:rPr>
                    <w:t>臭气</w:t>
                  </w:r>
                  <w:r>
                    <w:rPr>
                      <w:color w:val="auto"/>
                      <w:szCs w:val="21"/>
                    </w:rPr>
                    <w:t>浓度</w:t>
                  </w:r>
                </w:p>
              </w:tc>
              <w:tc>
                <w:tcPr>
                  <w:tcW w:w="2611" w:type="dxa"/>
                  <w:vAlign w:val="top"/>
                </w:tcPr>
                <w:p w14:paraId="2982EE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无量纲</w:t>
                  </w:r>
                </w:p>
              </w:tc>
              <w:tc>
                <w:tcPr>
                  <w:tcW w:w="2618" w:type="dxa"/>
                  <w:vAlign w:val="top"/>
                </w:tcPr>
                <w:p w14:paraId="129B7E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≤20</w:t>
                  </w:r>
                </w:p>
              </w:tc>
            </w:tr>
          </w:tbl>
          <w:p w14:paraId="0D91D802">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b/>
                <w:color w:val="auto"/>
                <w:sz w:val="24"/>
              </w:rPr>
            </w:pPr>
            <w:r>
              <w:rPr>
                <w:rFonts w:hint="eastAsia"/>
                <w:b/>
                <w:bCs/>
                <w:color w:val="auto"/>
                <w:sz w:val="24"/>
                <w:lang w:val="en-US" w:eastAsia="zh-CN"/>
              </w:rPr>
              <w:t>2、</w:t>
            </w:r>
            <w:r>
              <w:rPr>
                <w:rFonts w:hint="eastAsia"/>
                <w:b/>
                <w:bCs/>
                <w:color w:val="auto"/>
                <w:sz w:val="24"/>
              </w:rPr>
              <w:t>水污染物排放标准</w:t>
            </w:r>
          </w:p>
          <w:p w14:paraId="3CE7BEB2">
            <w:pPr>
              <w:adjustRightInd w:val="0"/>
              <w:snapToGrid w:val="0"/>
              <w:spacing w:line="360" w:lineRule="auto"/>
              <w:ind w:firstLine="480" w:firstLineChars="200"/>
              <w:rPr>
                <w:color w:val="auto"/>
                <w:sz w:val="24"/>
              </w:rPr>
            </w:pPr>
            <w:r>
              <w:rPr>
                <w:color w:val="auto"/>
                <w:sz w:val="24"/>
                <w:szCs w:val="24"/>
                <w:highlight w:val="none"/>
              </w:rPr>
              <w:t>项目实行雨污分流，雨水经雨水管网收集后排入</w:t>
            </w:r>
            <w:r>
              <w:rPr>
                <w:rFonts w:hint="eastAsia"/>
                <w:color w:val="auto"/>
                <w:sz w:val="24"/>
                <w:szCs w:val="24"/>
                <w:highlight w:val="none"/>
                <w:lang w:val="en-US" w:eastAsia="zh-CN"/>
              </w:rPr>
              <w:t>园区</w:t>
            </w:r>
            <w:r>
              <w:rPr>
                <w:color w:val="auto"/>
                <w:sz w:val="24"/>
                <w:szCs w:val="24"/>
                <w:highlight w:val="none"/>
              </w:rPr>
              <w:t>雨水管网；</w:t>
            </w:r>
            <w:r>
              <w:rPr>
                <w:rFonts w:hint="eastAsia"/>
                <w:color w:val="auto"/>
                <w:sz w:val="24"/>
                <w:szCs w:val="24"/>
                <w:highlight w:val="none"/>
                <w:lang w:val="en-US" w:eastAsia="zh-CN"/>
              </w:rPr>
              <w:t>项目纯水制备系统浓水、反冲洗废水、水果清洗废水、生产车间地面清洗废水、实验器皿清洗废水、锅炉排水经沉淀池</w:t>
            </w:r>
            <w:r>
              <w:rPr>
                <w:rFonts w:hint="eastAsia" w:cs="Times New Roman"/>
                <w:color w:val="auto"/>
                <w:kern w:val="0"/>
                <w:sz w:val="24"/>
                <w:szCs w:val="24"/>
                <w:highlight w:val="none"/>
                <w:lang w:val="en-US" w:eastAsia="zh-CN" w:bidi="ar"/>
              </w:rPr>
              <w:t>（</w:t>
            </w:r>
            <w:r>
              <w:rPr>
                <w:rFonts w:hint="eastAsia" w:ascii="Times New Roman" w:hAnsi="Times New Roman"/>
                <w:color w:val="auto"/>
                <w:sz w:val="24"/>
                <w:szCs w:val="24"/>
                <w:highlight w:val="none"/>
                <w:lang w:val="en-US" w:eastAsia="zh-CN"/>
              </w:rPr>
              <w:t>调节+气浮沉淀</w:t>
            </w:r>
            <w:r>
              <w:rPr>
                <w:rFonts w:hint="eastAsia"/>
                <w:color w:val="auto"/>
                <w:sz w:val="24"/>
                <w:szCs w:val="24"/>
                <w:highlight w:val="none"/>
                <w:lang w:val="en-US" w:eastAsia="zh-CN"/>
              </w:rPr>
              <w:t>）处理，CIP清洗系统设备清洗废水、化验室废水经自建一体化污水处理站处理，生产废水处理达标后经生产废水总排口排入</w:t>
            </w:r>
            <w:r>
              <w:rPr>
                <w:color w:val="auto"/>
                <w:sz w:val="24"/>
                <w:szCs w:val="24"/>
                <w:highlight w:val="none"/>
              </w:rPr>
              <w:t>元江工业园区MBR膜一体化300m</w:t>
            </w:r>
            <w:r>
              <w:rPr>
                <w:color w:val="auto"/>
                <w:sz w:val="24"/>
                <w:szCs w:val="24"/>
                <w:highlight w:val="none"/>
                <w:vertAlign w:val="superscript"/>
              </w:rPr>
              <w:t>3</w:t>
            </w:r>
            <w:r>
              <w:rPr>
                <w:color w:val="auto"/>
                <w:sz w:val="24"/>
                <w:szCs w:val="24"/>
                <w:highlight w:val="none"/>
              </w:rPr>
              <w:t>/d过渡式污水处理站处理</w:t>
            </w:r>
            <w:r>
              <w:rPr>
                <w:rFonts w:hint="eastAsia"/>
                <w:color w:val="auto"/>
                <w:sz w:val="24"/>
                <w:szCs w:val="24"/>
                <w:highlight w:val="none"/>
                <w:lang w:eastAsia="zh-CN"/>
              </w:rPr>
              <w:t>。</w:t>
            </w:r>
            <w:r>
              <w:rPr>
                <w:rFonts w:hint="eastAsia"/>
                <w:color w:val="auto"/>
                <w:sz w:val="24"/>
                <w:szCs w:val="24"/>
                <w:highlight w:val="none"/>
                <w:lang w:val="en-US" w:eastAsia="zh-CN"/>
              </w:rPr>
              <w:t>项目外排生产废水执行《食品加工制造业水污染物排放标准》（GB 46817-2025）表1间接排放标准，同时满足</w:t>
            </w:r>
            <w:r>
              <w:rPr>
                <w:color w:val="auto"/>
                <w:sz w:val="24"/>
                <w:szCs w:val="24"/>
                <w:highlight w:val="none"/>
              </w:rPr>
              <w:t>元江工业园区MBR膜一体化300m</w:t>
            </w:r>
            <w:r>
              <w:rPr>
                <w:color w:val="auto"/>
                <w:sz w:val="24"/>
                <w:szCs w:val="24"/>
                <w:highlight w:val="none"/>
                <w:vertAlign w:val="superscript"/>
              </w:rPr>
              <w:t>3</w:t>
            </w:r>
            <w:r>
              <w:rPr>
                <w:color w:val="auto"/>
                <w:sz w:val="24"/>
                <w:szCs w:val="24"/>
                <w:highlight w:val="none"/>
              </w:rPr>
              <w:t>/d过渡式污水处理站</w:t>
            </w:r>
            <w:r>
              <w:rPr>
                <w:rFonts w:hint="eastAsia"/>
                <w:color w:val="auto"/>
                <w:sz w:val="24"/>
                <w:szCs w:val="24"/>
                <w:highlight w:val="none"/>
                <w:lang w:val="en-US" w:eastAsia="zh-CN"/>
              </w:rPr>
              <w:t>接管标准要求，即</w:t>
            </w:r>
            <w:r>
              <w:rPr>
                <w:rFonts w:hint="default" w:ascii="Times New Roman" w:hAnsi="Times New Roman" w:cs="Times New Roman"/>
                <w:b w:val="0"/>
                <w:bCs w:val="0"/>
                <w:color w:val="auto"/>
                <w:sz w:val="24"/>
                <w:szCs w:val="24"/>
              </w:rPr>
              <w:t>《污水综合排放标准》（GB8978-1996）</w:t>
            </w:r>
            <w:r>
              <w:rPr>
                <w:rFonts w:hint="eastAsia" w:ascii="Times New Roman" w:hAnsi="Times New Roman" w:cs="Times New Roman"/>
                <w:b w:val="0"/>
                <w:bCs w:val="0"/>
                <w:color w:val="auto"/>
                <w:sz w:val="24"/>
                <w:szCs w:val="24"/>
                <w:lang w:val="en-US" w:eastAsia="zh-CN"/>
              </w:rPr>
              <w:t>三级标准</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氨氮、总磷</w:t>
            </w:r>
            <w:r>
              <w:rPr>
                <w:rFonts w:hint="eastAsia" w:cs="Times New Roman"/>
                <w:b w:val="0"/>
                <w:bCs w:val="0"/>
                <w:color w:val="auto"/>
                <w:sz w:val="24"/>
                <w:szCs w:val="24"/>
                <w:lang w:val="en-US" w:eastAsia="zh-CN"/>
              </w:rPr>
              <w:t>、总氮</w:t>
            </w:r>
            <w:r>
              <w:rPr>
                <w:rFonts w:hint="eastAsia" w:ascii="Times New Roman" w:hAnsi="Times New Roman" w:cs="Times New Roman"/>
                <w:b w:val="0"/>
                <w:bCs w:val="0"/>
                <w:color w:val="auto"/>
                <w:sz w:val="24"/>
                <w:szCs w:val="24"/>
                <w:lang w:val="en-US" w:eastAsia="zh-CN"/>
              </w:rPr>
              <w:t>达到</w:t>
            </w:r>
            <w:r>
              <w:rPr>
                <w:color w:val="auto"/>
                <w:sz w:val="24"/>
                <w:szCs w:val="24"/>
                <w:highlight w:val="none"/>
              </w:rPr>
              <w:t>《</w:t>
            </w:r>
            <w:r>
              <w:rPr>
                <w:bCs/>
                <w:color w:val="auto"/>
                <w:sz w:val="24"/>
                <w:szCs w:val="24"/>
                <w:highlight w:val="none"/>
              </w:rPr>
              <w:t>污水排入城镇下水道水质标准</w:t>
            </w:r>
            <w:r>
              <w:rPr>
                <w:color w:val="auto"/>
                <w:sz w:val="24"/>
                <w:szCs w:val="24"/>
                <w:highlight w:val="none"/>
              </w:rPr>
              <w:t>》（</w:t>
            </w:r>
            <w:r>
              <w:rPr>
                <w:bCs/>
                <w:color w:val="auto"/>
                <w:sz w:val="24"/>
                <w:szCs w:val="24"/>
                <w:highlight w:val="none"/>
              </w:rPr>
              <w:t>GB/T31962-2015</w:t>
            </w:r>
            <w:r>
              <w:rPr>
                <w:color w:val="auto"/>
                <w:sz w:val="24"/>
                <w:szCs w:val="24"/>
                <w:highlight w:val="none"/>
              </w:rPr>
              <w:t>）</w:t>
            </w:r>
            <w:r>
              <w:rPr>
                <w:bCs/>
                <w:color w:val="auto"/>
                <w:sz w:val="24"/>
                <w:szCs w:val="24"/>
                <w:highlight w:val="none"/>
              </w:rPr>
              <w:t>B等级标准</w:t>
            </w:r>
            <w:r>
              <w:rPr>
                <w:rFonts w:hint="eastAsia"/>
                <w:bCs/>
                <w:color w:val="auto"/>
                <w:sz w:val="24"/>
                <w:szCs w:val="24"/>
                <w:highlight w:val="none"/>
                <w:lang w:val="en-US" w:eastAsia="zh-CN"/>
              </w:rPr>
              <w:t>。</w:t>
            </w:r>
            <w:r>
              <w:rPr>
                <w:color w:val="auto"/>
                <w:sz w:val="24"/>
              </w:rPr>
              <w:t>具体见</w:t>
            </w:r>
            <w:r>
              <w:rPr>
                <w:rFonts w:hint="eastAsia"/>
                <w:color w:val="auto"/>
                <w:sz w:val="24"/>
                <w:lang w:val="en-US" w:eastAsia="zh-CN"/>
              </w:rPr>
              <w:t>下表</w:t>
            </w:r>
            <w:r>
              <w:rPr>
                <w:color w:val="auto"/>
                <w:sz w:val="24"/>
              </w:rPr>
              <w:t>。</w:t>
            </w:r>
          </w:p>
          <w:p w14:paraId="0CA211D6">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eastAsia" w:eastAsia="宋体"/>
                <w:b/>
                <w:color w:val="auto"/>
                <w:szCs w:val="21"/>
                <w:lang w:eastAsia="zh-CN"/>
              </w:rPr>
            </w:pPr>
            <w:r>
              <w:rPr>
                <w:b/>
                <w:color w:val="auto"/>
                <w:szCs w:val="21"/>
              </w:rPr>
              <w:t>表3-</w:t>
            </w:r>
            <w:r>
              <w:rPr>
                <w:rFonts w:hint="eastAsia"/>
                <w:b/>
                <w:color w:val="auto"/>
                <w:szCs w:val="21"/>
                <w:lang w:val="en-US" w:eastAsia="zh-CN"/>
              </w:rPr>
              <w:t>10</w:t>
            </w:r>
            <w:r>
              <w:rPr>
                <w:b/>
                <w:color w:val="auto"/>
                <w:szCs w:val="21"/>
              </w:rPr>
              <w:t xml:space="preserve"> </w:t>
            </w:r>
            <w:r>
              <w:rPr>
                <w:rFonts w:hint="eastAsia"/>
                <w:b/>
                <w:color w:val="auto"/>
                <w:szCs w:val="21"/>
                <w:lang w:val="en-US" w:eastAsia="zh-CN"/>
              </w:rPr>
              <w:t>废水排放标准</w:t>
            </w:r>
            <w:r>
              <w:rPr>
                <w:b/>
                <w:color w:val="auto"/>
                <w:szCs w:val="21"/>
              </w:rPr>
              <w:t xml:space="preserve">    单位：mg/L</w:t>
            </w:r>
            <w:r>
              <w:rPr>
                <w:rFonts w:hint="eastAsia"/>
                <w:b/>
                <w:color w:val="auto"/>
                <w:szCs w:val="21"/>
                <w:lang w:eastAsia="zh-CN"/>
              </w:rPr>
              <w:t>（pH</w:t>
            </w:r>
            <w:r>
              <w:rPr>
                <w:rFonts w:hint="eastAsia"/>
                <w:b/>
                <w:color w:val="auto"/>
                <w:szCs w:val="21"/>
                <w:lang w:val="en-US" w:eastAsia="zh-CN"/>
              </w:rPr>
              <w:t>值、色度除外</w:t>
            </w:r>
            <w:r>
              <w:rPr>
                <w:rFonts w:hint="eastAsia"/>
                <w:b/>
                <w:color w:val="auto"/>
                <w:szCs w:val="21"/>
                <w:lang w:eastAsia="zh-CN"/>
              </w:rPr>
              <w:t>）</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152"/>
              <w:gridCol w:w="2074"/>
              <w:gridCol w:w="1508"/>
              <w:gridCol w:w="1893"/>
              <w:gridCol w:w="886"/>
            </w:tblGrid>
            <w:tr w14:paraId="3BB6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restart"/>
                  <w:noWrap w:val="0"/>
                  <w:vAlign w:val="center"/>
                </w:tcPr>
                <w:p w14:paraId="0D326A3B">
                  <w:pPr>
                    <w:pStyle w:val="2"/>
                    <w:pageBreakBefore w:val="0"/>
                    <w:kinsoku/>
                    <w:overflowPunct/>
                    <w:bidi w:val="0"/>
                    <w:adjustRightInd w:val="0"/>
                    <w:snapToGrid w:val="0"/>
                    <w:spacing w:after="0"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722" w:type="pct"/>
                  <w:vMerge w:val="restart"/>
                  <w:noWrap w:val="0"/>
                  <w:vAlign w:val="center"/>
                </w:tcPr>
                <w:p w14:paraId="27F18DAB">
                  <w:pPr>
                    <w:pStyle w:val="2"/>
                    <w:pageBreakBefore w:val="0"/>
                    <w:kinsoku/>
                    <w:overflowPunct/>
                    <w:bidi w:val="0"/>
                    <w:adjustRightInd w:val="0"/>
                    <w:snapToGrid w:val="0"/>
                    <w:spacing w:after="0" w:line="240" w:lineRule="auto"/>
                    <w:ind w:left="0" w:leftChars="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3989" w:type="pct"/>
                  <w:gridSpan w:val="4"/>
                  <w:noWrap w:val="0"/>
                  <w:vAlign w:val="center"/>
                </w:tcPr>
                <w:p w14:paraId="623BFAC8">
                  <w:pPr>
                    <w:pStyle w:val="2"/>
                    <w:pageBreakBefore w:val="0"/>
                    <w:kinsoku/>
                    <w:overflowPunct/>
                    <w:bidi w:val="0"/>
                    <w:adjustRightInd w:val="0"/>
                    <w:snapToGrid w:val="0"/>
                    <w:spacing w:after="0" w:line="240" w:lineRule="auto"/>
                    <w:ind w:left="0" w:leftChars="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标准限值</w:t>
                  </w:r>
                </w:p>
              </w:tc>
            </w:tr>
            <w:tr w14:paraId="0532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continue"/>
                  <w:noWrap w:val="0"/>
                  <w:vAlign w:val="center"/>
                </w:tcPr>
                <w:p w14:paraId="798CA91D">
                  <w:pPr>
                    <w:pStyle w:val="2"/>
                    <w:pageBreakBefore w:val="0"/>
                    <w:kinsoku/>
                    <w:overflowPunct/>
                    <w:bidi w:val="0"/>
                    <w:adjustRightInd w:val="0"/>
                    <w:snapToGrid w:val="0"/>
                    <w:spacing w:after="0" w:line="240" w:lineRule="auto"/>
                    <w:ind w:left="0" w:leftChars="0" w:firstLine="0" w:firstLineChars="0"/>
                    <w:jc w:val="center"/>
                    <w:rPr>
                      <w:rFonts w:hint="default" w:ascii="Times New Roman" w:hAnsi="Times New Roman" w:eastAsia="宋体" w:cs="Times New Roman"/>
                      <w:b/>
                      <w:bCs/>
                      <w:color w:val="auto"/>
                      <w:sz w:val="21"/>
                      <w:szCs w:val="21"/>
                      <w:highlight w:val="none"/>
                    </w:rPr>
                  </w:pPr>
                </w:p>
              </w:tc>
              <w:tc>
                <w:tcPr>
                  <w:tcW w:w="722" w:type="pct"/>
                  <w:vMerge w:val="continue"/>
                  <w:noWrap w:val="0"/>
                  <w:vAlign w:val="center"/>
                </w:tcPr>
                <w:p w14:paraId="62B4C3B1">
                  <w:pPr>
                    <w:pStyle w:val="2"/>
                    <w:pageBreakBefore w:val="0"/>
                    <w:kinsoku/>
                    <w:overflowPunct/>
                    <w:bidi w:val="0"/>
                    <w:adjustRightInd w:val="0"/>
                    <w:snapToGrid w:val="0"/>
                    <w:spacing w:after="0" w:line="240" w:lineRule="auto"/>
                    <w:ind w:left="0" w:leftChars="0" w:firstLine="0" w:firstLineChars="0"/>
                    <w:jc w:val="center"/>
                    <w:rPr>
                      <w:rFonts w:hint="default" w:ascii="Times New Roman" w:hAnsi="Times New Roman" w:eastAsia="宋体" w:cs="Times New Roman"/>
                      <w:b/>
                      <w:bCs/>
                      <w:color w:val="auto"/>
                      <w:sz w:val="21"/>
                      <w:szCs w:val="21"/>
                      <w:highlight w:val="none"/>
                    </w:rPr>
                  </w:pPr>
                </w:p>
              </w:tc>
              <w:tc>
                <w:tcPr>
                  <w:tcW w:w="1300" w:type="pct"/>
                  <w:noWrap w:val="0"/>
                  <w:vAlign w:val="center"/>
                </w:tcPr>
                <w:p w14:paraId="3409F55C">
                  <w:pPr>
                    <w:pStyle w:val="2"/>
                    <w:pageBreakBefore w:val="0"/>
                    <w:kinsoku/>
                    <w:overflowPunct/>
                    <w:bidi w:val="0"/>
                    <w:adjustRightInd w:val="0"/>
                    <w:snapToGrid w:val="0"/>
                    <w:spacing w:after="0" w:line="240" w:lineRule="auto"/>
                    <w:ind w:left="0" w:lef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《食品加工制造业水污染物排放标准》 （GB 46817-2025）</w:t>
                  </w:r>
                  <w:r>
                    <w:rPr>
                      <w:rFonts w:hint="eastAsia" w:ascii="Times New Roman" w:hAnsi="Times New Roman" w:eastAsia="宋体" w:cs="Times New Roman"/>
                      <w:b/>
                      <w:bCs/>
                      <w:color w:val="auto"/>
                      <w:sz w:val="21"/>
                      <w:szCs w:val="21"/>
                      <w:highlight w:val="none"/>
                      <w:lang w:val="en-US" w:eastAsia="zh-CN"/>
                    </w:rPr>
                    <w:t xml:space="preserve">表1 </w:t>
                  </w:r>
                  <w:r>
                    <w:rPr>
                      <w:rFonts w:hint="default" w:ascii="Times New Roman" w:hAnsi="Times New Roman" w:eastAsia="宋体" w:cs="Times New Roman"/>
                      <w:b/>
                      <w:bCs/>
                      <w:color w:val="auto"/>
                      <w:sz w:val="21"/>
                      <w:szCs w:val="21"/>
                      <w:highlight w:val="none"/>
                    </w:rPr>
                    <w:t>间接排放标准</w:t>
                  </w:r>
                </w:p>
              </w:tc>
              <w:tc>
                <w:tcPr>
                  <w:tcW w:w="945" w:type="pct"/>
                  <w:noWrap w:val="0"/>
                  <w:vAlign w:val="center"/>
                </w:tcPr>
                <w:p w14:paraId="2E653C57">
                  <w:pPr>
                    <w:pStyle w:val="2"/>
                    <w:pageBreakBefore w:val="0"/>
                    <w:kinsoku/>
                    <w:overflowPunct/>
                    <w:bidi w:val="0"/>
                    <w:adjustRightInd w:val="0"/>
                    <w:snapToGrid w:val="0"/>
                    <w:spacing w:after="0" w:line="240" w:lineRule="auto"/>
                    <w:ind w:left="0" w:leftChars="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《污水综合排放标准》（GB8978-1996）三级标准</w:t>
                  </w:r>
                </w:p>
              </w:tc>
              <w:tc>
                <w:tcPr>
                  <w:tcW w:w="1187" w:type="pct"/>
                  <w:noWrap w:val="0"/>
                  <w:vAlign w:val="center"/>
                </w:tcPr>
                <w:p w14:paraId="337DB93C">
                  <w:pPr>
                    <w:pStyle w:val="2"/>
                    <w:pageBreakBefore w:val="0"/>
                    <w:kinsoku/>
                    <w:overflowPunct/>
                    <w:bidi w:val="0"/>
                    <w:adjustRightInd w:val="0"/>
                    <w:snapToGrid w:val="0"/>
                    <w:spacing w:after="0" w:line="240" w:lineRule="auto"/>
                    <w:ind w:left="0" w:leftChars="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《污水排入城镇下水道水质标准》（GB/T31962-2015）</w:t>
                  </w:r>
                  <w:r>
                    <w:rPr>
                      <w:rFonts w:hint="eastAsia" w:ascii="Times New Roman" w:hAnsi="Times New Roman" w:eastAsia="宋体" w:cs="Times New Roman"/>
                      <w:b/>
                      <w:bCs/>
                      <w:color w:val="auto"/>
                      <w:sz w:val="21"/>
                      <w:szCs w:val="21"/>
                      <w:highlight w:val="none"/>
                      <w:lang w:val="en-US" w:eastAsia="zh-CN"/>
                    </w:rPr>
                    <w:t>B</w:t>
                  </w:r>
                  <w:r>
                    <w:rPr>
                      <w:rFonts w:hint="default" w:ascii="Times New Roman" w:hAnsi="Times New Roman" w:eastAsia="宋体" w:cs="Times New Roman"/>
                      <w:b/>
                      <w:bCs/>
                      <w:color w:val="auto"/>
                      <w:sz w:val="21"/>
                      <w:szCs w:val="21"/>
                      <w:highlight w:val="none"/>
                    </w:rPr>
                    <w:t>级标准</w:t>
                  </w:r>
                </w:p>
              </w:tc>
              <w:tc>
                <w:tcPr>
                  <w:tcW w:w="555" w:type="pct"/>
                  <w:noWrap w:val="0"/>
                  <w:vAlign w:val="center"/>
                </w:tcPr>
                <w:p w14:paraId="616E8353">
                  <w:pPr>
                    <w:pStyle w:val="2"/>
                    <w:pageBreakBefore w:val="0"/>
                    <w:kinsoku/>
                    <w:overflowPunct/>
                    <w:bidi w:val="0"/>
                    <w:adjustRightInd w:val="0"/>
                    <w:snapToGrid w:val="0"/>
                    <w:spacing w:after="0"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本项目执行标准限值</w:t>
                  </w:r>
                </w:p>
              </w:tc>
            </w:tr>
            <w:tr w14:paraId="7A412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noWrap w:val="0"/>
                  <w:vAlign w:val="center"/>
                </w:tcPr>
                <w:p w14:paraId="7BF158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eastAsia="宋体" w:cs="Times New Roman"/>
                      <w:caps w:val="0"/>
                      <w:smallCaps w:val="0"/>
                      <w:color w:val="auto"/>
                      <w:sz w:val="21"/>
                      <w:szCs w:val="21"/>
                      <w:highlight w:val="none"/>
                      <w:lang w:val="en-US" w:eastAsia="zh-CN"/>
                    </w:rPr>
                    <w:t>1</w:t>
                  </w:r>
                </w:p>
              </w:tc>
              <w:tc>
                <w:tcPr>
                  <w:tcW w:w="722" w:type="pct"/>
                  <w:noWrap w:val="0"/>
                  <w:vAlign w:val="center"/>
                </w:tcPr>
                <w:p w14:paraId="614F1336">
                  <w:pPr>
                    <w:pageBreakBefore w:val="0"/>
                    <w:kinsoku/>
                    <w:overflowPunct/>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pH</w:t>
                  </w:r>
                  <w:r>
                    <w:rPr>
                      <w:rFonts w:hint="eastAsia" w:ascii="Times New Roman" w:hAnsi="Times New Roman" w:eastAsia="宋体" w:cs="Times New Roman"/>
                      <w:color w:val="auto"/>
                      <w:sz w:val="21"/>
                      <w:szCs w:val="21"/>
                      <w:highlight w:val="none"/>
                      <w:lang w:val="en-US" w:eastAsia="zh-CN"/>
                    </w:rPr>
                    <w:t>值</w:t>
                  </w:r>
                </w:p>
              </w:tc>
              <w:tc>
                <w:tcPr>
                  <w:tcW w:w="1300" w:type="pct"/>
                  <w:noWrap w:val="0"/>
                  <w:vAlign w:val="center"/>
                </w:tcPr>
                <w:p w14:paraId="5292D291">
                  <w:pPr>
                    <w:pageBreakBefore w:val="0"/>
                    <w:kinsoku/>
                    <w:overflowPunct/>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9.0</w:t>
                  </w:r>
                </w:p>
              </w:tc>
              <w:tc>
                <w:tcPr>
                  <w:tcW w:w="945" w:type="pct"/>
                  <w:noWrap w:val="0"/>
                  <w:vAlign w:val="center"/>
                </w:tcPr>
                <w:p w14:paraId="7D30C4FD">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9.0</w:t>
                  </w:r>
                </w:p>
              </w:tc>
              <w:tc>
                <w:tcPr>
                  <w:tcW w:w="1187" w:type="pct"/>
                  <w:noWrap w:val="0"/>
                  <w:vAlign w:val="center"/>
                </w:tcPr>
                <w:p w14:paraId="33C06F02">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55" w:type="pct"/>
                  <w:noWrap w:val="0"/>
                  <w:vAlign w:val="center"/>
                </w:tcPr>
                <w:p w14:paraId="5A7A49E6">
                  <w:pPr>
                    <w:pageBreakBefore w:val="0"/>
                    <w:kinsoku/>
                    <w:overflowPunct/>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9.0</w:t>
                  </w:r>
                </w:p>
              </w:tc>
            </w:tr>
            <w:tr w14:paraId="0480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noWrap w:val="0"/>
                  <w:vAlign w:val="center"/>
                </w:tcPr>
                <w:p w14:paraId="0E70E1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eastAsia="宋体" w:cs="Times New Roman"/>
                      <w:caps w:val="0"/>
                      <w:smallCaps w:val="0"/>
                      <w:color w:val="auto"/>
                      <w:sz w:val="21"/>
                      <w:szCs w:val="21"/>
                      <w:highlight w:val="none"/>
                      <w:lang w:val="en-US" w:eastAsia="zh-CN"/>
                    </w:rPr>
                    <w:t>2</w:t>
                  </w:r>
                </w:p>
              </w:tc>
              <w:tc>
                <w:tcPr>
                  <w:tcW w:w="722" w:type="pct"/>
                  <w:noWrap w:val="0"/>
                  <w:vAlign w:val="center"/>
                </w:tcPr>
                <w:p w14:paraId="53FEA681">
                  <w:pPr>
                    <w:pageBreakBefore w:val="0"/>
                    <w:kinsoku/>
                    <w:overflowPunct/>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色度（稀释倍数）</w:t>
                  </w:r>
                </w:p>
              </w:tc>
              <w:tc>
                <w:tcPr>
                  <w:tcW w:w="1300" w:type="pct"/>
                  <w:noWrap w:val="0"/>
                  <w:vAlign w:val="center"/>
                </w:tcPr>
                <w:p w14:paraId="29F9F6AC">
                  <w:pPr>
                    <w:pageBreakBefore w:val="0"/>
                    <w:kinsoku/>
                    <w:overflowPunct/>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c>
                <w:tcPr>
                  <w:tcW w:w="945" w:type="pct"/>
                  <w:noWrap w:val="0"/>
                  <w:vAlign w:val="center"/>
                </w:tcPr>
                <w:p w14:paraId="5FC575CD">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87" w:type="pct"/>
                  <w:noWrap w:val="0"/>
                  <w:vAlign w:val="center"/>
                </w:tcPr>
                <w:p w14:paraId="0768BC72">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55" w:type="pct"/>
                  <w:noWrap w:val="0"/>
                  <w:vAlign w:val="center"/>
                </w:tcPr>
                <w:p w14:paraId="05A4EFC4">
                  <w:pPr>
                    <w:pageBreakBefore w:val="0"/>
                    <w:kinsoku/>
                    <w:overflowPunct/>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r>
            <w:tr w14:paraId="5A2B2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noWrap w:val="0"/>
                  <w:vAlign w:val="center"/>
                </w:tcPr>
                <w:p w14:paraId="7930BC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eastAsia="宋体" w:cs="Times New Roman"/>
                      <w:caps w:val="0"/>
                      <w:smallCaps w:val="0"/>
                      <w:color w:val="auto"/>
                      <w:sz w:val="21"/>
                      <w:szCs w:val="21"/>
                      <w:highlight w:val="none"/>
                      <w:lang w:val="en-US" w:eastAsia="zh-CN"/>
                    </w:rPr>
                    <w:t>3</w:t>
                  </w:r>
                </w:p>
              </w:tc>
              <w:tc>
                <w:tcPr>
                  <w:tcW w:w="722" w:type="pct"/>
                  <w:noWrap w:val="0"/>
                  <w:vAlign w:val="center"/>
                </w:tcPr>
                <w:p w14:paraId="59848B13">
                  <w:pPr>
                    <w:pageBreakBefore w:val="0"/>
                    <w:kinsoku/>
                    <w:overflowPunct/>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悬浮物</w:t>
                  </w:r>
                </w:p>
              </w:tc>
              <w:tc>
                <w:tcPr>
                  <w:tcW w:w="1300" w:type="pct"/>
                  <w:noWrap w:val="0"/>
                  <w:vAlign w:val="center"/>
                </w:tcPr>
                <w:p w14:paraId="124D9257">
                  <w:pPr>
                    <w:pageBreakBefore w:val="0"/>
                    <w:kinsoku/>
                    <w:overflowPunct/>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w:t>
                  </w:r>
                </w:p>
              </w:tc>
              <w:tc>
                <w:tcPr>
                  <w:tcW w:w="945" w:type="pct"/>
                  <w:noWrap w:val="0"/>
                  <w:vAlign w:val="center"/>
                </w:tcPr>
                <w:p w14:paraId="145FB0DC">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w:t>
                  </w:r>
                </w:p>
              </w:tc>
              <w:tc>
                <w:tcPr>
                  <w:tcW w:w="1187" w:type="pct"/>
                  <w:noWrap w:val="0"/>
                  <w:vAlign w:val="center"/>
                </w:tcPr>
                <w:p w14:paraId="1E4C6710">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55" w:type="pct"/>
                  <w:noWrap w:val="0"/>
                  <w:vAlign w:val="center"/>
                </w:tcPr>
                <w:p w14:paraId="2B5DDDDB">
                  <w:pPr>
                    <w:pageBreakBefore w:val="0"/>
                    <w:kinsoku/>
                    <w:overflowPunct/>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w:t>
                  </w:r>
                </w:p>
              </w:tc>
            </w:tr>
            <w:tr w14:paraId="3A23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noWrap w:val="0"/>
                  <w:vAlign w:val="center"/>
                </w:tcPr>
                <w:p w14:paraId="1659E9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eastAsia="宋体" w:cs="Times New Roman"/>
                      <w:caps w:val="0"/>
                      <w:smallCaps w:val="0"/>
                      <w:color w:val="auto"/>
                      <w:sz w:val="21"/>
                      <w:szCs w:val="21"/>
                      <w:highlight w:val="none"/>
                      <w:lang w:val="en-US" w:eastAsia="zh-CN"/>
                    </w:rPr>
                    <w:t>4</w:t>
                  </w:r>
                </w:p>
              </w:tc>
              <w:tc>
                <w:tcPr>
                  <w:tcW w:w="722" w:type="pct"/>
                  <w:noWrap w:val="0"/>
                  <w:vAlign w:val="center"/>
                </w:tcPr>
                <w:p w14:paraId="4C4480F9">
                  <w:pPr>
                    <w:pageBreakBefore w:val="0"/>
                    <w:kinsoku/>
                    <w:overflowPunct/>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五日生化需氧量（BOD</w:t>
                  </w:r>
                  <w:r>
                    <w:rPr>
                      <w:rFonts w:hint="eastAsia" w:ascii="Times New Roman" w:hAnsi="Times New Roman" w:eastAsia="宋体" w:cs="Times New Roman"/>
                      <w:color w:val="auto"/>
                      <w:kern w:val="2"/>
                      <w:sz w:val="21"/>
                      <w:szCs w:val="21"/>
                      <w:highlight w:val="none"/>
                      <w:vertAlign w:val="subscript"/>
                      <w:lang w:val="en-US" w:eastAsia="zh-CN" w:bidi="ar-SA"/>
                    </w:rPr>
                    <w:t>5</w:t>
                  </w:r>
                  <w:r>
                    <w:rPr>
                      <w:rFonts w:hint="eastAsia" w:ascii="Times New Roman" w:hAnsi="Times New Roman" w:eastAsia="宋体" w:cs="Times New Roman"/>
                      <w:color w:val="auto"/>
                      <w:kern w:val="2"/>
                      <w:sz w:val="21"/>
                      <w:szCs w:val="21"/>
                      <w:highlight w:val="none"/>
                      <w:lang w:val="en-US" w:eastAsia="zh-CN" w:bidi="ar-SA"/>
                    </w:rPr>
                    <w:t>）</w:t>
                  </w:r>
                </w:p>
              </w:tc>
              <w:tc>
                <w:tcPr>
                  <w:tcW w:w="1300" w:type="pct"/>
                  <w:noWrap w:val="0"/>
                  <w:vAlign w:val="center"/>
                </w:tcPr>
                <w:p w14:paraId="0862470D">
                  <w:pPr>
                    <w:pageBreakBefore w:val="0"/>
                    <w:kinsoku/>
                    <w:overflowPunct/>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350</w:t>
                  </w:r>
                </w:p>
              </w:tc>
              <w:tc>
                <w:tcPr>
                  <w:tcW w:w="945" w:type="pct"/>
                  <w:noWrap w:val="0"/>
                  <w:vAlign w:val="center"/>
                </w:tcPr>
                <w:p w14:paraId="34E22BEC">
                  <w:pPr>
                    <w:pageBreakBefore w:val="0"/>
                    <w:kinsoku/>
                    <w:overflowPunct/>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c>
                <w:tcPr>
                  <w:tcW w:w="1187" w:type="pct"/>
                  <w:noWrap w:val="0"/>
                  <w:vAlign w:val="center"/>
                </w:tcPr>
                <w:p w14:paraId="7F14E2FE">
                  <w:pPr>
                    <w:pageBreakBefore w:val="0"/>
                    <w:kinsoku/>
                    <w:overflowPunct/>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55" w:type="pct"/>
                  <w:noWrap w:val="0"/>
                  <w:vAlign w:val="center"/>
                </w:tcPr>
                <w:p w14:paraId="5D03BB92">
                  <w:pPr>
                    <w:pageBreakBefore w:val="0"/>
                    <w:kinsoku/>
                    <w:overflowPunct/>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r>
            <w:tr w14:paraId="30C5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noWrap w:val="0"/>
                  <w:vAlign w:val="center"/>
                </w:tcPr>
                <w:p w14:paraId="12F44C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eastAsia="宋体" w:cs="Times New Roman"/>
                      <w:caps w:val="0"/>
                      <w:smallCaps w:val="0"/>
                      <w:color w:val="auto"/>
                      <w:sz w:val="21"/>
                      <w:szCs w:val="21"/>
                      <w:highlight w:val="none"/>
                      <w:lang w:val="en-US" w:eastAsia="zh-CN"/>
                    </w:rPr>
                    <w:t>5</w:t>
                  </w:r>
                </w:p>
              </w:tc>
              <w:tc>
                <w:tcPr>
                  <w:tcW w:w="722" w:type="pct"/>
                  <w:noWrap w:val="0"/>
                  <w:vAlign w:val="center"/>
                </w:tcPr>
                <w:p w14:paraId="29A6576A">
                  <w:pPr>
                    <w:pageBreakBefore w:val="0"/>
                    <w:kinsoku/>
                    <w:overflowPunct/>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化学需氧量（CODcr）</w:t>
                  </w:r>
                </w:p>
              </w:tc>
              <w:tc>
                <w:tcPr>
                  <w:tcW w:w="1300" w:type="pct"/>
                  <w:noWrap w:val="0"/>
                  <w:vAlign w:val="center"/>
                </w:tcPr>
                <w:p w14:paraId="6269A763">
                  <w:pPr>
                    <w:pageBreakBefore w:val="0"/>
                    <w:kinsoku/>
                    <w:overflowPunct/>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500</w:t>
                  </w:r>
                </w:p>
              </w:tc>
              <w:tc>
                <w:tcPr>
                  <w:tcW w:w="945" w:type="pct"/>
                  <w:noWrap w:val="0"/>
                  <w:vAlign w:val="center"/>
                </w:tcPr>
                <w:p w14:paraId="1D3E5C49">
                  <w:pPr>
                    <w:pageBreakBefore w:val="0"/>
                    <w:kinsoku/>
                    <w:overflowPunct/>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c>
                <w:tcPr>
                  <w:tcW w:w="1187" w:type="pct"/>
                  <w:noWrap w:val="0"/>
                  <w:vAlign w:val="center"/>
                </w:tcPr>
                <w:p w14:paraId="2DB70FD9">
                  <w:pPr>
                    <w:pageBreakBefore w:val="0"/>
                    <w:kinsoku/>
                    <w:overflowPunct/>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55" w:type="pct"/>
                  <w:noWrap w:val="0"/>
                  <w:vAlign w:val="center"/>
                </w:tcPr>
                <w:p w14:paraId="3008ECCB">
                  <w:pPr>
                    <w:pageBreakBefore w:val="0"/>
                    <w:kinsoku/>
                    <w:overflowPunct/>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r>
            <w:tr w14:paraId="7B46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noWrap w:val="0"/>
                  <w:vAlign w:val="center"/>
                </w:tcPr>
                <w:p w14:paraId="1CACBC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eastAsia="宋体" w:cs="Times New Roman"/>
                      <w:caps w:val="0"/>
                      <w:smallCaps w:val="0"/>
                      <w:color w:val="auto"/>
                      <w:sz w:val="21"/>
                      <w:szCs w:val="21"/>
                      <w:highlight w:val="none"/>
                      <w:lang w:val="en-US" w:eastAsia="zh-CN"/>
                    </w:rPr>
                    <w:t>6</w:t>
                  </w:r>
                </w:p>
              </w:tc>
              <w:tc>
                <w:tcPr>
                  <w:tcW w:w="722" w:type="pct"/>
                  <w:noWrap w:val="0"/>
                  <w:vAlign w:val="center"/>
                </w:tcPr>
                <w:p w14:paraId="67474523">
                  <w:pPr>
                    <w:pageBreakBefore w:val="0"/>
                    <w:kinsoku/>
                    <w:overflowPunct/>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氨氮</w:t>
                  </w:r>
                </w:p>
              </w:tc>
              <w:tc>
                <w:tcPr>
                  <w:tcW w:w="1300" w:type="pct"/>
                  <w:noWrap w:val="0"/>
                  <w:vAlign w:val="center"/>
                </w:tcPr>
                <w:p w14:paraId="7611024D">
                  <w:pPr>
                    <w:pageBreakBefore w:val="0"/>
                    <w:kinsoku/>
                    <w:overflowPunct/>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45</w:t>
                  </w:r>
                </w:p>
              </w:tc>
              <w:tc>
                <w:tcPr>
                  <w:tcW w:w="945" w:type="pct"/>
                  <w:noWrap w:val="0"/>
                  <w:vAlign w:val="center"/>
                </w:tcPr>
                <w:p w14:paraId="668E4557">
                  <w:pPr>
                    <w:pageBreakBefore w:val="0"/>
                    <w:kinsoku/>
                    <w:overflowPunct/>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87" w:type="pct"/>
                  <w:noWrap w:val="0"/>
                  <w:vAlign w:val="center"/>
                </w:tcPr>
                <w:p w14:paraId="3B66351C">
                  <w:pPr>
                    <w:pageBreakBefore w:val="0"/>
                    <w:kinsoku/>
                    <w:overflowPunct/>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45</w:t>
                  </w:r>
                </w:p>
              </w:tc>
              <w:tc>
                <w:tcPr>
                  <w:tcW w:w="555" w:type="pct"/>
                  <w:noWrap w:val="0"/>
                  <w:vAlign w:val="center"/>
                </w:tcPr>
                <w:p w14:paraId="225015D4">
                  <w:pPr>
                    <w:pageBreakBefore w:val="0"/>
                    <w:kinsoku/>
                    <w:overflowPunct/>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45</w:t>
                  </w:r>
                </w:p>
              </w:tc>
            </w:tr>
            <w:tr w14:paraId="2654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noWrap w:val="0"/>
                  <w:vAlign w:val="center"/>
                </w:tcPr>
                <w:p w14:paraId="2BB932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eastAsia="宋体" w:cs="Times New Roman"/>
                      <w:caps w:val="0"/>
                      <w:smallCaps w:val="0"/>
                      <w:color w:val="auto"/>
                      <w:sz w:val="21"/>
                      <w:szCs w:val="21"/>
                      <w:highlight w:val="none"/>
                      <w:lang w:val="en-US" w:eastAsia="zh-CN"/>
                    </w:rPr>
                    <w:t>7</w:t>
                  </w:r>
                </w:p>
              </w:tc>
              <w:tc>
                <w:tcPr>
                  <w:tcW w:w="722" w:type="pct"/>
                  <w:noWrap w:val="0"/>
                  <w:vAlign w:val="center"/>
                </w:tcPr>
                <w:p w14:paraId="41C020D5">
                  <w:pPr>
                    <w:pageBreakBefore w:val="0"/>
                    <w:kinsoku/>
                    <w:overflowPunct/>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总氮</w:t>
                  </w:r>
                </w:p>
              </w:tc>
              <w:tc>
                <w:tcPr>
                  <w:tcW w:w="1300" w:type="pct"/>
                  <w:noWrap w:val="0"/>
                  <w:vAlign w:val="center"/>
                </w:tcPr>
                <w:p w14:paraId="2942A9E7">
                  <w:pPr>
                    <w:pageBreakBefore w:val="0"/>
                    <w:kinsoku/>
                    <w:overflowPunct/>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70</w:t>
                  </w:r>
                </w:p>
              </w:tc>
              <w:tc>
                <w:tcPr>
                  <w:tcW w:w="945" w:type="pct"/>
                  <w:noWrap w:val="0"/>
                  <w:vAlign w:val="center"/>
                </w:tcPr>
                <w:p w14:paraId="5106F24C">
                  <w:pPr>
                    <w:pageBreakBefore w:val="0"/>
                    <w:kinsoku/>
                    <w:overflowPunct/>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87" w:type="pct"/>
                  <w:noWrap w:val="0"/>
                  <w:vAlign w:val="center"/>
                </w:tcPr>
                <w:p w14:paraId="7D7AA293">
                  <w:pPr>
                    <w:pageBreakBefore w:val="0"/>
                    <w:kinsoku/>
                    <w:overflowPunct/>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555" w:type="pct"/>
                  <w:noWrap w:val="0"/>
                  <w:vAlign w:val="center"/>
                </w:tcPr>
                <w:p w14:paraId="2F38B148">
                  <w:pPr>
                    <w:pageBreakBefore w:val="0"/>
                    <w:kinsoku/>
                    <w:overflowPunct/>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r>
            <w:tr w14:paraId="44610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noWrap w:val="0"/>
                  <w:vAlign w:val="center"/>
                </w:tcPr>
                <w:p w14:paraId="08BBDA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eastAsia="宋体" w:cs="Times New Roman"/>
                      <w:caps w:val="0"/>
                      <w:smallCaps w:val="0"/>
                      <w:color w:val="auto"/>
                      <w:sz w:val="21"/>
                      <w:szCs w:val="21"/>
                      <w:highlight w:val="none"/>
                      <w:lang w:val="en-US" w:eastAsia="zh-CN"/>
                    </w:rPr>
                    <w:t>8</w:t>
                  </w:r>
                </w:p>
              </w:tc>
              <w:tc>
                <w:tcPr>
                  <w:tcW w:w="722" w:type="pct"/>
                  <w:noWrap w:val="0"/>
                  <w:vAlign w:val="center"/>
                </w:tcPr>
                <w:p w14:paraId="5C418282">
                  <w:pPr>
                    <w:pageBreakBefore w:val="0"/>
                    <w:kinsoku/>
                    <w:overflowPunct/>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总磷</w:t>
                  </w:r>
                </w:p>
              </w:tc>
              <w:tc>
                <w:tcPr>
                  <w:tcW w:w="1300" w:type="pct"/>
                  <w:noWrap w:val="0"/>
                  <w:vAlign w:val="center"/>
                </w:tcPr>
                <w:p w14:paraId="3B566265">
                  <w:pPr>
                    <w:pageBreakBefore w:val="0"/>
                    <w:kinsoku/>
                    <w:overflowPunct/>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w:t>
                  </w:r>
                </w:p>
              </w:tc>
              <w:tc>
                <w:tcPr>
                  <w:tcW w:w="945" w:type="pct"/>
                  <w:noWrap w:val="0"/>
                  <w:vAlign w:val="center"/>
                </w:tcPr>
                <w:p w14:paraId="7C693778">
                  <w:pPr>
                    <w:pageBreakBefore w:val="0"/>
                    <w:kinsoku/>
                    <w:overflowPunct/>
                    <w:bidi w:val="0"/>
                    <w:adjustRightInd w:val="0"/>
                    <w:snapToGrid w:val="0"/>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w:t>
                  </w:r>
                </w:p>
              </w:tc>
              <w:tc>
                <w:tcPr>
                  <w:tcW w:w="1187" w:type="pct"/>
                  <w:noWrap w:val="0"/>
                  <w:vAlign w:val="center"/>
                </w:tcPr>
                <w:p w14:paraId="11D646C4">
                  <w:pPr>
                    <w:pageBreakBefore w:val="0"/>
                    <w:kinsoku/>
                    <w:overflowPunct/>
                    <w:bidi w:val="0"/>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8</w:t>
                  </w:r>
                </w:p>
              </w:tc>
              <w:tc>
                <w:tcPr>
                  <w:tcW w:w="555" w:type="pct"/>
                  <w:noWrap w:val="0"/>
                  <w:vAlign w:val="center"/>
                </w:tcPr>
                <w:p w14:paraId="531E64C0">
                  <w:pPr>
                    <w:pageBreakBefore w:val="0"/>
                    <w:kinsoku/>
                    <w:overflowPunct/>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8</w:t>
                  </w:r>
                </w:p>
              </w:tc>
            </w:tr>
          </w:tbl>
          <w:p w14:paraId="3F0CB1EA">
            <w:pPr>
              <w:autoSpaceDE w:val="0"/>
              <w:autoSpaceDN w:val="0"/>
              <w:adjustRightInd w:val="0"/>
              <w:spacing w:line="360" w:lineRule="auto"/>
              <w:ind w:firstLine="482" w:firstLineChars="200"/>
              <w:rPr>
                <w:b/>
                <w:bCs/>
                <w:color w:val="auto"/>
                <w:sz w:val="24"/>
                <w:lang w:val="zh-CN"/>
              </w:rPr>
            </w:pPr>
            <w:r>
              <w:rPr>
                <w:rFonts w:hint="eastAsia"/>
                <w:b/>
                <w:bCs/>
                <w:color w:val="auto"/>
                <w:sz w:val="24"/>
                <w:lang w:val="en-US" w:eastAsia="zh-CN"/>
              </w:rPr>
              <w:t>3、</w:t>
            </w:r>
            <w:r>
              <w:rPr>
                <w:b/>
                <w:bCs/>
                <w:color w:val="auto"/>
                <w:sz w:val="24"/>
                <w:lang w:val="zh-CN"/>
              </w:rPr>
              <w:t>噪声</w:t>
            </w:r>
          </w:p>
          <w:p w14:paraId="1C975C25">
            <w:pPr>
              <w:spacing w:line="360" w:lineRule="auto"/>
              <w:ind w:firstLine="480" w:firstLineChars="200"/>
              <w:jc w:val="both"/>
              <w:rPr>
                <w:rFonts w:hint="default" w:eastAsia="宋体"/>
                <w:color w:val="auto"/>
                <w:sz w:val="24"/>
                <w:lang w:val="en-US" w:eastAsia="zh-CN"/>
              </w:rPr>
            </w:pPr>
            <w:r>
              <w:rPr>
                <w:rFonts w:hint="eastAsia"/>
                <w:color w:val="auto"/>
                <w:sz w:val="24"/>
                <w:lang w:val="en-US" w:eastAsia="zh-CN"/>
              </w:rPr>
              <w:t>项目运营期厂界噪声执行</w:t>
            </w:r>
            <w:r>
              <w:rPr>
                <w:color w:val="auto"/>
                <w:sz w:val="24"/>
              </w:rPr>
              <w:t>《工业企业厂界环境噪声排放标准》（GB12348-2008）</w:t>
            </w:r>
            <w:r>
              <w:rPr>
                <w:rFonts w:hint="eastAsia"/>
                <w:color w:val="auto"/>
                <w:sz w:val="24"/>
                <w:lang w:val="en-US" w:eastAsia="zh-CN"/>
              </w:rPr>
              <w:t>3</w:t>
            </w:r>
            <w:r>
              <w:rPr>
                <w:color w:val="auto"/>
                <w:sz w:val="24"/>
              </w:rPr>
              <w:t>类标准</w:t>
            </w:r>
            <w:r>
              <w:rPr>
                <w:rFonts w:hint="eastAsia"/>
                <w:color w:val="auto"/>
                <w:sz w:val="24"/>
                <w:lang w:eastAsia="zh-CN"/>
              </w:rPr>
              <w:t>。</w:t>
            </w:r>
            <w:r>
              <w:rPr>
                <w:rFonts w:hint="eastAsia"/>
                <w:color w:val="auto"/>
                <w:sz w:val="24"/>
                <w:lang w:val="en-US" w:eastAsia="zh-CN"/>
              </w:rPr>
              <w:t>标准值详见下表。</w:t>
            </w:r>
          </w:p>
          <w:p w14:paraId="2845F32E">
            <w:pPr>
              <w:keepNext w:val="0"/>
              <w:keepLines w:val="0"/>
              <w:pageBreakBefore w:val="0"/>
              <w:widowControl w:val="0"/>
              <w:kinsoku/>
              <w:wordWrap/>
              <w:overflowPunct/>
              <w:topLinePunct w:val="0"/>
              <w:autoSpaceDE/>
              <w:autoSpaceDN/>
              <w:bidi w:val="0"/>
              <w:adjustRightInd/>
              <w:snapToGrid w:val="0"/>
              <w:spacing w:line="240" w:lineRule="auto"/>
              <w:ind w:left="0" w:firstLine="422" w:firstLineChars="200"/>
              <w:jc w:val="center"/>
              <w:textAlignment w:val="auto"/>
              <w:rPr>
                <w:b/>
                <w:color w:val="auto"/>
                <w:sz w:val="21"/>
                <w:szCs w:val="21"/>
              </w:rPr>
            </w:pPr>
            <w:r>
              <w:rPr>
                <w:b/>
                <w:color w:val="auto"/>
                <w:sz w:val="21"/>
                <w:szCs w:val="21"/>
              </w:rPr>
              <w:t>表3</w:t>
            </w:r>
            <w:r>
              <w:rPr>
                <w:rFonts w:hint="eastAsia"/>
                <w:b/>
                <w:color w:val="auto"/>
                <w:sz w:val="21"/>
                <w:szCs w:val="21"/>
              </w:rPr>
              <w:t>-</w:t>
            </w:r>
            <w:r>
              <w:rPr>
                <w:rFonts w:hint="eastAsia"/>
                <w:b/>
                <w:color w:val="auto"/>
                <w:sz w:val="21"/>
                <w:szCs w:val="21"/>
                <w:lang w:val="en-US" w:eastAsia="zh-CN"/>
              </w:rPr>
              <w:t>11</w:t>
            </w:r>
            <w:r>
              <w:rPr>
                <w:b/>
                <w:color w:val="auto"/>
                <w:sz w:val="21"/>
                <w:szCs w:val="21"/>
              </w:rPr>
              <w:t xml:space="preserve">  工业企业厂界环境噪声排放标准   单位：dB（A）</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2769"/>
              <w:gridCol w:w="3160"/>
            </w:tblGrid>
            <w:tr w14:paraId="320B3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94" w:type="dxa"/>
                  <w:vMerge w:val="restart"/>
                  <w:noWrap w:val="0"/>
                  <w:vAlign w:val="center"/>
                </w:tcPr>
                <w:p w14:paraId="4D9F871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b/>
                      <w:bCs/>
                      <w:color w:val="auto"/>
                      <w:sz w:val="21"/>
                      <w:szCs w:val="21"/>
                    </w:rPr>
                  </w:pPr>
                  <w:r>
                    <w:rPr>
                      <w:b/>
                      <w:bCs/>
                      <w:color w:val="auto"/>
                      <w:sz w:val="21"/>
                      <w:szCs w:val="21"/>
                    </w:rPr>
                    <w:t>类别</w:t>
                  </w:r>
                </w:p>
              </w:tc>
              <w:tc>
                <w:tcPr>
                  <w:tcW w:w="5488" w:type="dxa"/>
                  <w:gridSpan w:val="2"/>
                  <w:noWrap w:val="0"/>
                  <w:vAlign w:val="center"/>
                </w:tcPr>
                <w:p w14:paraId="6859C4A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b/>
                      <w:bCs/>
                      <w:color w:val="auto"/>
                      <w:sz w:val="21"/>
                      <w:szCs w:val="21"/>
                    </w:rPr>
                  </w:pPr>
                  <w:r>
                    <w:rPr>
                      <w:b/>
                      <w:bCs/>
                      <w:color w:val="auto"/>
                      <w:sz w:val="21"/>
                      <w:szCs w:val="21"/>
                    </w:rPr>
                    <w:t>等效声级[dB(A)]</w:t>
                  </w:r>
                </w:p>
              </w:tc>
            </w:tr>
            <w:tr w14:paraId="51FA0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94" w:type="dxa"/>
                  <w:vMerge w:val="continue"/>
                  <w:noWrap w:val="0"/>
                  <w:vAlign w:val="center"/>
                </w:tcPr>
                <w:p w14:paraId="0642112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b/>
                      <w:bCs/>
                      <w:color w:val="auto"/>
                      <w:sz w:val="21"/>
                      <w:szCs w:val="21"/>
                    </w:rPr>
                  </w:pPr>
                </w:p>
              </w:tc>
              <w:tc>
                <w:tcPr>
                  <w:tcW w:w="2563" w:type="dxa"/>
                  <w:noWrap w:val="0"/>
                  <w:vAlign w:val="center"/>
                </w:tcPr>
                <w:p w14:paraId="47F5B6A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b/>
                      <w:bCs/>
                      <w:color w:val="auto"/>
                      <w:sz w:val="21"/>
                      <w:szCs w:val="21"/>
                    </w:rPr>
                  </w:pPr>
                  <w:r>
                    <w:rPr>
                      <w:b/>
                      <w:bCs/>
                      <w:color w:val="auto"/>
                      <w:sz w:val="21"/>
                      <w:szCs w:val="21"/>
                    </w:rPr>
                    <w:t>昼间</w:t>
                  </w:r>
                </w:p>
              </w:tc>
              <w:tc>
                <w:tcPr>
                  <w:tcW w:w="2925" w:type="dxa"/>
                  <w:noWrap w:val="0"/>
                  <w:vAlign w:val="center"/>
                </w:tcPr>
                <w:p w14:paraId="38CDEF3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b/>
                      <w:bCs/>
                      <w:color w:val="auto"/>
                      <w:sz w:val="21"/>
                      <w:szCs w:val="21"/>
                    </w:rPr>
                  </w:pPr>
                  <w:r>
                    <w:rPr>
                      <w:b/>
                      <w:bCs/>
                      <w:color w:val="auto"/>
                      <w:sz w:val="21"/>
                      <w:szCs w:val="21"/>
                    </w:rPr>
                    <w:t>夜间</w:t>
                  </w:r>
                </w:p>
              </w:tc>
            </w:tr>
            <w:tr w14:paraId="2FC39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94" w:type="dxa"/>
                  <w:noWrap w:val="0"/>
                  <w:vAlign w:val="center"/>
                </w:tcPr>
                <w:p w14:paraId="03B2D56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21"/>
                      <w:szCs w:val="21"/>
                    </w:rPr>
                  </w:pPr>
                  <w:r>
                    <w:rPr>
                      <w:color w:val="auto"/>
                      <w:sz w:val="21"/>
                      <w:szCs w:val="21"/>
                    </w:rPr>
                    <w:t>3类</w:t>
                  </w:r>
                </w:p>
              </w:tc>
              <w:tc>
                <w:tcPr>
                  <w:tcW w:w="2563" w:type="dxa"/>
                  <w:noWrap w:val="0"/>
                  <w:vAlign w:val="center"/>
                </w:tcPr>
                <w:p w14:paraId="1AEBE80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b/>
                      <w:color w:val="auto"/>
                      <w:sz w:val="21"/>
                      <w:szCs w:val="21"/>
                    </w:rPr>
                  </w:pPr>
                  <w:r>
                    <w:rPr>
                      <w:color w:val="auto"/>
                      <w:sz w:val="21"/>
                      <w:szCs w:val="21"/>
                    </w:rPr>
                    <w:t>65</w:t>
                  </w:r>
                </w:p>
              </w:tc>
              <w:tc>
                <w:tcPr>
                  <w:tcW w:w="2925" w:type="dxa"/>
                  <w:noWrap w:val="0"/>
                  <w:vAlign w:val="center"/>
                </w:tcPr>
                <w:p w14:paraId="4B254DD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21"/>
                      <w:szCs w:val="21"/>
                    </w:rPr>
                  </w:pPr>
                  <w:r>
                    <w:rPr>
                      <w:color w:val="auto"/>
                      <w:sz w:val="21"/>
                      <w:szCs w:val="21"/>
                    </w:rPr>
                    <w:t>55</w:t>
                  </w:r>
                </w:p>
              </w:tc>
            </w:tr>
          </w:tbl>
          <w:p w14:paraId="21BAB2FF">
            <w:pPr>
              <w:spacing w:line="360" w:lineRule="auto"/>
              <w:ind w:firstLine="482" w:firstLineChars="200"/>
              <w:jc w:val="left"/>
              <w:rPr>
                <w:rFonts w:hint="default"/>
                <w:b/>
                <w:bCs/>
                <w:color w:val="auto"/>
                <w:sz w:val="24"/>
                <w:lang w:val="en-US"/>
              </w:rPr>
            </w:pPr>
            <w:r>
              <w:rPr>
                <w:rFonts w:hint="eastAsia"/>
                <w:b/>
                <w:bCs/>
                <w:color w:val="auto"/>
                <w:sz w:val="24"/>
                <w:lang w:val="en-US" w:eastAsia="zh-CN"/>
              </w:rPr>
              <w:t>4、固体废弃物</w:t>
            </w:r>
          </w:p>
          <w:p w14:paraId="7F9491FD">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①一般工业固体废物贮存、处置执行《一般工业固体废物贮存和填埋污染控制标准》（GB18599-2020）。</w:t>
            </w:r>
          </w:p>
          <w:p w14:paraId="1D295305">
            <w:pPr>
              <w:pStyle w:val="21"/>
              <w:keepNext w:val="0"/>
              <w:keepLines w:val="0"/>
              <w:pageBreakBefore w:val="0"/>
              <w:widowControl w:val="0"/>
              <w:kinsoku/>
              <w:wordWrap/>
              <w:overflowPunct/>
              <w:topLinePunct w:val="0"/>
              <w:autoSpaceDE/>
              <w:autoSpaceDN/>
              <w:bidi w:val="0"/>
              <w:adjustRightInd w:val="0"/>
              <w:snapToGrid w:val="0"/>
              <w:spacing w:before="0" w:after="0" w:line="360" w:lineRule="auto"/>
              <w:ind w:left="0" w:firstLine="480" w:firstLineChars="200"/>
              <w:jc w:val="left"/>
              <w:textAlignment w:val="auto"/>
              <w:rPr>
                <w:rFonts w:hint="default" w:eastAsia="宋体"/>
                <w:color w:val="auto"/>
                <w:vertAlign w:val="baseline"/>
                <w:lang w:val="en-US" w:eastAsia="zh-CN"/>
              </w:rPr>
            </w:pPr>
            <w:r>
              <w:rPr>
                <w:rFonts w:ascii="Times New Roman" w:hAnsi="Times New Roman" w:cs="Times New Roman"/>
                <w:color w:val="auto"/>
                <w:sz w:val="24"/>
                <w:szCs w:val="24"/>
              </w:rPr>
              <w:t>②危险废物贮存执行《危险废物贮存污染控制标准》(GB 18597-2023)，危险废物收集、贮存、运输满足《危险废物收集 贮存 运输技术规范》（HJ 2025-2012）相关规定</w:t>
            </w:r>
            <w:r>
              <w:rPr>
                <w:rFonts w:hint="eastAsia"/>
                <w:color w:val="auto"/>
                <w:sz w:val="24"/>
                <w:szCs w:val="24"/>
              </w:rPr>
              <w:t>。</w:t>
            </w:r>
          </w:p>
        </w:tc>
      </w:tr>
      <w:tr w14:paraId="3CE9D2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vAlign w:val="center"/>
          </w:tcPr>
          <w:p w14:paraId="311B7DF7">
            <w:pPr>
              <w:adjustRightInd w:val="0"/>
              <w:snapToGrid w:val="0"/>
              <w:jc w:val="center"/>
              <w:rPr>
                <w:color w:val="auto"/>
                <w:kern w:val="0"/>
                <w:sz w:val="24"/>
              </w:rPr>
            </w:pPr>
            <w:r>
              <w:rPr>
                <w:color w:val="auto"/>
                <w:kern w:val="0"/>
                <w:sz w:val="24"/>
              </w:rPr>
              <w:t>总量</w:t>
            </w:r>
          </w:p>
          <w:p w14:paraId="755D9A8B">
            <w:pPr>
              <w:adjustRightInd w:val="0"/>
              <w:snapToGrid w:val="0"/>
              <w:jc w:val="center"/>
              <w:rPr>
                <w:color w:val="auto"/>
                <w:kern w:val="0"/>
                <w:sz w:val="24"/>
              </w:rPr>
            </w:pPr>
            <w:r>
              <w:rPr>
                <w:color w:val="auto"/>
                <w:kern w:val="0"/>
                <w:sz w:val="24"/>
              </w:rPr>
              <w:t>控制</w:t>
            </w:r>
          </w:p>
          <w:p w14:paraId="33B3A24A">
            <w:pPr>
              <w:adjustRightInd w:val="0"/>
              <w:snapToGrid w:val="0"/>
              <w:jc w:val="center"/>
              <w:rPr>
                <w:color w:val="auto"/>
                <w:kern w:val="0"/>
                <w:sz w:val="24"/>
              </w:rPr>
            </w:pPr>
            <w:r>
              <w:rPr>
                <w:color w:val="auto"/>
                <w:kern w:val="0"/>
                <w:sz w:val="24"/>
              </w:rPr>
              <w:t>指标</w:t>
            </w:r>
          </w:p>
        </w:tc>
        <w:tc>
          <w:tcPr>
            <w:tcW w:w="8200" w:type="dxa"/>
          </w:tcPr>
          <w:p w14:paraId="0703980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szCs w:val="24"/>
              </w:rPr>
            </w:pPr>
            <w:r>
              <w:rPr>
                <w:b/>
                <w:bCs/>
                <w:color w:val="auto"/>
                <w:sz w:val="24"/>
                <w:szCs w:val="24"/>
              </w:rPr>
              <w:t>总量控制建议指标：</w:t>
            </w:r>
          </w:p>
          <w:p w14:paraId="7FF3F2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lang w:val="en-US" w:eastAsia="zh-CN"/>
              </w:rPr>
            </w:pPr>
            <w:r>
              <w:rPr>
                <w:color w:val="auto"/>
                <w:sz w:val="24"/>
                <w:szCs w:val="24"/>
              </w:rPr>
              <w:t>根据项目的排污特征，结合国家污染物排放总量控制原则，</w:t>
            </w:r>
            <w:r>
              <w:rPr>
                <w:rFonts w:hint="eastAsia"/>
                <w:color w:val="auto"/>
                <w:sz w:val="24"/>
                <w:szCs w:val="24"/>
                <w:lang w:val="en-US" w:eastAsia="zh-CN"/>
              </w:rPr>
              <w:t>本次技改后全厂</w:t>
            </w:r>
            <w:r>
              <w:rPr>
                <w:color w:val="auto"/>
                <w:sz w:val="24"/>
                <w:szCs w:val="24"/>
              </w:rPr>
              <w:t>建议执行的总量控制指标</w:t>
            </w:r>
            <w:r>
              <w:rPr>
                <w:rFonts w:hint="eastAsia"/>
                <w:color w:val="auto"/>
                <w:sz w:val="24"/>
                <w:szCs w:val="24"/>
                <w:lang w:val="en-US" w:eastAsia="zh-CN"/>
              </w:rPr>
              <w:t>如下</w:t>
            </w:r>
            <w:r>
              <w:rPr>
                <w:color w:val="auto"/>
                <w:sz w:val="24"/>
                <w:szCs w:val="24"/>
              </w:rPr>
              <w:t>：</w:t>
            </w:r>
          </w:p>
          <w:p w14:paraId="493809B3">
            <w:pPr>
              <w:adjustRightInd w:val="0"/>
              <w:snapToGrid w:val="0"/>
              <w:spacing w:line="360" w:lineRule="auto"/>
              <w:ind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1、废气</w:t>
            </w:r>
          </w:p>
          <w:p w14:paraId="410D2D67">
            <w:pPr>
              <w:adjustRightInd w:val="0"/>
              <w:snapToGrid w:val="0"/>
              <w:spacing w:line="360" w:lineRule="auto"/>
              <w:ind w:firstLine="480" w:firstLineChars="200"/>
              <w:rPr>
                <w:rFonts w:hint="default" w:ascii="宋体" w:hAnsi="宋体" w:eastAsia="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本次技改后，全厂废气排放量如下：</w:t>
            </w:r>
          </w:p>
          <w:p w14:paraId="6DF8134A">
            <w:pPr>
              <w:adjustRightInd w:val="0"/>
              <w:snapToGrid w:val="0"/>
              <w:spacing w:line="360" w:lineRule="auto"/>
              <w:ind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①</w:t>
            </w:r>
            <w:r>
              <w:rPr>
                <w:rFonts w:hint="eastAsia" w:cs="Times New Roman"/>
                <w:b/>
                <w:bCs/>
                <w:color w:val="auto"/>
                <w:kern w:val="2"/>
                <w:sz w:val="24"/>
                <w:szCs w:val="24"/>
                <w:highlight w:val="none"/>
                <w:lang w:val="en-US" w:eastAsia="zh-CN" w:bidi="ar-SA"/>
              </w:rPr>
              <w:t>有组织：</w:t>
            </w:r>
            <w:r>
              <w:rPr>
                <w:rFonts w:hint="default" w:ascii="Times New Roman" w:hAnsi="Times New Roman" w:eastAsia="宋体" w:cs="Times New Roman"/>
                <w:color w:val="auto"/>
                <w:kern w:val="0"/>
                <w:sz w:val="24"/>
                <w:szCs w:val="24"/>
                <w:highlight w:val="none"/>
                <w:lang w:val="en-US" w:eastAsia="zh-CN" w:bidi="ar"/>
              </w:rPr>
              <w:t>废气总排放量</w:t>
            </w:r>
            <w:r>
              <w:rPr>
                <w:rFonts w:hint="eastAsia"/>
                <w:color w:val="auto"/>
                <w:kern w:val="0"/>
                <w:sz w:val="24"/>
                <w:szCs w:val="24"/>
                <w:highlight w:val="none"/>
                <w:lang w:val="en-US" w:eastAsia="zh-CN" w:bidi="ar"/>
              </w:rPr>
              <w:t>864</w:t>
            </w:r>
            <w:r>
              <w:rPr>
                <w:rFonts w:hint="default" w:ascii="Times New Roman" w:hAnsi="Times New Roman" w:eastAsia="宋体" w:cs="Times New Roman"/>
                <w:color w:val="auto"/>
                <w:kern w:val="0"/>
                <w:sz w:val="24"/>
                <w:szCs w:val="24"/>
                <w:highlight w:val="none"/>
                <w:lang w:val="en-US" w:eastAsia="zh-CN" w:bidi="ar"/>
              </w:rPr>
              <w:t>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/a，颗粒物排放量为</w:t>
            </w:r>
            <w:r>
              <w:rPr>
                <w:rFonts w:hint="eastAsia"/>
                <w:color w:val="auto"/>
                <w:sz w:val="24"/>
                <w:szCs w:val="24"/>
                <w:highlight w:val="none"/>
                <w:lang w:val="en-US" w:eastAsia="zh-CN"/>
              </w:rPr>
              <w:t>0.114</w:t>
            </w:r>
            <w:r>
              <w:rPr>
                <w:rFonts w:hint="default" w:ascii="Times New Roman" w:hAnsi="Times New Roman" w:eastAsia="宋体" w:cs="Times New Roman"/>
                <w:color w:val="auto"/>
                <w:kern w:val="0"/>
                <w:sz w:val="24"/>
                <w:szCs w:val="24"/>
                <w:highlight w:val="none"/>
                <w:lang w:val="en-US" w:eastAsia="zh-CN" w:bidi="ar"/>
              </w:rPr>
              <w:t>t/a，</w:t>
            </w:r>
            <w:r>
              <w:rPr>
                <w:rFonts w:hint="default" w:ascii="Times New Roman" w:hAnsi="Times New Roman" w:cs="Times New Roman"/>
                <w:color w:val="auto"/>
                <w:sz w:val="24"/>
                <w:szCs w:val="24"/>
                <w:highlight w:val="none"/>
              </w:rPr>
              <w:t>SO</w:t>
            </w:r>
            <w:r>
              <w:rPr>
                <w:rFonts w:hint="default" w:ascii="Times New Roman" w:hAnsi="Times New Roman" w:cs="Times New Roman"/>
                <w:color w:val="auto"/>
                <w:sz w:val="24"/>
                <w:szCs w:val="24"/>
                <w:highlight w:val="none"/>
                <w:vertAlign w:val="subscript"/>
              </w:rPr>
              <w:t>2</w:t>
            </w:r>
            <w:r>
              <w:rPr>
                <w:rFonts w:hint="default" w:ascii="Times New Roman" w:hAnsi="Times New Roman" w:eastAsia="宋体" w:cs="Times New Roman"/>
                <w:color w:val="auto"/>
                <w:kern w:val="0"/>
                <w:sz w:val="24"/>
                <w:szCs w:val="24"/>
                <w:highlight w:val="none"/>
                <w:lang w:val="en-US" w:eastAsia="zh-CN" w:bidi="ar"/>
              </w:rPr>
              <w:t>排放量</w:t>
            </w:r>
            <w:r>
              <w:rPr>
                <w:rFonts w:hint="default" w:ascii="Times New Roman" w:hAnsi="Times New Roman" w:cs="Times New Roman"/>
                <w:color w:val="auto"/>
                <w:sz w:val="24"/>
                <w:szCs w:val="24"/>
                <w:highlight w:val="none"/>
                <w:vertAlign w:val="baseline"/>
                <w:lang w:val="en-US" w:eastAsia="zh-CN"/>
              </w:rPr>
              <w:t>为</w:t>
            </w:r>
            <w:r>
              <w:rPr>
                <w:rFonts w:hint="eastAsia"/>
                <w:color w:val="auto"/>
                <w:kern w:val="0"/>
                <w:sz w:val="24"/>
                <w:szCs w:val="24"/>
                <w:highlight w:val="none"/>
                <w:lang w:val="en-US" w:eastAsia="zh-CN" w:bidi="ar"/>
              </w:rPr>
              <w:t>0.175</w:t>
            </w:r>
            <w:r>
              <w:rPr>
                <w:rFonts w:hint="default" w:ascii="Times New Roman" w:hAnsi="Times New Roman" w:cs="Times New Roman"/>
                <w:color w:val="auto"/>
                <w:sz w:val="24"/>
                <w:szCs w:val="24"/>
                <w:highlight w:val="none"/>
                <w:vertAlign w:val="baseline"/>
                <w:lang w:val="en-US" w:eastAsia="zh-CN"/>
              </w:rPr>
              <w:t>t/a、NOx排放量为</w:t>
            </w:r>
            <w:r>
              <w:rPr>
                <w:rFonts w:hint="eastAsia"/>
                <w:color w:val="auto"/>
                <w:kern w:val="0"/>
                <w:sz w:val="24"/>
                <w:szCs w:val="24"/>
                <w:highlight w:val="none"/>
                <w:lang w:val="en-US" w:eastAsia="zh-CN" w:bidi="ar"/>
              </w:rPr>
              <w:t>1.728</w:t>
            </w:r>
            <w:r>
              <w:rPr>
                <w:rFonts w:hint="eastAsia" w:ascii="Times New Roman" w:hAnsi="Times New Roman" w:cs="Times New Roman"/>
                <w:color w:val="auto"/>
                <w:sz w:val="24"/>
                <w:szCs w:val="24"/>
                <w:highlight w:val="none"/>
                <w:vertAlign w:val="baseline"/>
                <w:lang w:val="en-US" w:eastAsia="zh-CN"/>
              </w:rPr>
              <w:t>t/a</w:t>
            </w:r>
            <w:r>
              <w:rPr>
                <w:rFonts w:hint="default" w:ascii="Times New Roman" w:hAnsi="Times New Roman" w:eastAsia="宋体" w:cs="Times New Roman"/>
                <w:color w:val="auto"/>
                <w:kern w:val="0"/>
                <w:sz w:val="24"/>
                <w:szCs w:val="24"/>
                <w:highlight w:val="none"/>
                <w:lang w:val="en-US" w:eastAsia="zh-CN" w:bidi="ar"/>
              </w:rPr>
              <w:t>。</w:t>
            </w:r>
          </w:p>
          <w:p w14:paraId="096BF491">
            <w:pPr>
              <w:adjustRightInd w:val="0"/>
              <w:snapToGrid w:val="0"/>
              <w:spacing w:line="360" w:lineRule="auto"/>
              <w:ind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②无组织：</w:t>
            </w:r>
            <w:r>
              <w:rPr>
                <w:rFonts w:hint="default" w:ascii="Times New Roman" w:hAnsi="Times New Roman" w:eastAsia="宋体" w:cs="Times New Roman"/>
                <w:color w:val="auto"/>
                <w:kern w:val="0"/>
                <w:sz w:val="24"/>
                <w:szCs w:val="24"/>
                <w:highlight w:val="none"/>
                <w:lang w:val="en-US" w:eastAsia="zh-CN" w:bidi="ar"/>
              </w:rPr>
              <w:t>颗粒物排放量为</w:t>
            </w:r>
            <w:r>
              <w:rPr>
                <w:rFonts w:hint="eastAsia" w:cs="Times New Roman"/>
                <w:i w:val="0"/>
                <w:iCs w:val="0"/>
                <w:color w:val="auto"/>
                <w:kern w:val="0"/>
                <w:sz w:val="24"/>
                <w:szCs w:val="24"/>
                <w:highlight w:val="none"/>
                <w:u w:val="none"/>
                <w:lang w:val="en-US" w:eastAsia="zh-CN" w:bidi="ar"/>
              </w:rPr>
              <w:t>0.379</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p>
          <w:p w14:paraId="4B531AD4">
            <w:pPr>
              <w:adjustRightInd w:val="0"/>
              <w:snapToGrid w:val="0"/>
              <w:spacing w:line="360" w:lineRule="auto"/>
              <w:ind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2、废水</w:t>
            </w:r>
          </w:p>
          <w:p w14:paraId="547BC2C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b w:val="0"/>
                <w:bCs w:val="0"/>
                <w:color w:val="auto"/>
                <w:sz w:val="24"/>
                <w:szCs w:val="24"/>
                <w:highlight w:val="none"/>
                <w:lang w:eastAsia="zh-CN"/>
              </w:rPr>
            </w:pPr>
            <w:r>
              <w:rPr>
                <w:rFonts w:hint="eastAsia" w:cs="Times New Roman"/>
                <w:b w:val="0"/>
                <w:bCs w:val="0"/>
                <w:color w:val="auto"/>
                <w:kern w:val="2"/>
                <w:sz w:val="24"/>
                <w:szCs w:val="24"/>
                <w:highlight w:val="none"/>
                <w:lang w:val="en-US" w:eastAsia="zh-CN" w:bidi="ar-SA"/>
              </w:rPr>
              <w:t>本次技改后，全厂生产废水排放量为9982</w:t>
            </w:r>
            <w:r>
              <w:rPr>
                <w:rFonts w:hint="default" w:ascii="Times New Roman" w:hAnsi="Times New Roman" w:cs="Times New Roman"/>
                <w:b w:val="0"/>
                <w:bCs w:val="0"/>
                <w:color w:val="auto"/>
                <w:sz w:val="24"/>
                <w:szCs w:val="24"/>
                <w:highlight w:val="none"/>
              </w:rPr>
              <w:t>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rPr>
              <w:t>/a</w:t>
            </w:r>
            <w:r>
              <w:rPr>
                <w:b w:val="0"/>
                <w:bCs w:val="0"/>
                <w:color w:val="auto"/>
                <w:kern w:val="0"/>
                <w:sz w:val="24"/>
                <w:szCs w:val="24"/>
                <w:highlight w:val="none"/>
              </w:rPr>
              <w:t>，水污染物排放量为CODcr：</w:t>
            </w:r>
            <w:r>
              <w:rPr>
                <w:rFonts w:hint="eastAsia" w:cs="Times New Roman"/>
                <w:i w:val="0"/>
                <w:iCs w:val="0"/>
                <w:color w:val="auto"/>
                <w:kern w:val="0"/>
                <w:sz w:val="24"/>
                <w:szCs w:val="24"/>
                <w:highlight w:val="none"/>
                <w:u w:val="none"/>
                <w:lang w:val="en-US" w:eastAsia="zh-CN" w:bidi="ar"/>
              </w:rPr>
              <w:t>4.242</w:t>
            </w:r>
            <w:r>
              <w:rPr>
                <w:b w:val="0"/>
                <w:bCs w:val="0"/>
                <w:color w:val="auto"/>
                <w:kern w:val="0"/>
                <w:sz w:val="24"/>
                <w:szCs w:val="24"/>
                <w:highlight w:val="none"/>
              </w:rPr>
              <w:t>t/a、NH</w:t>
            </w:r>
            <w:r>
              <w:rPr>
                <w:b w:val="0"/>
                <w:bCs w:val="0"/>
                <w:color w:val="auto"/>
                <w:kern w:val="0"/>
                <w:sz w:val="24"/>
                <w:szCs w:val="24"/>
                <w:highlight w:val="none"/>
                <w:vertAlign w:val="subscript"/>
              </w:rPr>
              <w:t>3</w:t>
            </w:r>
            <w:r>
              <w:rPr>
                <w:b w:val="0"/>
                <w:bCs w:val="0"/>
                <w:color w:val="auto"/>
                <w:kern w:val="0"/>
                <w:sz w:val="24"/>
                <w:szCs w:val="24"/>
                <w:highlight w:val="none"/>
              </w:rPr>
              <w:t>-N：</w:t>
            </w:r>
            <w:r>
              <w:rPr>
                <w:rFonts w:hint="eastAsia" w:cs="Times New Roman"/>
                <w:i w:val="0"/>
                <w:iCs w:val="0"/>
                <w:color w:val="auto"/>
                <w:kern w:val="0"/>
                <w:sz w:val="24"/>
                <w:szCs w:val="24"/>
                <w:highlight w:val="none"/>
                <w:u w:val="none"/>
                <w:lang w:val="en-US" w:eastAsia="zh-CN" w:bidi="ar"/>
              </w:rPr>
              <w:t>0.022</w:t>
            </w:r>
            <w:r>
              <w:rPr>
                <w:rFonts w:hint="eastAsia" w:ascii="Times New Roman" w:hAnsi="Times New Roman" w:eastAsia="宋体" w:cs="Times New Roman"/>
                <w:b w:val="0"/>
                <w:bCs w:val="0"/>
                <w:i w:val="0"/>
                <w:iCs w:val="0"/>
                <w:color w:val="auto"/>
                <w:kern w:val="0"/>
                <w:sz w:val="24"/>
                <w:szCs w:val="24"/>
                <w:highlight w:val="none"/>
                <w:u w:val="none"/>
                <w:lang w:val="en-US" w:eastAsia="zh-CN" w:bidi="ar"/>
              </w:rPr>
              <w:t>t</w:t>
            </w:r>
            <w:r>
              <w:rPr>
                <w:b w:val="0"/>
                <w:bCs w:val="0"/>
                <w:color w:val="auto"/>
                <w:kern w:val="0"/>
                <w:sz w:val="24"/>
                <w:szCs w:val="24"/>
                <w:highlight w:val="none"/>
              </w:rPr>
              <w:t>/a</w:t>
            </w:r>
            <w:r>
              <w:rPr>
                <w:rFonts w:hint="eastAsia"/>
                <w:b w:val="0"/>
                <w:bCs w:val="0"/>
                <w:color w:val="auto"/>
                <w:kern w:val="0"/>
                <w:sz w:val="24"/>
                <w:szCs w:val="24"/>
                <w:highlight w:val="none"/>
              </w:rPr>
              <w:t>、TP</w:t>
            </w:r>
            <w:r>
              <w:rPr>
                <w:rFonts w:hint="eastAsia" w:cs="Times New Roman"/>
                <w:b w:val="0"/>
                <w:bCs w:val="0"/>
                <w:i w:val="0"/>
                <w:iCs w:val="0"/>
                <w:color w:val="auto"/>
                <w:kern w:val="0"/>
                <w:sz w:val="24"/>
                <w:szCs w:val="24"/>
                <w:highlight w:val="none"/>
                <w:u w:val="none"/>
                <w:lang w:val="en-US" w:eastAsia="zh-CN" w:bidi="ar"/>
              </w:rPr>
              <w:t>：</w:t>
            </w:r>
            <w:r>
              <w:rPr>
                <w:rFonts w:hint="eastAsia" w:cs="Times New Roman"/>
                <w:i w:val="0"/>
                <w:iCs w:val="0"/>
                <w:color w:val="auto"/>
                <w:kern w:val="0"/>
                <w:sz w:val="24"/>
                <w:szCs w:val="24"/>
                <w:highlight w:val="none"/>
                <w:u w:val="none"/>
                <w:lang w:val="en-US" w:eastAsia="zh-CN" w:bidi="ar"/>
              </w:rPr>
              <w:t>0.0025</w:t>
            </w:r>
            <w:r>
              <w:rPr>
                <w:rFonts w:hint="eastAsia"/>
                <w:b w:val="0"/>
                <w:bCs w:val="0"/>
                <w:color w:val="auto"/>
                <w:kern w:val="0"/>
                <w:sz w:val="24"/>
                <w:szCs w:val="24"/>
                <w:highlight w:val="none"/>
              </w:rPr>
              <w:t>t/a</w:t>
            </w:r>
            <w:r>
              <w:rPr>
                <w:rFonts w:hint="eastAsia"/>
                <w:b w:val="0"/>
                <w:bCs w:val="0"/>
                <w:color w:val="auto"/>
                <w:sz w:val="24"/>
                <w:szCs w:val="24"/>
                <w:highlight w:val="none"/>
                <w:lang w:eastAsia="zh-CN"/>
              </w:rPr>
              <w:t>。</w:t>
            </w:r>
          </w:p>
          <w:p w14:paraId="6145AC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b w:val="0"/>
                <w:bCs w:val="0"/>
                <w:color w:val="auto"/>
                <w:sz w:val="24"/>
                <w:szCs w:val="24"/>
                <w:highlight w:val="none"/>
                <w:lang w:val="en-US" w:eastAsia="zh-CN"/>
              </w:rPr>
              <w:t>由于废水</w:t>
            </w:r>
            <w:r>
              <w:rPr>
                <w:rFonts w:hint="eastAsia" w:ascii="Times New Roman" w:hAnsi="Times New Roman"/>
                <w:b w:val="0"/>
                <w:bCs w:val="0"/>
                <w:color w:val="auto"/>
                <w:sz w:val="24"/>
                <w:szCs w:val="24"/>
                <w:highlight w:val="none"/>
                <w:lang w:val="en-US" w:eastAsia="zh-CN"/>
              </w:rPr>
              <w:t>排入</w:t>
            </w:r>
            <w:r>
              <w:rPr>
                <w:b w:val="0"/>
                <w:bCs w:val="0"/>
                <w:color w:val="auto"/>
                <w:sz w:val="24"/>
                <w:szCs w:val="24"/>
                <w:highlight w:val="none"/>
              </w:rPr>
              <w:t>元江工业园区MBR膜一体化300m</w:t>
            </w:r>
            <w:r>
              <w:rPr>
                <w:b w:val="0"/>
                <w:bCs w:val="0"/>
                <w:color w:val="auto"/>
                <w:sz w:val="24"/>
                <w:szCs w:val="24"/>
                <w:highlight w:val="none"/>
                <w:vertAlign w:val="superscript"/>
              </w:rPr>
              <w:t>3</w:t>
            </w:r>
            <w:r>
              <w:rPr>
                <w:b w:val="0"/>
                <w:bCs w:val="0"/>
                <w:color w:val="auto"/>
                <w:sz w:val="24"/>
                <w:szCs w:val="24"/>
                <w:highlight w:val="none"/>
              </w:rPr>
              <w:t>/d过渡式污水处理站</w:t>
            </w:r>
            <w:r>
              <w:rPr>
                <w:rFonts w:hint="eastAsia"/>
                <w:b w:val="0"/>
                <w:bCs w:val="0"/>
                <w:color w:val="auto"/>
                <w:sz w:val="24"/>
                <w:szCs w:val="24"/>
                <w:highlight w:val="none"/>
                <w:lang w:eastAsia="zh-CN"/>
              </w:rPr>
              <w:t>，</w:t>
            </w:r>
            <w:r>
              <w:rPr>
                <w:b w:val="0"/>
                <w:bCs w:val="0"/>
                <w:color w:val="auto"/>
                <w:sz w:val="24"/>
                <w:szCs w:val="24"/>
                <w:highlight w:val="none"/>
              </w:rPr>
              <w:t>因此不设废水总量控制指标。</w:t>
            </w:r>
          </w:p>
          <w:p w14:paraId="34CF7C4F">
            <w:pPr>
              <w:pStyle w:val="2"/>
              <w:adjustRightInd w:val="0"/>
              <w:snapToGrid w:val="0"/>
              <w:spacing w:after="0" w:line="360" w:lineRule="auto"/>
              <w:ind w:left="0" w:leftChars="0" w:firstLine="482" w:firstLineChars="200"/>
              <w:rPr>
                <w:b/>
                <w:color w:val="auto"/>
                <w:sz w:val="24"/>
                <w:szCs w:val="24"/>
                <w:highlight w:val="none"/>
              </w:rPr>
            </w:pPr>
            <w:r>
              <w:rPr>
                <w:b/>
                <w:color w:val="auto"/>
                <w:sz w:val="24"/>
                <w:szCs w:val="24"/>
                <w:highlight w:val="none"/>
              </w:rPr>
              <w:t>3、固体废物</w:t>
            </w:r>
          </w:p>
          <w:p w14:paraId="5ACFA357">
            <w:pPr>
              <w:pStyle w:val="2"/>
              <w:adjustRightInd w:val="0"/>
              <w:snapToGrid w:val="0"/>
              <w:spacing w:after="0" w:line="360" w:lineRule="auto"/>
              <w:ind w:left="0" w:leftChars="0" w:firstLine="480" w:firstLineChars="200"/>
              <w:rPr>
                <w:rFonts w:hint="eastAsia" w:eastAsia="宋体"/>
                <w:color w:val="auto"/>
                <w:sz w:val="24"/>
                <w:szCs w:val="24"/>
                <w:lang w:eastAsia="zh-CN"/>
              </w:rPr>
            </w:pPr>
            <w:r>
              <w:rPr>
                <w:color w:val="auto"/>
                <w:sz w:val="24"/>
                <w:szCs w:val="24"/>
              </w:rPr>
              <w:t>固废处置率为100%</w:t>
            </w:r>
            <w:r>
              <w:rPr>
                <w:rFonts w:hint="eastAsia"/>
                <w:color w:val="auto"/>
                <w:sz w:val="24"/>
                <w:szCs w:val="24"/>
                <w:lang w:eastAsia="zh-CN"/>
              </w:rPr>
              <w:t>。</w:t>
            </w:r>
          </w:p>
          <w:p w14:paraId="6B132FED">
            <w:pPr>
              <w:rPr>
                <w:color w:val="auto"/>
              </w:rPr>
            </w:pPr>
          </w:p>
          <w:p w14:paraId="295A6BCF">
            <w:pPr>
              <w:pStyle w:val="31"/>
              <w:rPr>
                <w:color w:val="auto"/>
              </w:rPr>
            </w:pPr>
          </w:p>
          <w:p w14:paraId="42B8B636">
            <w:pPr>
              <w:pStyle w:val="33"/>
              <w:rPr>
                <w:color w:val="auto"/>
              </w:rPr>
            </w:pPr>
          </w:p>
          <w:p w14:paraId="250ABE68">
            <w:pPr>
              <w:pStyle w:val="17"/>
              <w:rPr>
                <w:color w:val="auto"/>
              </w:rPr>
            </w:pPr>
          </w:p>
          <w:p w14:paraId="0527C717">
            <w:pPr>
              <w:rPr>
                <w:color w:val="auto"/>
              </w:rPr>
            </w:pPr>
          </w:p>
          <w:p w14:paraId="621C06B6">
            <w:pPr>
              <w:pStyle w:val="31"/>
              <w:rPr>
                <w:color w:val="auto"/>
              </w:rPr>
            </w:pPr>
          </w:p>
        </w:tc>
      </w:tr>
    </w:tbl>
    <w:p w14:paraId="3779FDCF">
      <w:pPr>
        <w:bidi w:val="0"/>
        <w:rPr>
          <w:color w:val="auto"/>
        </w:rPr>
      </w:pPr>
    </w:p>
    <w:p w14:paraId="60B064F8">
      <w:pPr>
        <w:rPr>
          <w:rFonts w:hint="eastAsia" w:ascii="Times New Roman" w:hAnsi="Times New Roman" w:eastAsia="黑体" w:cs="Times New Roman"/>
          <w:snapToGrid w:val="0"/>
          <w:color w:val="auto"/>
          <w:sz w:val="30"/>
          <w:szCs w:val="30"/>
          <w:lang w:val="en-US" w:eastAsia="zh-CN"/>
        </w:rPr>
      </w:pPr>
      <w:r>
        <w:rPr>
          <w:rFonts w:hint="eastAsia" w:ascii="Times New Roman" w:hAnsi="Times New Roman" w:eastAsia="黑体" w:cs="Times New Roman"/>
          <w:snapToGrid w:val="0"/>
          <w:color w:val="auto"/>
          <w:sz w:val="30"/>
          <w:szCs w:val="30"/>
          <w:lang w:val="en-US" w:eastAsia="zh-CN"/>
        </w:rPr>
        <w:br w:type="page"/>
      </w:r>
    </w:p>
    <w:p w14:paraId="52C6ED7A">
      <w:pPr>
        <w:pStyle w:val="19"/>
        <w:jc w:val="center"/>
        <w:outlineLvl w:val="0"/>
        <w:rPr>
          <w:rFonts w:hint="eastAsia" w:ascii="Times New Roman" w:hAnsi="Times New Roman" w:eastAsia="黑体" w:cs="Times New Roman"/>
          <w:snapToGrid w:val="0"/>
          <w:color w:val="auto"/>
          <w:sz w:val="30"/>
          <w:szCs w:val="30"/>
          <w:lang w:val="en-US" w:eastAsia="zh-CN"/>
        </w:rPr>
        <w:sectPr>
          <w:pgSz w:w="11907" w:h="16840"/>
          <w:pgMar w:top="1701" w:right="1531" w:bottom="2127" w:left="1531" w:header="851" w:footer="851" w:gutter="0"/>
          <w:pgNumType w:fmt="numberInDash"/>
          <w:cols w:space="720" w:num="1"/>
          <w:docGrid w:linePitch="312" w:charSpace="0"/>
        </w:sectPr>
      </w:pPr>
    </w:p>
    <w:p w14:paraId="41A2A477">
      <w:pPr>
        <w:pStyle w:val="19"/>
        <w:jc w:val="center"/>
        <w:outlineLvl w:val="0"/>
        <w:rPr>
          <w:rFonts w:ascii="Times New Roman" w:hAnsi="Times New Roman" w:eastAsia="黑体" w:cs="Times New Roman"/>
          <w:snapToGrid w:val="0"/>
          <w:color w:val="auto"/>
          <w:sz w:val="30"/>
          <w:szCs w:val="30"/>
        </w:rPr>
      </w:pPr>
      <w:bookmarkStart w:id="8" w:name="_Toc20120"/>
      <w:r>
        <w:rPr>
          <w:rFonts w:hint="eastAsia" w:ascii="Times New Roman" w:hAnsi="Times New Roman" w:eastAsia="黑体" w:cs="Times New Roman"/>
          <w:snapToGrid w:val="0"/>
          <w:color w:val="auto"/>
          <w:sz w:val="30"/>
          <w:szCs w:val="30"/>
          <w:lang w:val="en-US" w:eastAsia="zh-CN"/>
        </w:rPr>
        <w:t>四、</w:t>
      </w:r>
      <w:r>
        <w:rPr>
          <w:rFonts w:ascii="Times New Roman" w:hAnsi="Times New Roman" w:eastAsia="黑体" w:cs="Times New Roman"/>
          <w:snapToGrid w:val="0"/>
          <w:color w:val="auto"/>
          <w:sz w:val="30"/>
          <w:szCs w:val="30"/>
        </w:rPr>
        <w:t>主要环境影响和保护措施</w:t>
      </w:r>
      <w:bookmarkEnd w:id="8"/>
    </w:p>
    <w:tbl>
      <w:tblPr>
        <w:tblStyle w:val="22"/>
        <w:tblW w:w="90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7"/>
        <w:gridCol w:w="8309"/>
      </w:tblGrid>
      <w:tr w14:paraId="071ABE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7" w:type="dxa"/>
            <w:tcMar>
              <w:left w:w="28" w:type="dxa"/>
              <w:right w:w="28" w:type="dxa"/>
            </w:tcMar>
            <w:vAlign w:val="center"/>
          </w:tcPr>
          <w:p w14:paraId="1E685CE9">
            <w:pPr>
              <w:pStyle w:val="19"/>
              <w:adjustRightInd w:val="0"/>
              <w:snapToGrid w:val="0"/>
              <w:spacing w:before="0" w:beforeAutospacing="0" w:after="0" w:afterAutospacing="0"/>
              <w:jc w:val="center"/>
              <w:rPr>
                <w:rFonts w:ascii="Times New Roman" w:hAnsi="Times New Roman" w:cs="Times New Roman"/>
                <w:color w:val="auto"/>
                <w:sz w:val="24"/>
                <w:szCs w:val="24"/>
              </w:rPr>
            </w:pPr>
            <w:r>
              <w:rPr>
                <w:rFonts w:ascii="Times New Roman" w:hAnsi="Times New Roman" w:cs="Times New Roman"/>
                <w:color w:val="auto"/>
                <w:sz w:val="24"/>
                <w:szCs w:val="24"/>
              </w:rPr>
              <w:t>施工</w:t>
            </w:r>
          </w:p>
          <w:p w14:paraId="4DC67C14">
            <w:pPr>
              <w:pStyle w:val="19"/>
              <w:adjustRightInd w:val="0"/>
              <w:snapToGrid w:val="0"/>
              <w:spacing w:before="0" w:beforeAutospacing="0" w:after="0" w:afterAutospacing="0"/>
              <w:jc w:val="center"/>
              <w:rPr>
                <w:rFonts w:ascii="Times New Roman" w:hAnsi="Times New Roman" w:cs="Times New Roman"/>
                <w:color w:val="auto"/>
                <w:sz w:val="24"/>
                <w:szCs w:val="24"/>
              </w:rPr>
            </w:pPr>
            <w:r>
              <w:rPr>
                <w:rFonts w:ascii="Times New Roman" w:hAnsi="Times New Roman" w:cs="Times New Roman"/>
                <w:color w:val="auto"/>
                <w:sz w:val="24"/>
                <w:szCs w:val="24"/>
              </w:rPr>
              <w:t>期环</w:t>
            </w:r>
          </w:p>
          <w:p w14:paraId="5872778A">
            <w:pPr>
              <w:pStyle w:val="19"/>
              <w:adjustRightInd w:val="0"/>
              <w:snapToGrid w:val="0"/>
              <w:spacing w:before="0" w:beforeAutospacing="0" w:after="0" w:afterAutospacing="0"/>
              <w:jc w:val="center"/>
              <w:rPr>
                <w:rFonts w:ascii="Times New Roman" w:hAnsi="Times New Roman" w:cs="Times New Roman"/>
                <w:color w:val="auto"/>
                <w:sz w:val="24"/>
                <w:szCs w:val="24"/>
              </w:rPr>
            </w:pPr>
            <w:r>
              <w:rPr>
                <w:rFonts w:ascii="Times New Roman" w:hAnsi="Times New Roman" w:cs="Times New Roman"/>
                <w:color w:val="auto"/>
                <w:sz w:val="24"/>
                <w:szCs w:val="24"/>
              </w:rPr>
              <w:t>境保</w:t>
            </w:r>
          </w:p>
          <w:p w14:paraId="7FAE8CA9">
            <w:pPr>
              <w:pStyle w:val="19"/>
              <w:adjustRightInd w:val="0"/>
              <w:snapToGrid w:val="0"/>
              <w:spacing w:before="0" w:beforeAutospacing="0" w:after="0" w:afterAutospacing="0"/>
              <w:jc w:val="center"/>
              <w:rPr>
                <w:rFonts w:ascii="Times New Roman" w:hAnsi="Times New Roman" w:cs="Times New Roman"/>
                <w:color w:val="auto"/>
                <w:sz w:val="24"/>
                <w:szCs w:val="24"/>
              </w:rPr>
            </w:pPr>
            <w:r>
              <w:rPr>
                <w:rFonts w:ascii="Times New Roman" w:hAnsi="Times New Roman" w:cs="Times New Roman"/>
                <w:color w:val="auto"/>
                <w:sz w:val="24"/>
                <w:szCs w:val="24"/>
              </w:rPr>
              <w:t>护措</w:t>
            </w:r>
          </w:p>
          <w:p w14:paraId="647D591D">
            <w:pPr>
              <w:pStyle w:val="19"/>
              <w:adjustRightInd w:val="0"/>
              <w:snapToGrid w:val="0"/>
              <w:spacing w:before="0" w:beforeAutospacing="0" w:after="0" w:afterAutospacing="0"/>
              <w:jc w:val="center"/>
              <w:rPr>
                <w:rFonts w:ascii="Times New Roman" w:hAnsi="Times New Roman" w:cs="Times New Roman"/>
                <w:bCs/>
                <w:color w:val="auto"/>
                <w:sz w:val="21"/>
                <w:szCs w:val="21"/>
              </w:rPr>
            </w:pPr>
            <w:r>
              <w:rPr>
                <w:rFonts w:ascii="Times New Roman" w:hAnsi="Times New Roman" w:cs="Times New Roman"/>
                <w:color w:val="auto"/>
                <w:sz w:val="24"/>
                <w:szCs w:val="24"/>
              </w:rPr>
              <w:t>施</w:t>
            </w:r>
          </w:p>
        </w:tc>
        <w:tc>
          <w:tcPr>
            <w:tcW w:w="8309" w:type="dxa"/>
            <w:vAlign w:val="center"/>
          </w:tcPr>
          <w:p w14:paraId="61E410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本次技改主要</w:t>
            </w:r>
            <w:r>
              <w:rPr>
                <w:rFonts w:hint="eastAsia" w:cs="Times New Roman"/>
                <w:color w:val="auto"/>
                <w:sz w:val="24"/>
                <w:highlight w:val="none"/>
                <w:lang w:val="en-US" w:eastAsia="zh-CN"/>
              </w:rPr>
              <w:t>将现有2t/h燃生物质锅炉拆除，安装1台2.2t/h燃生物质锅炉及配套除尘设施。</w:t>
            </w:r>
            <w:r>
              <w:rPr>
                <w:rFonts w:hint="eastAsia" w:cs="Times New Roman"/>
                <w:color w:val="auto"/>
                <w:sz w:val="24"/>
                <w:szCs w:val="24"/>
                <w:lang w:val="en-US" w:eastAsia="zh-CN"/>
              </w:rPr>
              <w:t>项目施工工程量小，施工期短。施工期产生的污染物主要为施工废气、施工人员生活污水、施工噪声、施工人员生活垃圾、固体废物等。</w:t>
            </w:r>
          </w:p>
          <w:p w14:paraId="2D1AD8E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szCs w:val="24"/>
                <w:lang w:val="en-US" w:eastAsia="zh-CN" w:bidi="ar"/>
              </w:rPr>
            </w:pPr>
            <w:r>
              <w:rPr>
                <w:rFonts w:hint="eastAsia" w:cs="Times New Roman"/>
                <w:b/>
                <w:bCs/>
                <w:color w:val="auto"/>
                <w:kern w:val="0"/>
                <w:sz w:val="24"/>
                <w:szCs w:val="24"/>
                <w:lang w:val="en-US" w:eastAsia="zh-CN" w:bidi="ar"/>
              </w:rPr>
              <w:t>1、废气</w:t>
            </w:r>
          </w:p>
          <w:p w14:paraId="6397C899">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eastAsia="宋体"/>
                <w:color w:val="auto"/>
                <w:lang w:val="en-US" w:eastAsia="zh-CN"/>
              </w:rPr>
            </w:pPr>
            <w:r>
              <w:rPr>
                <w:rFonts w:hint="eastAsia" w:cs="Times New Roman"/>
                <w:color w:val="auto"/>
                <w:kern w:val="0"/>
                <w:sz w:val="24"/>
                <w:szCs w:val="24"/>
                <w:lang w:val="en-US" w:eastAsia="zh-CN" w:bidi="ar"/>
              </w:rPr>
              <w:t>项目施工期产生的废气主要为</w:t>
            </w:r>
            <w:r>
              <w:rPr>
                <w:rFonts w:hint="eastAsia" w:ascii="宋体" w:hAnsi="宋体" w:eastAsia="宋体" w:cs="宋体"/>
                <w:color w:val="auto"/>
                <w:kern w:val="0"/>
                <w:sz w:val="24"/>
                <w:szCs w:val="24"/>
                <w:lang w:val="en-US" w:eastAsia="zh-CN" w:bidi="ar"/>
              </w:rPr>
              <w:t>施工机具作业时产生的少量粉尘及车辆运输扬尘等</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产生量较小</w:t>
            </w:r>
            <w:r>
              <w:rPr>
                <w:rFonts w:hint="eastAsia" w:ascii="宋体" w:hAnsi="宋体" w:cs="宋体"/>
                <w:color w:val="auto"/>
                <w:kern w:val="0"/>
                <w:sz w:val="24"/>
                <w:szCs w:val="24"/>
                <w:lang w:val="en-US" w:eastAsia="zh-CN" w:bidi="ar"/>
              </w:rPr>
              <w:t>。施工期产生的粉尘污染是短期的，随着施工活动的结束，施工扬尘对环境空气的影响也就随之结束。因此项目施工产生的粉尘对周围环境影响可接受。</w:t>
            </w:r>
          </w:p>
          <w:p w14:paraId="5009413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szCs w:val="24"/>
                <w:lang w:val="en-US" w:eastAsia="zh-CN" w:bidi="ar"/>
              </w:rPr>
            </w:pPr>
            <w:r>
              <w:rPr>
                <w:rFonts w:hint="eastAsia" w:cs="Times New Roman"/>
                <w:b/>
                <w:bCs/>
                <w:color w:val="auto"/>
                <w:kern w:val="0"/>
                <w:sz w:val="24"/>
                <w:szCs w:val="24"/>
                <w:lang w:val="en-US" w:eastAsia="zh-CN" w:bidi="ar"/>
              </w:rPr>
              <w:t>2、废水</w:t>
            </w:r>
          </w:p>
          <w:p w14:paraId="0113ABED">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192"/>
              <w:textAlignment w:val="auto"/>
              <w:rPr>
                <w:rFonts w:hint="default" w:ascii="Times New Roman" w:hAnsi="Times New Roman" w:eastAsia="宋体" w:cs="Times New Roman"/>
                <w:color w:val="auto"/>
                <w:kern w:val="0"/>
                <w:sz w:val="24"/>
                <w:szCs w:val="24"/>
                <w:lang w:val="en-US" w:eastAsia="zh-CN" w:bidi="ar"/>
              </w:rPr>
            </w:pPr>
            <w:r>
              <w:rPr>
                <w:color w:val="auto"/>
                <w:kern w:val="1"/>
                <w:sz w:val="24"/>
                <w:szCs w:val="24"/>
              </w:rPr>
              <w:t>施工期间无施工废水产生</w:t>
            </w:r>
            <w:r>
              <w:rPr>
                <w:rFonts w:hint="eastAsia"/>
                <w:color w:val="auto"/>
                <w:kern w:val="1"/>
                <w:sz w:val="24"/>
                <w:szCs w:val="24"/>
              </w:rPr>
              <w:t>，</w:t>
            </w:r>
            <w:r>
              <w:rPr>
                <w:rFonts w:hint="eastAsia"/>
                <w:color w:val="auto"/>
                <w:kern w:val="1"/>
                <w:sz w:val="24"/>
                <w:szCs w:val="24"/>
                <w:lang w:val="en-US" w:eastAsia="zh-CN"/>
              </w:rPr>
              <w:t>施工人员</w:t>
            </w:r>
            <w:r>
              <w:rPr>
                <w:rFonts w:hint="eastAsia"/>
                <w:color w:val="auto"/>
                <w:kern w:val="1"/>
                <w:sz w:val="24"/>
                <w:szCs w:val="24"/>
              </w:rPr>
              <w:t>不在项目区内食宿，</w:t>
            </w:r>
            <w:r>
              <w:rPr>
                <w:rFonts w:hint="eastAsia"/>
                <w:color w:val="auto"/>
                <w:kern w:val="1"/>
                <w:sz w:val="24"/>
                <w:szCs w:val="24"/>
                <w:lang w:val="en-US" w:eastAsia="zh-CN"/>
              </w:rPr>
              <w:t>仅产生少量的清洗废水，</w:t>
            </w:r>
            <w:r>
              <w:rPr>
                <w:color w:val="auto"/>
                <w:kern w:val="1"/>
                <w:sz w:val="24"/>
                <w:szCs w:val="24"/>
              </w:rPr>
              <w:t>依托</w:t>
            </w:r>
            <w:r>
              <w:rPr>
                <w:color w:val="auto"/>
                <w:sz w:val="24"/>
                <w:szCs w:val="24"/>
              </w:rPr>
              <w:t>综合楼</w:t>
            </w:r>
            <w:r>
              <w:rPr>
                <w:rFonts w:hint="eastAsia"/>
                <w:color w:val="auto"/>
                <w:sz w:val="24"/>
                <w:szCs w:val="24"/>
                <w:lang w:val="en-US" w:eastAsia="zh-CN"/>
              </w:rPr>
              <w:t>配套建设的化粪池处理达标后排入</w:t>
            </w:r>
            <w:r>
              <w:rPr>
                <w:color w:val="auto"/>
                <w:sz w:val="24"/>
                <w:szCs w:val="24"/>
                <w:highlight w:val="none"/>
              </w:rPr>
              <w:t>元江工业园区MBR膜一体化300m</w:t>
            </w:r>
            <w:r>
              <w:rPr>
                <w:color w:val="auto"/>
                <w:sz w:val="24"/>
                <w:szCs w:val="24"/>
                <w:highlight w:val="none"/>
                <w:vertAlign w:val="superscript"/>
              </w:rPr>
              <w:t>3</w:t>
            </w:r>
            <w:r>
              <w:rPr>
                <w:color w:val="auto"/>
                <w:sz w:val="24"/>
                <w:szCs w:val="24"/>
                <w:highlight w:val="none"/>
              </w:rPr>
              <w:t>/d过渡式污水处理站处理</w:t>
            </w:r>
            <w:r>
              <w:rPr>
                <w:rFonts w:hint="eastAsia"/>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对周边环境影响较小。</w:t>
            </w:r>
          </w:p>
          <w:p w14:paraId="6EC13753">
            <w:pPr>
              <w:keepNext w:val="0"/>
              <w:keepLines w:val="0"/>
              <w:pageBreakBefore w:val="0"/>
              <w:widowControl w:val="0"/>
              <w:tabs>
                <w:tab w:val="left" w:pos="619"/>
              </w:tabs>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szCs w:val="24"/>
                <w:lang w:val="en-US" w:eastAsia="zh-CN" w:bidi="ar"/>
              </w:rPr>
            </w:pPr>
            <w:r>
              <w:rPr>
                <w:rFonts w:hint="eastAsia" w:cs="Times New Roman"/>
                <w:b/>
                <w:bCs/>
                <w:color w:val="auto"/>
                <w:kern w:val="0"/>
                <w:sz w:val="24"/>
                <w:szCs w:val="24"/>
                <w:lang w:val="en-US" w:eastAsia="zh-CN" w:bidi="ar"/>
              </w:rPr>
              <w:t>3、噪声</w:t>
            </w:r>
          </w:p>
          <w:p w14:paraId="4B7DE95D">
            <w:pPr>
              <w:adjustRightInd w:val="0"/>
              <w:snapToGrid w:val="0"/>
              <w:spacing w:line="360" w:lineRule="auto"/>
              <w:ind w:firstLine="480" w:firstLineChars="200"/>
              <w:textAlignment w:val="baseline"/>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施工噪声主要来源于</w:t>
            </w:r>
            <w:r>
              <w:rPr>
                <w:rFonts w:hint="eastAsia" w:ascii="Times New Roman" w:hAnsi="Times New Roman" w:eastAsia="宋体" w:cs="Times New Roman"/>
                <w:color w:val="auto"/>
                <w:sz w:val="24"/>
                <w:lang w:val="en-US" w:eastAsia="zh-CN"/>
              </w:rPr>
              <w:t>施工器具</w:t>
            </w:r>
            <w:r>
              <w:rPr>
                <w:rFonts w:hint="default" w:ascii="Times New Roman" w:hAnsi="Times New Roman" w:eastAsia="宋体" w:cs="Times New Roman"/>
                <w:color w:val="auto"/>
                <w:sz w:val="24"/>
                <w:lang w:val="en-US" w:eastAsia="zh-CN"/>
              </w:rPr>
              <w:t>和运输车辆</w:t>
            </w:r>
            <w:r>
              <w:rPr>
                <w:rFonts w:hint="eastAsia" w:ascii="Times New Roman" w:hAnsi="Times New Roman" w:eastAsia="宋体" w:cs="Times New Roman"/>
                <w:color w:val="auto"/>
                <w:sz w:val="24"/>
                <w:lang w:val="en-US" w:eastAsia="zh-CN"/>
              </w:rPr>
              <w:t>运行噪声</w:t>
            </w:r>
            <w:r>
              <w:rPr>
                <w:rFonts w:hint="default" w:ascii="Times New Roman" w:hAnsi="Times New Roman" w:eastAsia="宋体" w:cs="Times New Roman"/>
                <w:color w:val="auto"/>
                <w:sz w:val="24"/>
                <w:lang w:val="en-US" w:eastAsia="zh-CN"/>
              </w:rPr>
              <w:t>，其特点为随机性、无组织性，不连续性和不规律性。项目施工期噪声主要为施工机械，为了减缓施工噪声的影响，本环评提出如下措施：</w:t>
            </w:r>
          </w:p>
          <w:p w14:paraId="35151376">
            <w:pPr>
              <w:adjustRightInd w:val="0"/>
              <w:snapToGrid w:val="0"/>
              <w:spacing w:line="360" w:lineRule="auto"/>
              <w:ind w:firstLine="480" w:firstLineChars="200"/>
              <w:textAlignment w:val="baseline"/>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①从声源上控制：选用噪声相对较低的施工机械设备；</w:t>
            </w:r>
          </w:p>
          <w:p w14:paraId="751635B2">
            <w:pPr>
              <w:adjustRightInd w:val="0"/>
              <w:snapToGrid w:val="0"/>
              <w:spacing w:line="360" w:lineRule="auto"/>
              <w:ind w:firstLine="480" w:firstLineChars="200"/>
              <w:textAlignment w:val="baseline"/>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②严禁夜间施工，若必须进行夜间作业，需按要求提前向主管部门申请，并将施工信息告知周边住户及单位。</w:t>
            </w:r>
          </w:p>
          <w:p w14:paraId="2CC28F5C">
            <w:pPr>
              <w:adjustRightInd w:val="0"/>
              <w:snapToGrid w:val="0"/>
              <w:spacing w:line="360" w:lineRule="auto"/>
              <w:ind w:firstLine="480" w:firstLineChars="200"/>
              <w:textAlignment w:val="baseline"/>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③施工场地内可固定设备应尽量设置在设备专用房或操作间内，避免露天作业。</w:t>
            </w:r>
          </w:p>
          <w:p w14:paraId="3EC37D8F">
            <w:pPr>
              <w:adjustRightInd w:val="0"/>
              <w:snapToGrid w:val="0"/>
              <w:spacing w:line="360" w:lineRule="auto"/>
              <w:ind w:firstLine="480" w:firstLineChars="200"/>
              <w:textAlignment w:val="baseline"/>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④车辆出入现场时应低速、禁鸣。</w:t>
            </w:r>
          </w:p>
          <w:p w14:paraId="4C7C7686">
            <w:pPr>
              <w:adjustRightInd w:val="0"/>
              <w:snapToGrid w:val="0"/>
              <w:spacing w:line="360" w:lineRule="auto"/>
              <w:ind w:firstLine="480" w:firstLineChars="200"/>
              <w:textAlignment w:val="baseline"/>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⑤</w:t>
            </w:r>
            <w:r>
              <w:rPr>
                <w:rFonts w:hint="default" w:ascii="Times New Roman" w:hAnsi="Times New Roman" w:eastAsia="宋体" w:cs="Times New Roman"/>
                <w:color w:val="auto"/>
                <w:sz w:val="24"/>
                <w:lang w:val="en-US" w:eastAsia="zh-CN"/>
              </w:rPr>
              <w:t>合理安排工期，缩短施工的施工时间；加强对施工人员的管理，做到文明施工，避免人为噪声不文明施工行为。</w:t>
            </w:r>
          </w:p>
          <w:p w14:paraId="46364BA0">
            <w:pPr>
              <w:adjustRightInd w:val="0"/>
              <w:snapToGrid w:val="0"/>
              <w:spacing w:line="360" w:lineRule="auto"/>
              <w:ind w:firstLine="480" w:firstLineChars="200"/>
              <w:textAlignment w:val="baseline"/>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本项目在采取了上述措施后，施工期噪声对周围环境影响</w:t>
            </w:r>
            <w:r>
              <w:rPr>
                <w:rFonts w:hint="eastAsia" w:cs="Times New Roman"/>
                <w:color w:val="auto"/>
                <w:sz w:val="24"/>
                <w:lang w:val="en-US" w:eastAsia="zh-CN"/>
              </w:rPr>
              <w:t>可接受</w:t>
            </w:r>
            <w:r>
              <w:rPr>
                <w:rFonts w:hint="default" w:ascii="Times New Roman" w:hAnsi="Times New Roman" w:eastAsia="宋体" w:cs="Times New Roman"/>
                <w:color w:val="auto"/>
                <w:sz w:val="24"/>
                <w:lang w:val="en-US" w:eastAsia="zh-CN"/>
              </w:rPr>
              <w:t>。</w:t>
            </w:r>
          </w:p>
          <w:p w14:paraId="4C0A0B4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kern w:val="0"/>
                <w:sz w:val="24"/>
                <w:szCs w:val="24"/>
                <w:lang w:val="en-US" w:eastAsia="zh-CN" w:bidi="ar"/>
              </w:rPr>
            </w:pPr>
            <w:r>
              <w:rPr>
                <w:rFonts w:hint="eastAsia" w:cs="Times New Roman"/>
                <w:b/>
                <w:bCs/>
                <w:color w:val="auto"/>
                <w:kern w:val="0"/>
                <w:sz w:val="24"/>
                <w:szCs w:val="24"/>
                <w:lang w:val="en-US" w:eastAsia="zh-CN" w:bidi="ar"/>
              </w:rPr>
              <w:t>4、固废</w:t>
            </w:r>
          </w:p>
          <w:p w14:paraId="797795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sz w:val="24"/>
                <w:szCs w:val="24"/>
              </w:rPr>
              <w:t>施工期产生的固体废物主要为</w:t>
            </w:r>
            <w:r>
              <w:rPr>
                <w:rFonts w:hint="eastAsia"/>
                <w:color w:val="auto"/>
                <w:sz w:val="24"/>
                <w:szCs w:val="24"/>
                <w:lang w:val="en-US" w:eastAsia="zh-CN"/>
              </w:rPr>
              <w:t>拆除废锅炉、废施工材料及</w:t>
            </w:r>
            <w:r>
              <w:rPr>
                <w:rFonts w:hint="eastAsia"/>
                <w:color w:val="auto"/>
                <w:sz w:val="24"/>
                <w:szCs w:val="24"/>
              </w:rPr>
              <w:t>施工人员生活垃圾</w:t>
            </w:r>
            <w:r>
              <w:rPr>
                <w:rFonts w:hint="eastAsia"/>
                <w:color w:val="auto"/>
                <w:sz w:val="24"/>
                <w:szCs w:val="24"/>
                <w:lang w:eastAsia="zh-CN"/>
              </w:rPr>
              <w:t>。</w:t>
            </w:r>
            <w:r>
              <w:rPr>
                <w:rFonts w:hint="eastAsia"/>
                <w:color w:val="auto"/>
                <w:sz w:val="24"/>
                <w:szCs w:val="24"/>
                <w:lang w:val="en-US" w:eastAsia="zh-CN"/>
              </w:rPr>
              <w:t>拆除废锅炉外售资源回收厂家；废施工材料能回收利用的回收利用，不能利用的委托相关单位进行处置</w:t>
            </w:r>
            <w:r>
              <w:rPr>
                <w:rFonts w:hint="eastAsia"/>
                <w:color w:val="auto"/>
                <w:sz w:val="24"/>
                <w:szCs w:val="24"/>
                <w:lang w:val="en-GB"/>
              </w:rPr>
              <w:t>；</w:t>
            </w:r>
            <w:r>
              <w:rPr>
                <w:color w:val="auto"/>
                <w:sz w:val="24"/>
                <w:szCs w:val="24"/>
                <w:lang w:val="en-GB"/>
              </w:rPr>
              <w:t>生活垃圾</w:t>
            </w:r>
            <w:r>
              <w:rPr>
                <w:rFonts w:hint="eastAsia"/>
                <w:color w:val="auto"/>
                <w:sz w:val="24"/>
                <w:szCs w:val="24"/>
                <w:lang w:val="en-US" w:eastAsia="zh-CN"/>
              </w:rPr>
              <w:t>统一收集后委托</w:t>
            </w:r>
            <w:r>
              <w:rPr>
                <w:color w:val="auto"/>
                <w:sz w:val="24"/>
                <w:szCs w:val="24"/>
                <w:lang w:val="en-GB"/>
              </w:rPr>
              <w:t>环卫部门清运处置</w:t>
            </w:r>
            <w:r>
              <w:rPr>
                <w:rFonts w:hint="eastAsia"/>
                <w:color w:val="auto"/>
                <w:sz w:val="24"/>
                <w:szCs w:val="24"/>
                <w:lang w:val="en-GB"/>
              </w:rPr>
              <w:t>。</w:t>
            </w:r>
            <w:r>
              <w:rPr>
                <w:rFonts w:hint="eastAsia"/>
                <w:color w:val="auto"/>
                <w:sz w:val="24"/>
                <w:szCs w:val="24"/>
                <w:lang w:val="en-US" w:eastAsia="zh-CN"/>
              </w:rPr>
              <w:t>项目施工期固废处置率为100%，对周边环境的影响较小。</w:t>
            </w:r>
          </w:p>
        </w:tc>
      </w:tr>
      <w:tr w14:paraId="03508D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7" w:type="dxa"/>
            <w:tcMar>
              <w:left w:w="28" w:type="dxa"/>
              <w:right w:w="28" w:type="dxa"/>
            </w:tcMar>
            <w:vAlign w:val="center"/>
          </w:tcPr>
          <w:p w14:paraId="077647E5">
            <w:pPr>
              <w:adjustRightInd w:val="0"/>
              <w:snapToGrid w:val="0"/>
              <w:jc w:val="center"/>
              <w:rPr>
                <w:bCs/>
                <w:color w:val="auto"/>
                <w:sz w:val="24"/>
                <w:szCs w:val="24"/>
              </w:rPr>
            </w:pPr>
            <w:r>
              <w:rPr>
                <w:bCs/>
                <w:color w:val="auto"/>
                <w:sz w:val="24"/>
                <w:szCs w:val="24"/>
              </w:rPr>
              <w:t>运营</w:t>
            </w:r>
          </w:p>
          <w:p w14:paraId="1B4CD5A9">
            <w:pPr>
              <w:adjustRightInd w:val="0"/>
              <w:snapToGrid w:val="0"/>
              <w:jc w:val="center"/>
              <w:rPr>
                <w:bCs/>
                <w:color w:val="auto"/>
                <w:sz w:val="24"/>
                <w:szCs w:val="24"/>
              </w:rPr>
            </w:pPr>
            <w:r>
              <w:rPr>
                <w:bCs/>
                <w:color w:val="auto"/>
                <w:sz w:val="24"/>
                <w:szCs w:val="24"/>
              </w:rPr>
              <w:t>期环</w:t>
            </w:r>
          </w:p>
          <w:p w14:paraId="6F5A93D7">
            <w:pPr>
              <w:adjustRightInd w:val="0"/>
              <w:snapToGrid w:val="0"/>
              <w:jc w:val="center"/>
              <w:rPr>
                <w:bCs/>
                <w:color w:val="auto"/>
                <w:sz w:val="24"/>
                <w:szCs w:val="24"/>
              </w:rPr>
            </w:pPr>
            <w:r>
              <w:rPr>
                <w:bCs/>
                <w:color w:val="auto"/>
                <w:sz w:val="24"/>
                <w:szCs w:val="24"/>
              </w:rPr>
              <w:t>境影</w:t>
            </w:r>
          </w:p>
          <w:p w14:paraId="0DA6939D">
            <w:pPr>
              <w:adjustRightInd w:val="0"/>
              <w:snapToGrid w:val="0"/>
              <w:jc w:val="center"/>
              <w:rPr>
                <w:bCs/>
                <w:color w:val="auto"/>
                <w:sz w:val="24"/>
                <w:szCs w:val="24"/>
              </w:rPr>
            </w:pPr>
            <w:r>
              <w:rPr>
                <w:bCs/>
                <w:color w:val="auto"/>
                <w:sz w:val="24"/>
                <w:szCs w:val="24"/>
              </w:rPr>
              <w:t>响和</w:t>
            </w:r>
          </w:p>
          <w:p w14:paraId="2A7E6608">
            <w:pPr>
              <w:adjustRightInd w:val="0"/>
              <w:snapToGrid w:val="0"/>
              <w:jc w:val="center"/>
              <w:rPr>
                <w:bCs/>
                <w:color w:val="auto"/>
                <w:sz w:val="24"/>
                <w:szCs w:val="24"/>
              </w:rPr>
            </w:pPr>
            <w:r>
              <w:rPr>
                <w:bCs/>
                <w:color w:val="auto"/>
                <w:sz w:val="24"/>
                <w:szCs w:val="24"/>
              </w:rPr>
              <w:t>保护</w:t>
            </w:r>
          </w:p>
          <w:p w14:paraId="05740ED5">
            <w:pPr>
              <w:pStyle w:val="19"/>
              <w:adjustRightInd w:val="0"/>
              <w:snapToGrid w:val="0"/>
              <w:spacing w:before="0" w:beforeAutospacing="0" w:after="0" w:afterAutospacing="0"/>
              <w:jc w:val="center"/>
              <w:rPr>
                <w:rFonts w:ascii="Times New Roman" w:hAnsi="Times New Roman" w:cs="Times New Roman"/>
                <w:color w:val="auto"/>
                <w:sz w:val="24"/>
                <w:szCs w:val="24"/>
              </w:rPr>
            </w:pPr>
            <w:r>
              <w:rPr>
                <w:bCs/>
                <w:color w:val="auto"/>
                <w:sz w:val="24"/>
                <w:szCs w:val="24"/>
              </w:rPr>
              <w:t>措施</w:t>
            </w:r>
          </w:p>
        </w:tc>
        <w:tc>
          <w:tcPr>
            <w:tcW w:w="8309" w:type="dxa"/>
            <w:vAlign w:val="top"/>
          </w:tcPr>
          <w:p w14:paraId="3170A104">
            <w:pPr>
              <w:spacing w:line="360" w:lineRule="auto"/>
              <w:ind w:firstLine="482" w:firstLineChars="200"/>
              <w:jc w:val="both"/>
              <w:rPr>
                <w:b/>
                <w:bCs/>
                <w:color w:val="auto"/>
                <w:sz w:val="24"/>
              </w:rPr>
            </w:pPr>
            <w:r>
              <w:rPr>
                <w:rFonts w:hint="eastAsia"/>
                <w:b/>
                <w:bCs/>
                <w:color w:val="auto"/>
                <w:sz w:val="24"/>
                <w:lang w:val="en-US" w:eastAsia="zh-CN"/>
              </w:rPr>
              <w:t>一、</w:t>
            </w:r>
            <w:r>
              <w:rPr>
                <w:b/>
                <w:bCs/>
                <w:color w:val="auto"/>
                <w:sz w:val="24"/>
              </w:rPr>
              <w:t>废气</w:t>
            </w:r>
          </w:p>
          <w:p w14:paraId="449B3BD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center"/>
              <w:rPr>
                <w:rFonts w:hint="eastAsia"/>
                <w:b w:val="0"/>
                <w:bCs w:val="0"/>
                <w:color w:val="auto"/>
                <w:sz w:val="24"/>
                <w:lang w:val="en-US" w:eastAsia="zh-CN"/>
              </w:rPr>
            </w:pPr>
            <w:r>
              <w:rPr>
                <w:color w:val="auto"/>
                <w:sz w:val="24"/>
              </w:rPr>
              <w:t>废气主要为运</w:t>
            </w:r>
            <w:r>
              <w:rPr>
                <w:b w:val="0"/>
                <w:bCs w:val="0"/>
                <w:color w:val="auto"/>
                <w:sz w:val="24"/>
              </w:rPr>
              <w:t>营期间</w:t>
            </w:r>
            <w:r>
              <w:rPr>
                <w:rFonts w:hint="eastAsia"/>
                <w:b w:val="0"/>
                <w:bCs w:val="0"/>
                <w:color w:val="auto"/>
                <w:sz w:val="24"/>
                <w:lang w:val="en-US" w:eastAsia="zh-CN"/>
              </w:rPr>
              <w:t>锅炉燃烧废气、生物质燃料原料堆存粉尘、生产车间</w:t>
            </w:r>
            <w:r>
              <w:rPr>
                <w:b w:val="0"/>
                <w:bCs w:val="0"/>
                <w:color w:val="auto"/>
                <w:sz w:val="24"/>
              </w:rPr>
              <w:t>异味。</w:t>
            </w:r>
            <w:r>
              <w:rPr>
                <w:rFonts w:hint="eastAsia"/>
                <w:b w:val="0"/>
                <w:bCs w:val="0"/>
                <w:color w:val="auto"/>
                <w:sz w:val="24"/>
                <w:lang w:val="en-US" w:eastAsia="zh-CN"/>
              </w:rPr>
              <w:t>产排污情况见下表：</w:t>
            </w:r>
          </w:p>
          <w:p w14:paraId="7A4773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center"/>
              <w:rPr>
                <w:rFonts w:hint="eastAsia"/>
                <w:b w:val="0"/>
                <w:bCs w:val="0"/>
                <w:color w:val="auto"/>
                <w:sz w:val="24"/>
                <w:lang w:val="en-US" w:eastAsia="zh-CN"/>
              </w:rPr>
            </w:pPr>
          </w:p>
          <w:p w14:paraId="4DCFD82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center"/>
              <w:rPr>
                <w:rFonts w:hint="default" w:eastAsia="宋体"/>
                <w:b w:val="0"/>
                <w:bCs w:val="0"/>
                <w:color w:val="auto"/>
                <w:sz w:val="24"/>
                <w:lang w:val="en-US" w:eastAsia="zh-CN"/>
              </w:rPr>
            </w:pPr>
          </w:p>
          <w:p w14:paraId="0785DD3F">
            <w:pPr>
              <w:spacing w:line="360" w:lineRule="auto"/>
              <w:ind w:firstLine="420" w:firstLineChars="200"/>
              <w:jc w:val="both"/>
              <w:rPr>
                <w:color w:val="auto"/>
              </w:rPr>
            </w:pPr>
          </w:p>
        </w:tc>
      </w:tr>
    </w:tbl>
    <w:p w14:paraId="2A695F11">
      <w:pPr>
        <w:rPr>
          <w:color w:val="auto"/>
        </w:rPr>
      </w:pPr>
    </w:p>
    <w:p w14:paraId="2D974A3D">
      <w:pPr>
        <w:rPr>
          <w:color w:val="auto"/>
        </w:rPr>
        <w:sectPr>
          <w:pgSz w:w="11907" w:h="16840"/>
          <w:pgMar w:top="1701" w:right="1531" w:bottom="2127" w:left="1531" w:header="851" w:footer="851" w:gutter="0"/>
          <w:pgNumType w:fmt="numberInDash"/>
          <w:cols w:space="720" w:num="1"/>
          <w:docGrid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2490"/>
      </w:tblGrid>
      <w:tr w14:paraId="4E41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6" w:hRule="atLeast"/>
        </w:trPr>
        <w:tc>
          <w:tcPr>
            <w:tcW w:w="738" w:type="dxa"/>
            <w:vAlign w:val="center"/>
          </w:tcPr>
          <w:p w14:paraId="0720839F">
            <w:pPr>
              <w:adjustRightInd w:val="0"/>
              <w:snapToGrid w:val="0"/>
              <w:jc w:val="center"/>
              <w:rPr>
                <w:bCs/>
                <w:color w:val="auto"/>
                <w:sz w:val="24"/>
                <w:szCs w:val="24"/>
              </w:rPr>
            </w:pPr>
            <w:r>
              <w:rPr>
                <w:bCs/>
                <w:color w:val="auto"/>
                <w:sz w:val="24"/>
                <w:szCs w:val="24"/>
              </w:rPr>
              <w:t>运营</w:t>
            </w:r>
          </w:p>
          <w:p w14:paraId="7F06072C">
            <w:pPr>
              <w:adjustRightInd w:val="0"/>
              <w:snapToGrid w:val="0"/>
              <w:jc w:val="center"/>
              <w:rPr>
                <w:bCs/>
                <w:color w:val="auto"/>
                <w:sz w:val="24"/>
                <w:szCs w:val="24"/>
              </w:rPr>
            </w:pPr>
            <w:r>
              <w:rPr>
                <w:bCs/>
                <w:color w:val="auto"/>
                <w:sz w:val="24"/>
                <w:szCs w:val="24"/>
              </w:rPr>
              <w:t>期环</w:t>
            </w:r>
          </w:p>
          <w:p w14:paraId="415338CA">
            <w:pPr>
              <w:adjustRightInd w:val="0"/>
              <w:snapToGrid w:val="0"/>
              <w:jc w:val="center"/>
              <w:rPr>
                <w:bCs/>
                <w:color w:val="auto"/>
                <w:sz w:val="24"/>
                <w:szCs w:val="24"/>
              </w:rPr>
            </w:pPr>
            <w:r>
              <w:rPr>
                <w:bCs/>
                <w:color w:val="auto"/>
                <w:sz w:val="24"/>
                <w:szCs w:val="24"/>
              </w:rPr>
              <w:t>境影</w:t>
            </w:r>
          </w:p>
          <w:p w14:paraId="1C77666E">
            <w:pPr>
              <w:adjustRightInd w:val="0"/>
              <w:snapToGrid w:val="0"/>
              <w:jc w:val="center"/>
              <w:rPr>
                <w:bCs/>
                <w:color w:val="auto"/>
                <w:sz w:val="24"/>
                <w:szCs w:val="24"/>
              </w:rPr>
            </w:pPr>
            <w:r>
              <w:rPr>
                <w:bCs/>
                <w:color w:val="auto"/>
                <w:sz w:val="24"/>
                <w:szCs w:val="24"/>
              </w:rPr>
              <w:t>响和</w:t>
            </w:r>
          </w:p>
          <w:p w14:paraId="4E2C864B">
            <w:pPr>
              <w:adjustRightInd w:val="0"/>
              <w:snapToGrid w:val="0"/>
              <w:jc w:val="center"/>
              <w:rPr>
                <w:bCs/>
                <w:color w:val="auto"/>
                <w:sz w:val="24"/>
                <w:szCs w:val="24"/>
              </w:rPr>
            </w:pPr>
            <w:r>
              <w:rPr>
                <w:bCs/>
                <w:color w:val="auto"/>
                <w:sz w:val="24"/>
                <w:szCs w:val="24"/>
              </w:rPr>
              <w:t>保护</w:t>
            </w:r>
          </w:p>
          <w:p w14:paraId="728A7161">
            <w:pPr>
              <w:jc w:val="center"/>
              <w:rPr>
                <w:color w:val="auto"/>
                <w:vertAlign w:val="baseline"/>
              </w:rPr>
            </w:pPr>
            <w:r>
              <w:rPr>
                <w:bCs/>
                <w:color w:val="auto"/>
                <w:sz w:val="24"/>
                <w:szCs w:val="24"/>
              </w:rPr>
              <w:t>措施</w:t>
            </w:r>
          </w:p>
        </w:tc>
        <w:tc>
          <w:tcPr>
            <w:tcW w:w="12490" w:type="dxa"/>
          </w:tcPr>
          <w:p w14:paraId="0963DD92">
            <w:pPr>
              <w:jc w:val="center"/>
              <w:rPr>
                <w:b/>
                <w:bCs/>
                <w:color w:val="auto"/>
              </w:rPr>
            </w:pPr>
            <w:r>
              <w:rPr>
                <w:b/>
                <w:bCs/>
                <w:color w:val="auto"/>
              </w:rPr>
              <w:t>表4-</w:t>
            </w:r>
            <w:r>
              <w:rPr>
                <w:rFonts w:hint="eastAsia"/>
                <w:b/>
                <w:bCs/>
                <w:color w:val="auto"/>
              </w:rPr>
              <w:t>1</w:t>
            </w:r>
            <w:r>
              <w:rPr>
                <w:b/>
                <w:bCs/>
                <w:color w:val="auto"/>
              </w:rPr>
              <w:t xml:space="preserve"> </w:t>
            </w:r>
            <w:r>
              <w:rPr>
                <w:rFonts w:hint="eastAsia"/>
                <w:b/>
                <w:bCs/>
                <w:color w:val="auto"/>
              </w:rPr>
              <w:t xml:space="preserve"> </w:t>
            </w:r>
            <w:r>
              <w:rPr>
                <w:b/>
                <w:bCs/>
                <w:color w:val="auto"/>
              </w:rPr>
              <w:t>项目废气污染源源强核算结果及相关参数一览表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
              <w:gridCol w:w="813"/>
              <w:gridCol w:w="625"/>
              <w:gridCol w:w="712"/>
              <w:gridCol w:w="888"/>
              <w:gridCol w:w="1012"/>
              <w:gridCol w:w="488"/>
              <w:gridCol w:w="1025"/>
              <w:gridCol w:w="675"/>
              <w:gridCol w:w="900"/>
              <w:gridCol w:w="687"/>
              <w:gridCol w:w="725"/>
              <w:gridCol w:w="888"/>
              <w:gridCol w:w="998"/>
              <w:gridCol w:w="1521"/>
            </w:tblGrid>
            <w:tr w14:paraId="720C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07" w:type="dxa"/>
                  <w:vMerge w:val="restart"/>
                  <w:noWrap w:val="0"/>
                  <w:vAlign w:val="center"/>
                </w:tcPr>
                <w:p w14:paraId="475B2B29">
                  <w:pPr>
                    <w:jc w:val="center"/>
                    <w:rPr>
                      <w:b/>
                      <w:bCs/>
                      <w:color w:val="auto"/>
                      <w:sz w:val="18"/>
                      <w:szCs w:val="18"/>
                    </w:rPr>
                  </w:pPr>
                  <w:r>
                    <w:rPr>
                      <w:b/>
                      <w:bCs/>
                      <w:color w:val="auto"/>
                      <w:sz w:val="18"/>
                      <w:szCs w:val="18"/>
                    </w:rPr>
                    <w:t>序号</w:t>
                  </w:r>
                </w:p>
              </w:tc>
              <w:tc>
                <w:tcPr>
                  <w:tcW w:w="813" w:type="dxa"/>
                  <w:vMerge w:val="restart"/>
                  <w:noWrap w:val="0"/>
                  <w:vAlign w:val="center"/>
                </w:tcPr>
                <w:p w14:paraId="5DDB19F0">
                  <w:pPr>
                    <w:jc w:val="center"/>
                    <w:rPr>
                      <w:b/>
                      <w:bCs/>
                      <w:color w:val="auto"/>
                      <w:sz w:val="18"/>
                      <w:szCs w:val="18"/>
                    </w:rPr>
                  </w:pPr>
                  <w:r>
                    <w:rPr>
                      <w:b/>
                      <w:bCs/>
                      <w:color w:val="auto"/>
                      <w:sz w:val="18"/>
                      <w:szCs w:val="18"/>
                    </w:rPr>
                    <w:t>产排污环节</w:t>
                  </w:r>
                </w:p>
              </w:tc>
              <w:tc>
                <w:tcPr>
                  <w:tcW w:w="625" w:type="dxa"/>
                  <w:vMerge w:val="restart"/>
                  <w:noWrap w:val="0"/>
                  <w:vAlign w:val="center"/>
                </w:tcPr>
                <w:p w14:paraId="411420F9">
                  <w:pPr>
                    <w:jc w:val="center"/>
                    <w:rPr>
                      <w:b/>
                      <w:bCs/>
                      <w:color w:val="auto"/>
                      <w:sz w:val="18"/>
                      <w:szCs w:val="18"/>
                    </w:rPr>
                  </w:pPr>
                  <w:r>
                    <w:rPr>
                      <w:b/>
                      <w:bCs/>
                      <w:color w:val="auto"/>
                      <w:sz w:val="18"/>
                      <w:szCs w:val="18"/>
                    </w:rPr>
                    <w:t>污染物</w:t>
                  </w:r>
                </w:p>
              </w:tc>
              <w:tc>
                <w:tcPr>
                  <w:tcW w:w="2612" w:type="dxa"/>
                  <w:gridSpan w:val="3"/>
                  <w:noWrap w:val="0"/>
                  <w:vAlign w:val="center"/>
                </w:tcPr>
                <w:p w14:paraId="1290D194">
                  <w:pPr>
                    <w:jc w:val="center"/>
                    <w:rPr>
                      <w:b/>
                      <w:bCs/>
                      <w:color w:val="auto"/>
                      <w:sz w:val="18"/>
                      <w:szCs w:val="18"/>
                    </w:rPr>
                  </w:pPr>
                  <w:r>
                    <w:rPr>
                      <w:b/>
                      <w:bCs/>
                      <w:color w:val="auto"/>
                      <w:sz w:val="18"/>
                      <w:szCs w:val="18"/>
                    </w:rPr>
                    <w:t>污染物产生</w:t>
                  </w:r>
                </w:p>
              </w:tc>
              <w:tc>
                <w:tcPr>
                  <w:tcW w:w="488" w:type="dxa"/>
                  <w:vMerge w:val="restart"/>
                  <w:noWrap w:val="0"/>
                  <w:vAlign w:val="center"/>
                </w:tcPr>
                <w:p w14:paraId="10B7C5F1">
                  <w:pPr>
                    <w:jc w:val="center"/>
                    <w:rPr>
                      <w:b/>
                      <w:bCs/>
                      <w:color w:val="auto"/>
                      <w:sz w:val="18"/>
                      <w:szCs w:val="18"/>
                    </w:rPr>
                  </w:pPr>
                  <w:r>
                    <w:rPr>
                      <w:b/>
                      <w:bCs/>
                      <w:color w:val="auto"/>
                      <w:sz w:val="18"/>
                      <w:szCs w:val="18"/>
                    </w:rPr>
                    <w:t>排放形式</w:t>
                  </w:r>
                </w:p>
              </w:tc>
              <w:tc>
                <w:tcPr>
                  <w:tcW w:w="3287" w:type="dxa"/>
                  <w:gridSpan w:val="4"/>
                  <w:noWrap w:val="0"/>
                  <w:vAlign w:val="center"/>
                </w:tcPr>
                <w:p w14:paraId="75F1FBBF">
                  <w:pPr>
                    <w:jc w:val="center"/>
                    <w:rPr>
                      <w:b/>
                      <w:bCs/>
                      <w:color w:val="auto"/>
                      <w:sz w:val="18"/>
                      <w:szCs w:val="18"/>
                    </w:rPr>
                  </w:pPr>
                  <w:r>
                    <w:rPr>
                      <w:b/>
                      <w:bCs/>
                      <w:color w:val="auto"/>
                      <w:sz w:val="18"/>
                      <w:szCs w:val="18"/>
                    </w:rPr>
                    <w:t>治理设施</w:t>
                  </w:r>
                </w:p>
              </w:tc>
              <w:tc>
                <w:tcPr>
                  <w:tcW w:w="2611" w:type="dxa"/>
                  <w:gridSpan w:val="3"/>
                  <w:noWrap w:val="0"/>
                  <w:vAlign w:val="center"/>
                </w:tcPr>
                <w:p w14:paraId="531506F1">
                  <w:pPr>
                    <w:jc w:val="center"/>
                    <w:rPr>
                      <w:b/>
                      <w:bCs/>
                      <w:color w:val="auto"/>
                      <w:sz w:val="18"/>
                      <w:szCs w:val="18"/>
                    </w:rPr>
                  </w:pPr>
                  <w:r>
                    <w:rPr>
                      <w:b/>
                      <w:bCs/>
                      <w:color w:val="auto"/>
                      <w:sz w:val="18"/>
                      <w:szCs w:val="18"/>
                    </w:rPr>
                    <w:t>污染物排放</w:t>
                  </w:r>
                </w:p>
              </w:tc>
              <w:tc>
                <w:tcPr>
                  <w:tcW w:w="1521" w:type="dxa"/>
                  <w:vMerge w:val="restart"/>
                  <w:noWrap w:val="0"/>
                  <w:vAlign w:val="center"/>
                </w:tcPr>
                <w:p w14:paraId="66EEC77A">
                  <w:pPr>
                    <w:jc w:val="center"/>
                    <w:rPr>
                      <w:b/>
                      <w:bCs/>
                      <w:color w:val="auto"/>
                      <w:sz w:val="18"/>
                      <w:szCs w:val="18"/>
                    </w:rPr>
                  </w:pPr>
                  <w:r>
                    <w:rPr>
                      <w:b/>
                      <w:bCs/>
                      <w:color w:val="auto"/>
                      <w:sz w:val="18"/>
                      <w:szCs w:val="18"/>
                    </w:rPr>
                    <w:t>排放标准</w:t>
                  </w:r>
                </w:p>
              </w:tc>
            </w:tr>
            <w:tr w14:paraId="69FE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07" w:type="dxa"/>
                  <w:vMerge w:val="continue"/>
                  <w:noWrap w:val="0"/>
                  <w:vAlign w:val="center"/>
                </w:tcPr>
                <w:p w14:paraId="40A32444">
                  <w:pPr>
                    <w:jc w:val="center"/>
                    <w:rPr>
                      <w:b/>
                      <w:bCs/>
                      <w:color w:val="auto"/>
                      <w:sz w:val="18"/>
                      <w:szCs w:val="18"/>
                    </w:rPr>
                  </w:pPr>
                </w:p>
              </w:tc>
              <w:tc>
                <w:tcPr>
                  <w:tcW w:w="813" w:type="dxa"/>
                  <w:vMerge w:val="continue"/>
                  <w:noWrap w:val="0"/>
                  <w:vAlign w:val="center"/>
                </w:tcPr>
                <w:p w14:paraId="03A02B8D">
                  <w:pPr>
                    <w:jc w:val="center"/>
                    <w:rPr>
                      <w:b/>
                      <w:bCs/>
                      <w:color w:val="auto"/>
                      <w:sz w:val="18"/>
                      <w:szCs w:val="18"/>
                    </w:rPr>
                  </w:pPr>
                </w:p>
              </w:tc>
              <w:tc>
                <w:tcPr>
                  <w:tcW w:w="625" w:type="dxa"/>
                  <w:vMerge w:val="continue"/>
                  <w:noWrap w:val="0"/>
                  <w:vAlign w:val="center"/>
                </w:tcPr>
                <w:p w14:paraId="31D871FC">
                  <w:pPr>
                    <w:jc w:val="center"/>
                    <w:rPr>
                      <w:b/>
                      <w:bCs/>
                      <w:color w:val="auto"/>
                      <w:sz w:val="18"/>
                      <w:szCs w:val="18"/>
                    </w:rPr>
                  </w:pPr>
                </w:p>
              </w:tc>
              <w:tc>
                <w:tcPr>
                  <w:tcW w:w="712" w:type="dxa"/>
                  <w:noWrap w:val="0"/>
                  <w:vAlign w:val="center"/>
                </w:tcPr>
                <w:p w14:paraId="27F670CD">
                  <w:pPr>
                    <w:jc w:val="center"/>
                    <w:rPr>
                      <w:b/>
                      <w:bCs/>
                      <w:color w:val="auto"/>
                      <w:sz w:val="18"/>
                      <w:szCs w:val="18"/>
                    </w:rPr>
                  </w:pPr>
                  <w:r>
                    <w:rPr>
                      <w:b/>
                      <w:bCs/>
                      <w:color w:val="auto"/>
                      <w:sz w:val="18"/>
                      <w:szCs w:val="18"/>
                    </w:rPr>
                    <w:t>产生量（t/a）</w:t>
                  </w:r>
                </w:p>
              </w:tc>
              <w:tc>
                <w:tcPr>
                  <w:tcW w:w="888" w:type="dxa"/>
                  <w:noWrap w:val="0"/>
                  <w:vAlign w:val="center"/>
                </w:tcPr>
                <w:p w14:paraId="31E3D40A">
                  <w:pPr>
                    <w:jc w:val="center"/>
                    <w:rPr>
                      <w:b/>
                      <w:bCs/>
                      <w:color w:val="auto"/>
                      <w:sz w:val="18"/>
                      <w:szCs w:val="18"/>
                    </w:rPr>
                  </w:pPr>
                  <w:r>
                    <w:rPr>
                      <w:b/>
                      <w:bCs/>
                      <w:color w:val="auto"/>
                      <w:sz w:val="18"/>
                      <w:szCs w:val="18"/>
                    </w:rPr>
                    <w:t>产生速率（kg/h）</w:t>
                  </w:r>
                </w:p>
              </w:tc>
              <w:tc>
                <w:tcPr>
                  <w:tcW w:w="1012" w:type="dxa"/>
                  <w:noWrap w:val="0"/>
                  <w:vAlign w:val="center"/>
                </w:tcPr>
                <w:p w14:paraId="040FCFA4">
                  <w:pPr>
                    <w:jc w:val="center"/>
                    <w:rPr>
                      <w:b/>
                      <w:bCs/>
                      <w:color w:val="auto"/>
                      <w:sz w:val="18"/>
                      <w:szCs w:val="18"/>
                    </w:rPr>
                  </w:pPr>
                  <w:r>
                    <w:rPr>
                      <w:b/>
                      <w:bCs/>
                      <w:color w:val="auto"/>
                      <w:sz w:val="18"/>
                      <w:szCs w:val="18"/>
                    </w:rPr>
                    <w:t>产生浓度（mg/m</w:t>
                  </w:r>
                  <w:r>
                    <w:rPr>
                      <w:b/>
                      <w:bCs/>
                      <w:color w:val="auto"/>
                      <w:sz w:val="18"/>
                      <w:szCs w:val="18"/>
                      <w:vertAlign w:val="superscript"/>
                    </w:rPr>
                    <w:t>3</w:t>
                  </w:r>
                  <w:r>
                    <w:rPr>
                      <w:b/>
                      <w:bCs/>
                      <w:color w:val="auto"/>
                      <w:sz w:val="18"/>
                      <w:szCs w:val="18"/>
                    </w:rPr>
                    <w:t>）</w:t>
                  </w:r>
                </w:p>
              </w:tc>
              <w:tc>
                <w:tcPr>
                  <w:tcW w:w="488" w:type="dxa"/>
                  <w:vMerge w:val="continue"/>
                  <w:noWrap w:val="0"/>
                  <w:vAlign w:val="center"/>
                </w:tcPr>
                <w:p w14:paraId="37DD5527">
                  <w:pPr>
                    <w:jc w:val="center"/>
                    <w:rPr>
                      <w:b/>
                      <w:bCs/>
                      <w:color w:val="auto"/>
                      <w:sz w:val="18"/>
                      <w:szCs w:val="18"/>
                    </w:rPr>
                  </w:pPr>
                </w:p>
              </w:tc>
              <w:tc>
                <w:tcPr>
                  <w:tcW w:w="1025" w:type="dxa"/>
                  <w:noWrap w:val="0"/>
                  <w:vAlign w:val="center"/>
                </w:tcPr>
                <w:p w14:paraId="64EB0739">
                  <w:pPr>
                    <w:jc w:val="center"/>
                    <w:rPr>
                      <w:b/>
                      <w:bCs/>
                      <w:color w:val="auto"/>
                      <w:sz w:val="18"/>
                      <w:szCs w:val="18"/>
                    </w:rPr>
                  </w:pPr>
                  <w:r>
                    <w:rPr>
                      <w:b/>
                      <w:bCs/>
                      <w:color w:val="auto"/>
                      <w:sz w:val="18"/>
                      <w:szCs w:val="18"/>
                    </w:rPr>
                    <w:t>工艺</w:t>
                  </w:r>
                </w:p>
              </w:tc>
              <w:tc>
                <w:tcPr>
                  <w:tcW w:w="675" w:type="dxa"/>
                  <w:noWrap w:val="0"/>
                  <w:vAlign w:val="center"/>
                </w:tcPr>
                <w:p w14:paraId="1C63B938">
                  <w:pPr>
                    <w:jc w:val="center"/>
                    <w:rPr>
                      <w:b/>
                      <w:bCs/>
                      <w:color w:val="auto"/>
                      <w:sz w:val="18"/>
                      <w:szCs w:val="18"/>
                    </w:rPr>
                  </w:pPr>
                  <w:r>
                    <w:rPr>
                      <w:b/>
                      <w:bCs/>
                      <w:color w:val="auto"/>
                      <w:sz w:val="18"/>
                      <w:szCs w:val="18"/>
                    </w:rPr>
                    <w:t>除尘效率（%）</w:t>
                  </w:r>
                </w:p>
              </w:tc>
              <w:tc>
                <w:tcPr>
                  <w:tcW w:w="900" w:type="dxa"/>
                  <w:noWrap w:val="0"/>
                  <w:vAlign w:val="center"/>
                </w:tcPr>
                <w:p w14:paraId="1A9C2450">
                  <w:pPr>
                    <w:jc w:val="center"/>
                    <w:rPr>
                      <w:b/>
                      <w:bCs/>
                      <w:color w:val="auto"/>
                      <w:sz w:val="18"/>
                      <w:szCs w:val="18"/>
                    </w:rPr>
                  </w:pPr>
                  <w:r>
                    <w:rPr>
                      <w:b/>
                      <w:bCs/>
                      <w:color w:val="auto"/>
                      <w:sz w:val="18"/>
                      <w:szCs w:val="18"/>
                    </w:rPr>
                    <w:t>风量（m</w:t>
                  </w:r>
                  <w:r>
                    <w:rPr>
                      <w:b/>
                      <w:bCs/>
                      <w:color w:val="auto"/>
                      <w:sz w:val="18"/>
                      <w:szCs w:val="18"/>
                      <w:vertAlign w:val="superscript"/>
                    </w:rPr>
                    <w:t>3</w:t>
                  </w:r>
                  <w:r>
                    <w:rPr>
                      <w:b/>
                      <w:bCs/>
                      <w:color w:val="auto"/>
                      <w:sz w:val="18"/>
                      <w:szCs w:val="18"/>
                    </w:rPr>
                    <w:t>/h）</w:t>
                  </w:r>
                </w:p>
              </w:tc>
              <w:tc>
                <w:tcPr>
                  <w:tcW w:w="687" w:type="dxa"/>
                  <w:noWrap w:val="0"/>
                  <w:vAlign w:val="center"/>
                </w:tcPr>
                <w:p w14:paraId="755481E4">
                  <w:pPr>
                    <w:jc w:val="center"/>
                    <w:rPr>
                      <w:b/>
                      <w:bCs/>
                      <w:color w:val="auto"/>
                      <w:sz w:val="18"/>
                      <w:szCs w:val="18"/>
                    </w:rPr>
                  </w:pPr>
                  <w:r>
                    <w:rPr>
                      <w:b/>
                      <w:bCs/>
                      <w:color w:val="auto"/>
                      <w:sz w:val="18"/>
                      <w:szCs w:val="18"/>
                    </w:rPr>
                    <w:t>是否为可行性技术</w:t>
                  </w:r>
                </w:p>
              </w:tc>
              <w:tc>
                <w:tcPr>
                  <w:tcW w:w="725" w:type="dxa"/>
                  <w:noWrap w:val="0"/>
                  <w:vAlign w:val="center"/>
                </w:tcPr>
                <w:p w14:paraId="7F4BFBF8">
                  <w:pPr>
                    <w:jc w:val="center"/>
                    <w:rPr>
                      <w:b/>
                      <w:bCs/>
                      <w:color w:val="auto"/>
                      <w:sz w:val="18"/>
                      <w:szCs w:val="18"/>
                    </w:rPr>
                  </w:pPr>
                  <w:r>
                    <w:rPr>
                      <w:b/>
                      <w:bCs/>
                      <w:color w:val="auto"/>
                      <w:sz w:val="18"/>
                      <w:szCs w:val="18"/>
                    </w:rPr>
                    <w:t>排放量（t/a）</w:t>
                  </w:r>
                </w:p>
              </w:tc>
              <w:tc>
                <w:tcPr>
                  <w:tcW w:w="888" w:type="dxa"/>
                  <w:noWrap w:val="0"/>
                  <w:vAlign w:val="center"/>
                </w:tcPr>
                <w:p w14:paraId="65659277">
                  <w:pPr>
                    <w:jc w:val="center"/>
                    <w:rPr>
                      <w:b/>
                      <w:bCs/>
                      <w:color w:val="auto"/>
                      <w:sz w:val="18"/>
                      <w:szCs w:val="18"/>
                    </w:rPr>
                  </w:pPr>
                  <w:r>
                    <w:rPr>
                      <w:b/>
                      <w:bCs/>
                      <w:color w:val="auto"/>
                      <w:sz w:val="18"/>
                      <w:szCs w:val="18"/>
                    </w:rPr>
                    <w:t>排放速率（kg/h）</w:t>
                  </w:r>
                </w:p>
              </w:tc>
              <w:tc>
                <w:tcPr>
                  <w:tcW w:w="998" w:type="dxa"/>
                  <w:noWrap w:val="0"/>
                  <w:vAlign w:val="center"/>
                </w:tcPr>
                <w:p w14:paraId="63B997AB">
                  <w:pPr>
                    <w:jc w:val="center"/>
                    <w:rPr>
                      <w:b/>
                      <w:bCs/>
                      <w:color w:val="auto"/>
                      <w:sz w:val="18"/>
                      <w:szCs w:val="18"/>
                    </w:rPr>
                  </w:pPr>
                  <w:r>
                    <w:rPr>
                      <w:b/>
                      <w:bCs/>
                      <w:color w:val="auto"/>
                      <w:sz w:val="18"/>
                      <w:szCs w:val="18"/>
                    </w:rPr>
                    <w:t>排放浓度（mg/m</w:t>
                  </w:r>
                  <w:r>
                    <w:rPr>
                      <w:b/>
                      <w:bCs/>
                      <w:color w:val="auto"/>
                      <w:sz w:val="18"/>
                      <w:szCs w:val="18"/>
                      <w:vertAlign w:val="superscript"/>
                    </w:rPr>
                    <w:t>3</w:t>
                  </w:r>
                  <w:r>
                    <w:rPr>
                      <w:b/>
                      <w:bCs/>
                      <w:color w:val="auto"/>
                      <w:sz w:val="18"/>
                      <w:szCs w:val="18"/>
                    </w:rPr>
                    <w:t>）</w:t>
                  </w:r>
                </w:p>
              </w:tc>
              <w:tc>
                <w:tcPr>
                  <w:tcW w:w="1521" w:type="dxa"/>
                  <w:vMerge w:val="continue"/>
                  <w:noWrap w:val="0"/>
                  <w:vAlign w:val="center"/>
                </w:tcPr>
                <w:p w14:paraId="3BFC7DF9">
                  <w:pPr>
                    <w:jc w:val="center"/>
                    <w:rPr>
                      <w:b/>
                      <w:bCs/>
                      <w:color w:val="auto"/>
                      <w:sz w:val="18"/>
                      <w:szCs w:val="18"/>
                    </w:rPr>
                  </w:pPr>
                </w:p>
              </w:tc>
            </w:tr>
            <w:tr w14:paraId="1AA3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07" w:type="dxa"/>
                  <w:vMerge w:val="restart"/>
                  <w:noWrap w:val="0"/>
                  <w:vAlign w:val="center"/>
                </w:tcPr>
                <w:p w14:paraId="1361261C">
                  <w:pPr>
                    <w:jc w:val="center"/>
                    <w:rPr>
                      <w:color w:val="auto"/>
                      <w:sz w:val="18"/>
                      <w:szCs w:val="18"/>
                    </w:rPr>
                  </w:pPr>
                  <w:r>
                    <w:rPr>
                      <w:color w:val="auto"/>
                      <w:sz w:val="18"/>
                      <w:szCs w:val="18"/>
                    </w:rPr>
                    <w:t>1</w:t>
                  </w:r>
                </w:p>
              </w:tc>
              <w:tc>
                <w:tcPr>
                  <w:tcW w:w="813" w:type="dxa"/>
                  <w:vMerge w:val="restart"/>
                  <w:noWrap w:val="0"/>
                  <w:vAlign w:val="center"/>
                </w:tcPr>
                <w:p w14:paraId="73004605">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生物质锅炉燃烧环节</w:t>
                  </w:r>
                </w:p>
              </w:tc>
              <w:tc>
                <w:tcPr>
                  <w:tcW w:w="625" w:type="dxa"/>
                  <w:noWrap w:val="0"/>
                  <w:vAlign w:val="center"/>
                </w:tcPr>
                <w:p w14:paraId="2562E458">
                  <w:pPr>
                    <w:jc w:val="center"/>
                    <w:rPr>
                      <w:color w:val="auto"/>
                      <w:sz w:val="18"/>
                      <w:szCs w:val="18"/>
                      <w:highlight w:val="none"/>
                    </w:rPr>
                  </w:pPr>
                  <w:r>
                    <w:rPr>
                      <w:color w:val="auto"/>
                      <w:sz w:val="18"/>
                      <w:szCs w:val="18"/>
                      <w:highlight w:val="none"/>
                    </w:rPr>
                    <w:t>颗粒物</w:t>
                  </w:r>
                </w:p>
              </w:tc>
              <w:tc>
                <w:tcPr>
                  <w:tcW w:w="712" w:type="dxa"/>
                  <w:noWrap w:val="0"/>
                  <w:vAlign w:val="center"/>
                </w:tcPr>
                <w:p w14:paraId="725070F6">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yellow"/>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11.4</w:t>
                  </w:r>
                </w:p>
              </w:tc>
              <w:tc>
                <w:tcPr>
                  <w:tcW w:w="888" w:type="dxa"/>
                  <w:noWrap w:val="0"/>
                  <w:vAlign w:val="center"/>
                </w:tcPr>
                <w:p w14:paraId="7E0460F5">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yellow"/>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4.750 </w:t>
                  </w:r>
                </w:p>
              </w:tc>
              <w:tc>
                <w:tcPr>
                  <w:tcW w:w="1012" w:type="dxa"/>
                  <w:noWrap w:val="0"/>
                  <w:vAlign w:val="center"/>
                </w:tcPr>
                <w:p w14:paraId="795FE212">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yellow"/>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1319.44 </w:t>
                  </w:r>
                </w:p>
              </w:tc>
              <w:tc>
                <w:tcPr>
                  <w:tcW w:w="488" w:type="dxa"/>
                  <w:vMerge w:val="restart"/>
                  <w:noWrap w:val="0"/>
                  <w:vAlign w:val="center"/>
                </w:tcPr>
                <w:p w14:paraId="2597834D">
                  <w:pPr>
                    <w:jc w:val="center"/>
                    <w:rPr>
                      <w:color w:val="auto"/>
                      <w:sz w:val="18"/>
                      <w:szCs w:val="18"/>
                      <w:highlight w:val="yellow"/>
                    </w:rPr>
                  </w:pPr>
                  <w:r>
                    <w:rPr>
                      <w:color w:val="auto"/>
                      <w:sz w:val="18"/>
                      <w:szCs w:val="18"/>
                      <w:highlight w:val="none"/>
                    </w:rPr>
                    <w:t>有组织</w:t>
                  </w:r>
                </w:p>
              </w:tc>
              <w:tc>
                <w:tcPr>
                  <w:tcW w:w="1025" w:type="dxa"/>
                  <w:vMerge w:val="restart"/>
                  <w:noWrap w:val="0"/>
                  <w:vAlign w:val="center"/>
                </w:tcPr>
                <w:p w14:paraId="029A9301">
                  <w:pPr>
                    <w:jc w:val="center"/>
                    <w:rPr>
                      <w:color w:val="auto"/>
                      <w:sz w:val="18"/>
                      <w:szCs w:val="18"/>
                      <w:highlight w:val="yellow"/>
                    </w:rPr>
                  </w:pPr>
                  <w:r>
                    <w:rPr>
                      <w:rFonts w:hint="eastAsia"/>
                      <w:color w:val="auto"/>
                      <w:sz w:val="18"/>
                      <w:szCs w:val="18"/>
                      <w:highlight w:val="none"/>
                      <w:lang w:val="en-US" w:eastAsia="zh-CN"/>
                    </w:rPr>
                    <w:t>低氮燃烧技术+多管旋风除尘器+布袋除尘器</w:t>
                  </w:r>
                  <w:r>
                    <w:rPr>
                      <w:rFonts w:hint="eastAsia"/>
                      <w:bCs/>
                      <w:color w:val="auto"/>
                      <w:sz w:val="18"/>
                      <w:szCs w:val="18"/>
                      <w:highlight w:val="none"/>
                      <w:lang w:val="en-US" w:eastAsia="zh-CN"/>
                    </w:rPr>
                    <w:t>+</w:t>
                  </w:r>
                  <w:r>
                    <w:rPr>
                      <w:rFonts w:hint="eastAsia"/>
                      <w:color w:val="auto"/>
                      <w:sz w:val="18"/>
                      <w:szCs w:val="18"/>
                      <w:highlight w:val="none"/>
                      <w:lang w:val="en-US" w:eastAsia="zh-CN"/>
                    </w:rPr>
                    <w:t>30</w:t>
                  </w:r>
                  <w:r>
                    <w:rPr>
                      <w:color w:val="auto"/>
                      <w:sz w:val="18"/>
                      <w:szCs w:val="18"/>
                      <w:highlight w:val="none"/>
                    </w:rPr>
                    <w:t>m高排气筒（DA001）</w:t>
                  </w:r>
                </w:p>
              </w:tc>
              <w:tc>
                <w:tcPr>
                  <w:tcW w:w="675" w:type="dxa"/>
                  <w:noWrap w:val="0"/>
                  <w:vAlign w:val="center"/>
                </w:tcPr>
                <w:p w14:paraId="2F5792D0">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99</w:t>
                  </w:r>
                </w:p>
              </w:tc>
              <w:tc>
                <w:tcPr>
                  <w:tcW w:w="900" w:type="dxa"/>
                  <w:vMerge w:val="restart"/>
                  <w:noWrap w:val="0"/>
                  <w:vAlign w:val="center"/>
                </w:tcPr>
                <w:p w14:paraId="72D0F069">
                  <w:pPr>
                    <w:jc w:val="center"/>
                    <w:rPr>
                      <w:rFonts w:hint="default"/>
                      <w:color w:val="auto"/>
                      <w:sz w:val="18"/>
                      <w:szCs w:val="18"/>
                      <w:highlight w:val="none"/>
                      <w:lang w:val="en-US"/>
                    </w:rPr>
                  </w:pPr>
                  <w:r>
                    <w:rPr>
                      <w:rFonts w:hint="eastAsia" w:cs="Times New Roman"/>
                      <w:i w:val="0"/>
                      <w:iCs w:val="0"/>
                      <w:color w:val="auto"/>
                      <w:kern w:val="0"/>
                      <w:sz w:val="18"/>
                      <w:szCs w:val="18"/>
                      <w:highlight w:val="none"/>
                      <w:u w:val="none"/>
                      <w:lang w:val="en-US" w:eastAsia="zh-CN" w:bidi="ar"/>
                    </w:rPr>
                    <w:t>3600</w:t>
                  </w:r>
                </w:p>
              </w:tc>
              <w:tc>
                <w:tcPr>
                  <w:tcW w:w="687" w:type="dxa"/>
                  <w:noWrap w:val="0"/>
                  <w:vAlign w:val="center"/>
                </w:tcPr>
                <w:p w14:paraId="779E0CFD">
                  <w:pPr>
                    <w:jc w:val="center"/>
                    <w:rPr>
                      <w:color w:val="auto"/>
                      <w:sz w:val="18"/>
                      <w:szCs w:val="18"/>
                      <w:highlight w:val="none"/>
                    </w:rPr>
                  </w:pPr>
                  <w:r>
                    <w:rPr>
                      <w:color w:val="auto"/>
                      <w:sz w:val="18"/>
                      <w:szCs w:val="18"/>
                      <w:highlight w:val="none"/>
                    </w:rPr>
                    <w:t>是</w:t>
                  </w:r>
                </w:p>
              </w:tc>
              <w:tc>
                <w:tcPr>
                  <w:tcW w:w="725" w:type="dxa"/>
                  <w:noWrap w:val="0"/>
                  <w:vAlign w:val="center"/>
                </w:tcPr>
                <w:p w14:paraId="657F3307">
                  <w:pPr>
                    <w:keepNext w:val="0"/>
                    <w:keepLines w:val="0"/>
                    <w:widowControl/>
                    <w:suppressLineNumbers w:val="0"/>
                    <w:jc w:val="center"/>
                    <w:textAlignment w:val="center"/>
                    <w:rPr>
                      <w:rFonts w:hint="default" w:ascii="Times New Roman" w:hAnsi="Times New Roman" w:cs="Times New Roman"/>
                      <w:color w:val="auto"/>
                      <w:sz w:val="18"/>
                      <w:szCs w:val="18"/>
                      <w:highlight w:val="yellow"/>
                    </w:rPr>
                  </w:pPr>
                  <w:r>
                    <w:rPr>
                      <w:rFonts w:hint="default" w:ascii="Times New Roman" w:hAnsi="Times New Roman" w:eastAsia="宋体" w:cs="Times New Roman"/>
                      <w:i w:val="0"/>
                      <w:iCs w:val="0"/>
                      <w:color w:val="auto"/>
                      <w:kern w:val="0"/>
                      <w:sz w:val="18"/>
                      <w:szCs w:val="18"/>
                      <w:u w:val="none"/>
                      <w:lang w:val="en-US" w:eastAsia="zh-CN" w:bidi="ar"/>
                    </w:rPr>
                    <w:t xml:space="preserve">0.114 </w:t>
                  </w:r>
                </w:p>
              </w:tc>
              <w:tc>
                <w:tcPr>
                  <w:tcW w:w="888" w:type="dxa"/>
                  <w:noWrap w:val="0"/>
                  <w:vAlign w:val="center"/>
                </w:tcPr>
                <w:p w14:paraId="30D6722D">
                  <w:pPr>
                    <w:keepNext w:val="0"/>
                    <w:keepLines w:val="0"/>
                    <w:widowControl/>
                    <w:suppressLineNumbers w:val="0"/>
                    <w:jc w:val="center"/>
                    <w:textAlignment w:val="center"/>
                    <w:rPr>
                      <w:rFonts w:hint="default" w:ascii="Times New Roman" w:hAnsi="Times New Roman" w:cs="Times New Roman"/>
                      <w:color w:val="auto"/>
                      <w:sz w:val="18"/>
                      <w:szCs w:val="18"/>
                      <w:highlight w:val="yellow"/>
                    </w:rPr>
                  </w:pPr>
                  <w:r>
                    <w:rPr>
                      <w:rFonts w:hint="default" w:ascii="Times New Roman" w:hAnsi="Times New Roman" w:eastAsia="宋体" w:cs="Times New Roman"/>
                      <w:i w:val="0"/>
                      <w:iCs w:val="0"/>
                      <w:color w:val="auto"/>
                      <w:kern w:val="0"/>
                      <w:sz w:val="18"/>
                      <w:szCs w:val="18"/>
                      <w:u w:val="none"/>
                      <w:lang w:val="en-US" w:eastAsia="zh-CN" w:bidi="ar"/>
                    </w:rPr>
                    <w:t xml:space="preserve">0.048 </w:t>
                  </w:r>
                </w:p>
              </w:tc>
              <w:tc>
                <w:tcPr>
                  <w:tcW w:w="998" w:type="dxa"/>
                  <w:noWrap w:val="0"/>
                  <w:vAlign w:val="center"/>
                </w:tcPr>
                <w:p w14:paraId="2D1DEBC7">
                  <w:pPr>
                    <w:keepNext w:val="0"/>
                    <w:keepLines w:val="0"/>
                    <w:widowControl/>
                    <w:suppressLineNumbers w:val="0"/>
                    <w:jc w:val="center"/>
                    <w:textAlignment w:val="center"/>
                    <w:rPr>
                      <w:rFonts w:hint="default" w:ascii="Times New Roman" w:hAnsi="Times New Roman" w:cs="Times New Roman"/>
                      <w:color w:val="auto"/>
                      <w:sz w:val="18"/>
                      <w:szCs w:val="18"/>
                      <w:highlight w:val="yellow"/>
                    </w:rPr>
                  </w:pPr>
                  <w:r>
                    <w:rPr>
                      <w:rFonts w:hint="default" w:ascii="Times New Roman" w:hAnsi="Times New Roman" w:eastAsia="宋体" w:cs="Times New Roman"/>
                      <w:i w:val="0"/>
                      <w:iCs w:val="0"/>
                      <w:color w:val="auto"/>
                      <w:kern w:val="0"/>
                      <w:sz w:val="18"/>
                      <w:szCs w:val="18"/>
                      <w:u w:val="none"/>
                      <w:lang w:val="en-US" w:eastAsia="zh-CN" w:bidi="ar"/>
                    </w:rPr>
                    <w:t xml:space="preserve">13.19 </w:t>
                  </w:r>
                </w:p>
              </w:tc>
              <w:tc>
                <w:tcPr>
                  <w:tcW w:w="1521" w:type="dxa"/>
                  <w:vMerge w:val="restart"/>
                  <w:noWrap w:val="0"/>
                  <w:vAlign w:val="center"/>
                </w:tcPr>
                <w:p w14:paraId="365068F3">
                  <w:pPr>
                    <w:jc w:val="center"/>
                    <w:rPr>
                      <w:rFonts w:hint="eastAsia" w:eastAsia="宋体"/>
                      <w:color w:val="auto"/>
                      <w:sz w:val="18"/>
                      <w:szCs w:val="18"/>
                      <w:lang w:eastAsia="zh-CN"/>
                    </w:rPr>
                  </w:pPr>
                  <w:r>
                    <w:rPr>
                      <w:b w:val="0"/>
                      <w:bCs w:val="0"/>
                      <w:color w:val="auto"/>
                      <w:sz w:val="18"/>
                      <w:szCs w:val="18"/>
                    </w:rPr>
                    <w:t>《锅炉大气污染物排放标准》</w:t>
                  </w:r>
                  <w:r>
                    <w:rPr>
                      <w:rFonts w:hint="eastAsia"/>
                      <w:b w:val="0"/>
                      <w:bCs w:val="0"/>
                      <w:color w:val="auto"/>
                      <w:sz w:val="18"/>
                      <w:szCs w:val="18"/>
                      <w:lang w:eastAsia="zh-CN"/>
                    </w:rPr>
                    <w:t>（</w:t>
                  </w:r>
                  <w:r>
                    <w:rPr>
                      <w:rFonts w:hint="eastAsia"/>
                      <w:b w:val="0"/>
                      <w:bCs w:val="0"/>
                      <w:color w:val="auto"/>
                      <w:sz w:val="18"/>
                      <w:szCs w:val="18"/>
                      <w:lang w:val="en-US" w:eastAsia="zh-CN"/>
                    </w:rPr>
                    <w:t>GB13271-2014</w:t>
                  </w:r>
                  <w:r>
                    <w:rPr>
                      <w:rFonts w:hint="eastAsia"/>
                      <w:b w:val="0"/>
                      <w:bCs w:val="0"/>
                      <w:color w:val="auto"/>
                      <w:sz w:val="18"/>
                      <w:szCs w:val="18"/>
                      <w:lang w:eastAsia="zh-CN"/>
                    </w:rPr>
                    <w:t>）</w:t>
                  </w:r>
                  <w:r>
                    <w:rPr>
                      <w:rFonts w:hint="eastAsia"/>
                      <w:b w:val="0"/>
                      <w:bCs w:val="0"/>
                      <w:color w:val="auto"/>
                      <w:sz w:val="18"/>
                      <w:szCs w:val="18"/>
                      <w:lang w:val="en-US" w:eastAsia="zh-CN"/>
                    </w:rPr>
                    <w:t>表2 中燃煤锅炉大气污染物排放浓度限值</w:t>
                  </w:r>
                </w:p>
              </w:tc>
            </w:tr>
            <w:tr w14:paraId="1836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07" w:type="dxa"/>
                  <w:vMerge w:val="continue"/>
                  <w:noWrap w:val="0"/>
                  <w:vAlign w:val="center"/>
                </w:tcPr>
                <w:p w14:paraId="0877169F">
                  <w:pPr>
                    <w:jc w:val="center"/>
                    <w:rPr>
                      <w:color w:val="auto"/>
                      <w:sz w:val="18"/>
                      <w:szCs w:val="18"/>
                    </w:rPr>
                  </w:pPr>
                </w:p>
              </w:tc>
              <w:tc>
                <w:tcPr>
                  <w:tcW w:w="813" w:type="dxa"/>
                  <w:vMerge w:val="continue"/>
                  <w:noWrap w:val="0"/>
                  <w:vAlign w:val="center"/>
                </w:tcPr>
                <w:p w14:paraId="079A3C74">
                  <w:pPr>
                    <w:jc w:val="center"/>
                    <w:rPr>
                      <w:rFonts w:hint="eastAsia"/>
                      <w:color w:val="auto"/>
                      <w:sz w:val="18"/>
                      <w:szCs w:val="18"/>
                      <w:highlight w:val="none"/>
                      <w:lang w:val="en-US" w:eastAsia="zh-CN"/>
                    </w:rPr>
                  </w:pPr>
                </w:p>
              </w:tc>
              <w:tc>
                <w:tcPr>
                  <w:tcW w:w="625" w:type="dxa"/>
                  <w:noWrap w:val="0"/>
                  <w:vAlign w:val="center"/>
                </w:tcPr>
                <w:p w14:paraId="71ABAC6E">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SO</w:t>
                  </w:r>
                  <w:r>
                    <w:rPr>
                      <w:rFonts w:hint="eastAsia"/>
                      <w:color w:val="auto"/>
                      <w:sz w:val="18"/>
                      <w:szCs w:val="18"/>
                      <w:highlight w:val="none"/>
                      <w:vertAlign w:val="subscript"/>
                      <w:lang w:val="en-US" w:eastAsia="zh-CN"/>
                    </w:rPr>
                    <w:t>2</w:t>
                  </w:r>
                </w:p>
              </w:tc>
              <w:tc>
                <w:tcPr>
                  <w:tcW w:w="712" w:type="dxa"/>
                  <w:noWrap w:val="0"/>
                  <w:vAlign w:val="center"/>
                </w:tcPr>
                <w:p w14:paraId="66F8598C">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yellow"/>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0.175 </w:t>
                  </w:r>
                </w:p>
              </w:tc>
              <w:tc>
                <w:tcPr>
                  <w:tcW w:w="888" w:type="dxa"/>
                  <w:noWrap w:val="0"/>
                  <w:vAlign w:val="center"/>
                </w:tcPr>
                <w:p w14:paraId="29479EF4">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yellow"/>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0.073 </w:t>
                  </w:r>
                </w:p>
              </w:tc>
              <w:tc>
                <w:tcPr>
                  <w:tcW w:w="1012" w:type="dxa"/>
                  <w:noWrap w:val="0"/>
                  <w:vAlign w:val="center"/>
                </w:tcPr>
                <w:p w14:paraId="6121412D">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yellow"/>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20.25 </w:t>
                  </w:r>
                </w:p>
              </w:tc>
              <w:tc>
                <w:tcPr>
                  <w:tcW w:w="488" w:type="dxa"/>
                  <w:vMerge w:val="continue"/>
                  <w:noWrap w:val="0"/>
                  <w:vAlign w:val="center"/>
                </w:tcPr>
                <w:p w14:paraId="786F90C9">
                  <w:pPr>
                    <w:jc w:val="center"/>
                    <w:rPr>
                      <w:color w:val="auto"/>
                      <w:sz w:val="18"/>
                      <w:szCs w:val="18"/>
                      <w:highlight w:val="yellow"/>
                    </w:rPr>
                  </w:pPr>
                </w:p>
              </w:tc>
              <w:tc>
                <w:tcPr>
                  <w:tcW w:w="1025" w:type="dxa"/>
                  <w:vMerge w:val="continue"/>
                  <w:noWrap w:val="0"/>
                  <w:vAlign w:val="center"/>
                </w:tcPr>
                <w:p w14:paraId="6943161E">
                  <w:pPr>
                    <w:jc w:val="center"/>
                    <w:rPr>
                      <w:bCs/>
                      <w:color w:val="auto"/>
                      <w:sz w:val="18"/>
                      <w:szCs w:val="18"/>
                      <w:highlight w:val="yellow"/>
                    </w:rPr>
                  </w:pPr>
                </w:p>
              </w:tc>
              <w:tc>
                <w:tcPr>
                  <w:tcW w:w="675" w:type="dxa"/>
                  <w:noWrap w:val="0"/>
                  <w:vAlign w:val="center"/>
                </w:tcPr>
                <w:p w14:paraId="59B69895">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0</w:t>
                  </w:r>
                </w:p>
              </w:tc>
              <w:tc>
                <w:tcPr>
                  <w:tcW w:w="900" w:type="dxa"/>
                  <w:vMerge w:val="continue"/>
                  <w:noWrap w:val="0"/>
                  <w:vAlign w:val="center"/>
                </w:tcPr>
                <w:p w14:paraId="185E71A9">
                  <w:pPr>
                    <w:jc w:val="center"/>
                    <w:rPr>
                      <w:rFonts w:hint="eastAsia"/>
                      <w:color w:val="auto"/>
                      <w:sz w:val="18"/>
                      <w:szCs w:val="18"/>
                      <w:highlight w:val="none"/>
                    </w:rPr>
                  </w:pPr>
                </w:p>
              </w:tc>
              <w:tc>
                <w:tcPr>
                  <w:tcW w:w="687" w:type="dxa"/>
                  <w:noWrap w:val="0"/>
                  <w:vAlign w:val="center"/>
                </w:tcPr>
                <w:p w14:paraId="33404EB3">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c>
                <w:tcPr>
                  <w:tcW w:w="725" w:type="dxa"/>
                  <w:noWrap w:val="0"/>
                  <w:vAlign w:val="center"/>
                </w:tcPr>
                <w:p w14:paraId="24825EDE">
                  <w:pPr>
                    <w:keepNext w:val="0"/>
                    <w:keepLines w:val="0"/>
                    <w:widowControl/>
                    <w:suppressLineNumbers w:val="0"/>
                    <w:jc w:val="center"/>
                    <w:textAlignment w:val="center"/>
                    <w:rPr>
                      <w:rFonts w:hint="default" w:ascii="Times New Roman" w:hAnsi="Times New Roman" w:cs="Times New Roman"/>
                      <w:color w:val="auto"/>
                      <w:sz w:val="18"/>
                      <w:szCs w:val="18"/>
                      <w:highlight w:val="yellow"/>
                    </w:rPr>
                  </w:pPr>
                  <w:r>
                    <w:rPr>
                      <w:rFonts w:hint="default" w:ascii="Times New Roman" w:hAnsi="Times New Roman" w:eastAsia="宋体" w:cs="Times New Roman"/>
                      <w:i w:val="0"/>
                      <w:iCs w:val="0"/>
                      <w:color w:val="auto"/>
                      <w:kern w:val="0"/>
                      <w:sz w:val="18"/>
                      <w:szCs w:val="18"/>
                      <w:u w:val="none"/>
                      <w:lang w:val="en-US" w:eastAsia="zh-CN" w:bidi="ar"/>
                    </w:rPr>
                    <w:t xml:space="preserve">0.175 </w:t>
                  </w:r>
                </w:p>
              </w:tc>
              <w:tc>
                <w:tcPr>
                  <w:tcW w:w="888" w:type="dxa"/>
                  <w:noWrap w:val="0"/>
                  <w:vAlign w:val="center"/>
                </w:tcPr>
                <w:p w14:paraId="2538B638">
                  <w:pPr>
                    <w:keepNext w:val="0"/>
                    <w:keepLines w:val="0"/>
                    <w:widowControl/>
                    <w:suppressLineNumbers w:val="0"/>
                    <w:jc w:val="center"/>
                    <w:textAlignment w:val="center"/>
                    <w:rPr>
                      <w:rFonts w:hint="default" w:ascii="Times New Roman" w:hAnsi="Times New Roman" w:cs="Times New Roman"/>
                      <w:color w:val="auto"/>
                      <w:kern w:val="0"/>
                      <w:sz w:val="18"/>
                      <w:szCs w:val="18"/>
                      <w:highlight w:val="yellow"/>
                      <w:lang w:bidi="ar"/>
                    </w:rPr>
                  </w:pPr>
                  <w:r>
                    <w:rPr>
                      <w:rFonts w:hint="default" w:ascii="Times New Roman" w:hAnsi="Times New Roman" w:eastAsia="宋体" w:cs="Times New Roman"/>
                      <w:i w:val="0"/>
                      <w:iCs w:val="0"/>
                      <w:color w:val="auto"/>
                      <w:kern w:val="0"/>
                      <w:sz w:val="18"/>
                      <w:szCs w:val="18"/>
                      <w:u w:val="none"/>
                      <w:lang w:val="en-US" w:eastAsia="zh-CN" w:bidi="ar"/>
                    </w:rPr>
                    <w:t xml:space="preserve">0.073 </w:t>
                  </w:r>
                </w:p>
              </w:tc>
              <w:tc>
                <w:tcPr>
                  <w:tcW w:w="998" w:type="dxa"/>
                  <w:noWrap w:val="0"/>
                  <w:vAlign w:val="center"/>
                </w:tcPr>
                <w:p w14:paraId="4B2330BB">
                  <w:pPr>
                    <w:keepNext w:val="0"/>
                    <w:keepLines w:val="0"/>
                    <w:widowControl/>
                    <w:suppressLineNumbers w:val="0"/>
                    <w:jc w:val="center"/>
                    <w:textAlignment w:val="center"/>
                    <w:rPr>
                      <w:rFonts w:hint="default" w:ascii="Times New Roman" w:hAnsi="Times New Roman" w:cs="Times New Roman"/>
                      <w:color w:val="auto"/>
                      <w:sz w:val="18"/>
                      <w:szCs w:val="18"/>
                      <w:highlight w:val="yellow"/>
                    </w:rPr>
                  </w:pPr>
                  <w:r>
                    <w:rPr>
                      <w:rFonts w:hint="default" w:ascii="Times New Roman" w:hAnsi="Times New Roman" w:eastAsia="宋体" w:cs="Times New Roman"/>
                      <w:i w:val="0"/>
                      <w:iCs w:val="0"/>
                      <w:color w:val="auto"/>
                      <w:kern w:val="0"/>
                      <w:sz w:val="18"/>
                      <w:szCs w:val="18"/>
                      <w:u w:val="none"/>
                      <w:lang w:val="en-US" w:eastAsia="zh-CN" w:bidi="ar"/>
                    </w:rPr>
                    <w:t xml:space="preserve">20.25 </w:t>
                  </w:r>
                </w:p>
              </w:tc>
              <w:tc>
                <w:tcPr>
                  <w:tcW w:w="1521" w:type="dxa"/>
                  <w:vMerge w:val="continue"/>
                  <w:noWrap w:val="0"/>
                  <w:vAlign w:val="center"/>
                </w:tcPr>
                <w:p w14:paraId="127EE28C">
                  <w:pPr>
                    <w:jc w:val="center"/>
                    <w:rPr>
                      <w:color w:val="auto"/>
                      <w:sz w:val="18"/>
                      <w:szCs w:val="18"/>
                    </w:rPr>
                  </w:pPr>
                </w:p>
              </w:tc>
            </w:tr>
            <w:tr w14:paraId="357D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07" w:type="dxa"/>
                  <w:vMerge w:val="continue"/>
                  <w:noWrap w:val="0"/>
                  <w:vAlign w:val="center"/>
                </w:tcPr>
                <w:p w14:paraId="32F31E11">
                  <w:pPr>
                    <w:jc w:val="center"/>
                    <w:rPr>
                      <w:color w:val="auto"/>
                      <w:sz w:val="18"/>
                      <w:szCs w:val="18"/>
                    </w:rPr>
                  </w:pPr>
                </w:p>
              </w:tc>
              <w:tc>
                <w:tcPr>
                  <w:tcW w:w="813" w:type="dxa"/>
                  <w:vMerge w:val="continue"/>
                  <w:noWrap w:val="0"/>
                  <w:vAlign w:val="center"/>
                </w:tcPr>
                <w:p w14:paraId="72AE34BC">
                  <w:pPr>
                    <w:jc w:val="center"/>
                    <w:rPr>
                      <w:rFonts w:hint="eastAsia"/>
                      <w:color w:val="auto"/>
                      <w:sz w:val="18"/>
                      <w:szCs w:val="18"/>
                      <w:highlight w:val="none"/>
                      <w:lang w:val="en-US" w:eastAsia="zh-CN"/>
                    </w:rPr>
                  </w:pPr>
                </w:p>
              </w:tc>
              <w:tc>
                <w:tcPr>
                  <w:tcW w:w="625" w:type="dxa"/>
                  <w:noWrap w:val="0"/>
                  <w:vAlign w:val="center"/>
                </w:tcPr>
                <w:p w14:paraId="4D5404B2">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NOx</w:t>
                  </w:r>
                </w:p>
              </w:tc>
              <w:tc>
                <w:tcPr>
                  <w:tcW w:w="712" w:type="dxa"/>
                  <w:noWrap w:val="0"/>
                  <w:vAlign w:val="center"/>
                </w:tcPr>
                <w:p w14:paraId="11A44ECC">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yellow"/>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1.73 </w:t>
                  </w:r>
                </w:p>
              </w:tc>
              <w:tc>
                <w:tcPr>
                  <w:tcW w:w="888" w:type="dxa"/>
                  <w:noWrap w:val="0"/>
                  <w:vAlign w:val="center"/>
                </w:tcPr>
                <w:p w14:paraId="0FE0364C">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yellow"/>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0.72 </w:t>
                  </w:r>
                </w:p>
              </w:tc>
              <w:tc>
                <w:tcPr>
                  <w:tcW w:w="1012" w:type="dxa"/>
                  <w:noWrap w:val="0"/>
                  <w:vAlign w:val="center"/>
                </w:tcPr>
                <w:p w14:paraId="15483289">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yellow"/>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200 </w:t>
                  </w:r>
                </w:p>
              </w:tc>
              <w:tc>
                <w:tcPr>
                  <w:tcW w:w="488" w:type="dxa"/>
                  <w:vMerge w:val="continue"/>
                  <w:noWrap w:val="0"/>
                  <w:vAlign w:val="center"/>
                </w:tcPr>
                <w:p w14:paraId="1EB8E83A">
                  <w:pPr>
                    <w:jc w:val="center"/>
                    <w:rPr>
                      <w:color w:val="auto"/>
                      <w:sz w:val="18"/>
                      <w:szCs w:val="18"/>
                      <w:highlight w:val="yellow"/>
                    </w:rPr>
                  </w:pPr>
                </w:p>
              </w:tc>
              <w:tc>
                <w:tcPr>
                  <w:tcW w:w="1025" w:type="dxa"/>
                  <w:vMerge w:val="continue"/>
                  <w:noWrap w:val="0"/>
                  <w:vAlign w:val="center"/>
                </w:tcPr>
                <w:p w14:paraId="50FD2FB8">
                  <w:pPr>
                    <w:jc w:val="center"/>
                    <w:rPr>
                      <w:bCs/>
                      <w:color w:val="auto"/>
                      <w:sz w:val="18"/>
                      <w:szCs w:val="18"/>
                      <w:highlight w:val="yellow"/>
                    </w:rPr>
                  </w:pPr>
                </w:p>
              </w:tc>
              <w:tc>
                <w:tcPr>
                  <w:tcW w:w="675" w:type="dxa"/>
                  <w:noWrap w:val="0"/>
                  <w:vAlign w:val="center"/>
                </w:tcPr>
                <w:p w14:paraId="51E186B4">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0</w:t>
                  </w:r>
                </w:p>
              </w:tc>
              <w:tc>
                <w:tcPr>
                  <w:tcW w:w="900" w:type="dxa"/>
                  <w:vMerge w:val="continue"/>
                  <w:noWrap w:val="0"/>
                  <w:vAlign w:val="center"/>
                </w:tcPr>
                <w:p w14:paraId="77B36DF2">
                  <w:pPr>
                    <w:jc w:val="center"/>
                    <w:rPr>
                      <w:rFonts w:hint="eastAsia"/>
                      <w:color w:val="auto"/>
                      <w:sz w:val="18"/>
                      <w:szCs w:val="18"/>
                      <w:highlight w:val="none"/>
                    </w:rPr>
                  </w:pPr>
                </w:p>
              </w:tc>
              <w:tc>
                <w:tcPr>
                  <w:tcW w:w="687" w:type="dxa"/>
                  <w:noWrap w:val="0"/>
                  <w:vAlign w:val="center"/>
                </w:tcPr>
                <w:p w14:paraId="1BEB76DE">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是</w:t>
                  </w:r>
                </w:p>
              </w:tc>
              <w:tc>
                <w:tcPr>
                  <w:tcW w:w="725" w:type="dxa"/>
                  <w:noWrap w:val="0"/>
                  <w:vAlign w:val="center"/>
                </w:tcPr>
                <w:p w14:paraId="48B9D238">
                  <w:pPr>
                    <w:keepNext w:val="0"/>
                    <w:keepLines w:val="0"/>
                    <w:widowControl/>
                    <w:suppressLineNumbers w:val="0"/>
                    <w:jc w:val="center"/>
                    <w:textAlignment w:val="center"/>
                    <w:rPr>
                      <w:rFonts w:hint="default" w:ascii="Times New Roman" w:hAnsi="Times New Roman" w:cs="Times New Roman"/>
                      <w:color w:val="auto"/>
                      <w:sz w:val="18"/>
                      <w:szCs w:val="18"/>
                      <w:highlight w:val="yellow"/>
                    </w:rPr>
                  </w:pPr>
                  <w:r>
                    <w:rPr>
                      <w:rFonts w:hint="default" w:ascii="Times New Roman" w:hAnsi="Times New Roman" w:eastAsia="宋体" w:cs="Times New Roman"/>
                      <w:i w:val="0"/>
                      <w:iCs w:val="0"/>
                      <w:color w:val="auto"/>
                      <w:kern w:val="0"/>
                      <w:sz w:val="18"/>
                      <w:szCs w:val="18"/>
                      <w:u w:val="none"/>
                      <w:lang w:val="en-US" w:eastAsia="zh-CN" w:bidi="ar"/>
                    </w:rPr>
                    <w:t xml:space="preserve">1.728 </w:t>
                  </w:r>
                </w:p>
              </w:tc>
              <w:tc>
                <w:tcPr>
                  <w:tcW w:w="888" w:type="dxa"/>
                  <w:noWrap w:val="0"/>
                  <w:vAlign w:val="center"/>
                </w:tcPr>
                <w:p w14:paraId="7FCBF02C">
                  <w:pPr>
                    <w:keepNext w:val="0"/>
                    <w:keepLines w:val="0"/>
                    <w:widowControl/>
                    <w:suppressLineNumbers w:val="0"/>
                    <w:jc w:val="center"/>
                    <w:textAlignment w:val="center"/>
                    <w:rPr>
                      <w:rFonts w:hint="default" w:ascii="Times New Roman" w:hAnsi="Times New Roman" w:cs="Times New Roman"/>
                      <w:color w:val="auto"/>
                      <w:kern w:val="0"/>
                      <w:sz w:val="18"/>
                      <w:szCs w:val="18"/>
                      <w:highlight w:val="yellow"/>
                      <w:lang w:bidi="ar"/>
                    </w:rPr>
                  </w:pPr>
                  <w:r>
                    <w:rPr>
                      <w:rFonts w:hint="default" w:ascii="Times New Roman" w:hAnsi="Times New Roman" w:eastAsia="宋体" w:cs="Times New Roman"/>
                      <w:i w:val="0"/>
                      <w:iCs w:val="0"/>
                      <w:color w:val="auto"/>
                      <w:kern w:val="0"/>
                      <w:sz w:val="18"/>
                      <w:szCs w:val="18"/>
                      <w:u w:val="none"/>
                      <w:lang w:val="en-US" w:eastAsia="zh-CN" w:bidi="ar"/>
                    </w:rPr>
                    <w:t xml:space="preserve">0.72 </w:t>
                  </w:r>
                </w:p>
              </w:tc>
              <w:tc>
                <w:tcPr>
                  <w:tcW w:w="998" w:type="dxa"/>
                  <w:noWrap w:val="0"/>
                  <w:vAlign w:val="center"/>
                </w:tcPr>
                <w:p w14:paraId="6E1D8F1B">
                  <w:pPr>
                    <w:keepNext w:val="0"/>
                    <w:keepLines w:val="0"/>
                    <w:widowControl/>
                    <w:suppressLineNumbers w:val="0"/>
                    <w:jc w:val="center"/>
                    <w:textAlignment w:val="center"/>
                    <w:rPr>
                      <w:rFonts w:hint="default" w:ascii="Times New Roman" w:hAnsi="Times New Roman" w:cs="Times New Roman"/>
                      <w:color w:val="auto"/>
                      <w:sz w:val="18"/>
                      <w:szCs w:val="18"/>
                      <w:highlight w:val="yellow"/>
                    </w:rPr>
                  </w:pPr>
                  <w:r>
                    <w:rPr>
                      <w:rFonts w:hint="default" w:ascii="Times New Roman" w:hAnsi="Times New Roman" w:eastAsia="宋体" w:cs="Times New Roman"/>
                      <w:i w:val="0"/>
                      <w:iCs w:val="0"/>
                      <w:color w:val="auto"/>
                      <w:kern w:val="0"/>
                      <w:sz w:val="18"/>
                      <w:szCs w:val="18"/>
                      <w:u w:val="none"/>
                      <w:lang w:val="en-US" w:eastAsia="zh-CN" w:bidi="ar"/>
                    </w:rPr>
                    <w:t xml:space="preserve">200 </w:t>
                  </w:r>
                </w:p>
              </w:tc>
              <w:tc>
                <w:tcPr>
                  <w:tcW w:w="1521" w:type="dxa"/>
                  <w:vMerge w:val="continue"/>
                  <w:noWrap w:val="0"/>
                  <w:vAlign w:val="center"/>
                </w:tcPr>
                <w:p w14:paraId="3CD63AA7">
                  <w:pPr>
                    <w:jc w:val="center"/>
                    <w:rPr>
                      <w:color w:val="auto"/>
                      <w:sz w:val="18"/>
                      <w:szCs w:val="18"/>
                    </w:rPr>
                  </w:pPr>
                </w:p>
              </w:tc>
            </w:tr>
            <w:tr w14:paraId="4400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07" w:type="dxa"/>
                  <w:noWrap w:val="0"/>
                  <w:vAlign w:val="center"/>
                </w:tcPr>
                <w:p w14:paraId="06931A65">
                  <w:pPr>
                    <w:jc w:val="center"/>
                    <w:rPr>
                      <w:rFonts w:hint="eastAsia" w:eastAsia="宋体"/>
                      <w:color w:val="auto"/>
                      <w:sz w:val="18"/>
                      <w:szCs w:val="18"/>
                      <w:lang w:val="en-US" w:eastAsia="zh-CN"/>
                    </w:rPr>
                  </w:pPr>
                  <w:r>
                    <w:rPr>
                      <w:rFonts w:hint="eastAsia"/>
                      <w:color w:val="auto"/>
                      <w:sz w:val="18"/>
                      <w:szCs w:val="18"/>
                      <w:lang w:val="en-US" w:eastAsia="zh-CN"/>
                    </w:rPr>
                    <w:t>2</w:t>
                  </w:r>
                </w:p>
              </w:tc>
              <w:tc>
                <w:tcPr>
                  <w:tcW w:w="813" w:type="dxa"/>
                  <w:noWrap w:val="0"/>
                  <w:vAlign w:val="center"/>
                </w:tcPr>
                <w:p w14:paraId="18450546">
                  <w:pPr>
                    <w:jc w:val="center"/>
                    <w:rPr>
                      <w:rFonts w:hint="default"/>
                      <w:color w:val="auto"/>
                      <w:sz w:val="18"/>
                      <w:szCs w:val="18"/>
                      <w:lang w:val="en-US" w:eastAsia="zh-CN"/>
                    </w:rPr>
                  </w:pPr>
                  <w:r>
                    <w:rPr>
                      <w:rFonts w:hint="eastAsia"/>
                      <w:color w:val="auto"/>
                      <w:sz w:val="18"/>
                      <w:szCs w:val="18"/>
                      <w:lang w:val="en-US" w:eastAsia="zh-CN"/>
                    </w:rPr>
                    <w:t>生物质锅炉炉渣清灰过程</w:t>
                  </w:r>
                </w:p>
              </w:tc>
              <w:tc>
                <w:tcPr>
                  <w:tcW w:w="625" w:type="dxa"/>
                  <w:noWrap w:val="0"/>
                  <w:vAlign w:val="center"/>
                </w:tcPr>
                <w:p w14:paraId="411FE553">
                  <w:pPr>
                    <w:jc w:val="center"/>
                    <w:rPr>
                      <w:rFonts w:hint="default"/>
                      <w:color w:val="auto"/>
                      <w:sz w:val="18"/>
                      <w:szCs w:val="18"/>
                      <w:lang w:val="en-US" w:eastAsia="zh-CN"/>
                    </w:rPr>
                  </w:pPr>
                  <w:r>
                    <w:rPr>
                      <w:rFonts w:hint="eastAsia"/>
                      <w:color w:val="auto"/>
                      <w:sz w:val="18"/>
                      <w:szCs w:val="18"/>
                      <w:lang w:val="en-US" w:eastAsia="zh-CN"/>
                    </w:rPr>
                    <w:t>颗粒物</w:t>
                  </w:r>
                </w:p>
              </w:tc>
              <w:tc>
                <w:tcPr>
                  <w:tcW w:w="712" w:type="dxa"/>
                  <w:noWrap w:val="0"/>
                  <w:vAlign w:val="center"/>
                </w:tcPr>
                <w:p w14:paraId="79281FAA">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0.397</w:t>
                  </w:r>
                </w:p>
              </w:tc>
              <w:tc>
                <w:tcPr>
                  <w:tcW w:w="888" w:type="dxa"/>
                  <w:noWrap w:val="0"/>
                  <w:vAlign w:val="center"/>
                </w:tcPr>
                <w:p w14:paraId="3B114D8B">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w:t>
                  </w:r>
                </w:p>
              </w:tc>
              <w:tc>
                <w:tcPr>
                  <w:tcW w:w="1012" w:type="dxa"/>
                  <w:noWrap w:val="0"/>
                  <w:vAlign w:val="center"/>
                </w:tcPr>
                <w:p w14:paraId="27338040">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w:t>
                  </w:r>
                </w:p>
              </w:tc>
              <w:tc>
                <w:tcPr>
                  <w:tcW w:w="488" w:type="dxa"/>
                  <w:noWrap w:val="0"/>
                  <w:vAlign w:val="center"/>
                </w:tcPr>
                <w:p w14:paraId="6D8CA4DB">
                  <w:pPr>
                    <w:jc w:val="center"/>
                    <w:rPr>
                      <w:rFonts w:hint="eastAsia" w:eastAsia="宋体"/>
                      <w:color w:val="auto"/>
                      <w:sz w:val="18"/>
                      <w:szCs w:val="18"/>
                      <w:lang w:val="en-US" w:eastAsia="zh-CN"/>
                    </w:rPr>
                  </w:pPr>
                  <w:r>
                    <w:rPr>
                      <w:rFonts w:hint="eastAsia"/>
                      <w:color w:val="auto"/>
                      <w:sz w:val="18"/>
                      <w:szCs w:val="18"/>
                      <w:lang w:val="en-US" w:eastAsia="zh-CN"/>
                    </w:rPr>
                    <w:t>无组织</w:t>
                  </w:r>
                </w:p>
              </w:tc>
              <w:tc>
                <w:tcPr>
                  <w:tcW w:w="1025" w:type="dxa"/>
                  <w:noWrap w:val="0"/>
                  <w:vAlign w:val="center"/>
                </w:tcPr>
                <w:p w14:paraId="15B23B6E">
                  <w:pPr>
                    <w:jc w:val="center"/>
                    <w:rPr>
                      <w:rFonts w:hint="default" w:eastAsia="宋体"/>
                      <w:bCs/>
                      <w:color w:val="auto"/>
                      <w:sz w:val="18"/>
                      <w:szCs w:val="18"/>
                      <w:lang w:val="en-US" w:eastAsia="zh-CN"/>
                    </w:rPr>
                  </w:pPr>
                  <w:r>
                    <w:rPr>
                      <w:rFonts w:hint="eastAsia"/>
                      <w:bCs/>
                      <w:color w:val="auto"/>
                      <w:sz w:val="18"/>
                      <w:szCs w:val="18"/>
                      <w:lang w:val="en-US" w:eastAsia="zh-CN"/>
                    </w:rPr>
                    <w:t>自然稀释扩散</w:t>
                  </w:r>
                </w:p>
              </w:tc>
              <w:tc>
                <w:tcPr>
                  <w:tcW w:w="675" w:type="dxa"/>
                  <w:noWrap w:val="0"/>
                  <w:vAlign w:val="center"/>
                </w:tcPr>
                <w:p w14:paraId="32DCC9C8">
                  <w:pPr>
                    <w:jc w:val="center"/>
                    <w:rPr>
                      <w:rFonts w:hint="default"/>
                      <w:color w:val="auto"/>
                      <w:sz w:val="18"/>
                      <w:szCs w:val="18"/>
                      <w:lang w:val="en-US" w:eastAsia="zh-CN"/>
                    </w:rPr>
                  </w:pPr>
                  <w:r>
                    <w:rPr>
                      <w:rFonts w:hint="eastAsia"/>
                      <w:color w:val="auto"/>
                      <w:sz w:val="18"/>
                      <w:szCs w:val="18"/>
                      <w:lang w:val="en-US" w:eastAsia="zh-CN"/>
                    </w:rPr>
                    <w:t>/</w:t>
                  </w:r>
                </w:p>
              </w:tc>
              <w:tc>
                <w:tcPr>
                  <w:tcW w:w="900" w:type="dxa"/>
                  <w:noWrap w:val="0"/>
                  <w:vAlign w:val="center"/>
                </w:tcPr>
                <w:p w14:paraId="286D4765">
                  <w:pPr>
                    <w:jc w:val="center"/>
                    <w:rPr>
                      <w:rFonts w:hint="eastAsia" w:eastAsia="宋体"/>
                      <w:color w:val="auto"/>
                      <w:sz w:val="18"/>
                      <w:szCs w:val="18"/>
                      <w:lang w:val="en-US" w:eastAsia="zh-CN"/>
                    </w:rPr>
                  </w:pPr>
                  <w:r>
                    <w:rPr>
                      <w:rFonts w:hint="eastAsia"/>
                      <w:color w:val="auto"/>
                      <w:sz w:val="18"/>
                      <w:szCs w:val="18"/>
                      <w:lang w:val="en-US" w:eastAsia="zh-CN"/>
                    </w:rPr>
                    <w:t>/</w:t>
                  </w:r>
                </w:p>
              </w:tc>
              <w:tc>
                <w:tcPr>
                  <w:tcW w:w="687" w:type="dxa"/>
                  <w:noWrap w:val="0"/>
                  <w:vAlign w:val="center"/>
                </w:tcPr>
                <w:p w14:paraId="45A0A3F2">
                  <w:pPr>
                    <w:jc w:val="center"/>
                    <w:rPr>
                      <w:rFonts w:hint="default"/>
                      <w:color w:val="auto"/>
                      <w:sz w:val="18"/>
                      <w:szCs w:val="18"/>
                      <w:lang w:val="en-US" w:eastAsia="zh-CN"/>
                    </w:rPr>
                  </w:pPr>
                  <w:r>
                    <w:rPr>
                      <w:rFonts w:hint="eastAsia"/>
                      <w:color w:val="auto"/>
                      <w:sz w:val="18"/>
                      <w:szCs w:val="18"/>
                      <w:lang w:val="en-US" w:eastAsia="zh-CN"/>
                    </w:rPr>
                    <w:t>是</w:t>
                  </w:r>
                </w:p>
              </w:tc>
              <w:tc>
                <w:tcPr>
                  <w:tcW w:w="725" w:type="dxa"/>
                  <w:noWrap w:val="0"/>
                  <w:vAlign w:val="center"/>
                </w:tcPr>
                <w:p w14:paraId="4D20DE5F">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0.397</w:t>
                  </w:r>
                </w:p>
              </w:tc>
              <w:tc>
                <w:tcPr>
                  <w:tcW w:w="888" w:type="dxa"/>
                  <w:noWrap w:val="0"/>
                  <w:vAlign w:val="center"/>
                </w:tcPr>
                <w:p w14:paraId="6FA56BDC">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w:t>
                  </w:r>
                </w:p>
              </w:tc>
              <w:tc>
                <w:tcPr>
                  <w:tcW w:w="998" w:type="dxa"/>
                  <w:noWrap w:val="0"/>
                  <w:vAlign w:val="center"/>
                </w:tcPr>
                <w:p w14:paraId="7AB36C8B">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w:t>
                  </w:r>
                </w:p>
              </w:tc>
              <w:tc>
                <w:tcPr>
                  <w:tcW w:w="1521" w:type="dxa"/>
                  <w:noWrap w:val="0"/>
                  <w:vAlign w:val="center"/>
                </w:tcPr>
                <w:p w14:paraId="3252BF62">
                  <w:pPr>
                    <w:jc w:val="center"/>
                    <w:rPr>
                      <w:color w:val="auto"/>
                      <w:sz w:val="18"/>
                      <w:szCs w:val="18"/>
                    </w:rPr>
                  </w:pPr>
                  <w:r>
                    <w:rPr>
                      <w:rFonts w:hint="eastAsia"/>
                      <w:b w:val="0"/>
                      <w:bCs w:val="0"/>
                      <w:color w:val="auto"/>
                      <w:sz w:val="18"/>
                      <w:szCs w:val="18"/>
                      <w:lang w:val="en-US" w:eastAsia="zh-CN"/>
                    </w:rPr>
                    <w:t>《大气污染物综合排放标准》（GB16297-1996）表2中无组织排放浓度要求</w:t>
                  </w:r>
                </w:p>
              </w:tc>
            </w:tr>
            <w:tr w14:paraId="773D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3" w:hRule="atLeast"/>
                <w:jc w:val="center"/>
              </w:trPr>
              <w:tc>
                <w:tcPr>
                  <w:tcW w:w="307" w:type="dxa"/>
                  <w:noWrap w:val="0"/>
                  <w:vAlign w:val="center"/>
                </w:tcPr>
                <w:p w14:paraId="7358CDA1">
                  <w:pPr>
                    <w:jc w:val="center"/>
                    <w:rPr>
                      <w:color w:val="auto"/>
                      <w:sz w:val="18"/>
                      <w:szCs w:val="18"/>
                    </w:rPr>
                  </w:pPr>
                  <w:r>
                    <w:rPr>
                      <w:color w:val="auto"/>
                      <w:sz w:val="18"/>
                      <w:szCs w:val="18"/>
                    </w:rPr>
                    <w:t>3</w:t>
                  </w:r>
                </w:p>
              </w:tc>
              <w:tc>
                <w:tcPr>
                  <w:tcW w:w="813" w:type="dxa"/>
                  <w:noWrap w:val="0"/>
                  <w:vAlign w:val="center"/>
                </w:tcPr>
                <w:p w14:paraId="351B4B72">
                  <w:pPr>
                    <w:jc w:val="center"/>
                    <w:rPr>
                      <w:rFonts w:hint="default"/>
                      <w:color w:val="auto"/>
                      <w:sz w:val="18"/>
                      <w:szCs w:val="18"/>
                      <w:lang w:val="en-US"/>
                    </w:rPr>
                  </w:pPr>
                  <w:r>
                    <w:rPr>
                      <w:rFonts w:hint="eastAsia"/>
                      <w:b w:val="0"/>
                      <w:bCs w:val="0"/>
                      <w:color w:val="auto"/>
                      <w:sz w:val="18"/>
                      <w:szCs w:val="18"/>
                      <w:lang w:val="en-US" w:eastAsia="zh-CN"/>
                    </w:rPr>
                    <w:t>水果人工挑选、</w:t>
                  </w:r>
                  <w:r>
                    <w:rPr>
                      <w:rFonts w:hint="eastAsia" w:cs="Times New Roman"/>
                      <w:b w:val="0"/>
                      <w:bCs/>
                      <w:color w:val="auto"/>
                      <w:sz w:val="18"/>
                      <w:szCs w:val="18"/>
                      <w:lang w:val="en-US" w:eastAsia="zh-CN"/>
                    </w:rPr>
                    <w:t>去梗、挑选、去皮、去核、打浆及去杂质精制环节</w:t>
                  </w:r>
                </w:p>
              </w:tc>
              <w:tc>
                <w:tcPr>
                  <w:tcW w:w="625" w:type="dxa"/>
                  <w:noWrap w:val="0"/>
                  <w:vAlign w:val="center"/>
                </w:tcPr>
                <w:p w14:paraId="6600F295">
                  <w:pPr>
                    <w:jc w:val="center"/>
                    <w:rPr>
                      <w:rFonts w:hint="eastAsia" w:eastAsia="宋体"/>
                      <w:color w:val="auto"/>
                      <w:sz w:val="18"/>
                      <w:szCs w:val="18"/>
                      <w:lang w:eastAsia="zh-CN"/>
                    </w:rPr>
                  </w:pPr>
                  <w:r>
                    <w:rPr>
                      <w:rFonts w:hint="eastAsia"/>
                      <w:color w:val="auto"/>
                      <w:sz w:val="18"/>
                      <w:szCs w:val="18"/>
                      <w:lang w:val="en-US" w:eastAsia="zh-CN"/>
                    </w:rPr>
                    <w:t>异味（臭气浓度）</w:t>
                  </w:r>
                </w:p>
              </w:tc>
              <w:tc>
                <w:tcPr>
                  <w:tcW w:w="712" w:type="dxa"/>
                  <w:noWrap w:val="0"/>
                  <w:vAlign w:val="center"/>
                </w:tcPr>
                <w:p w14:paraId="762D2FFF">
                  <w:pPr>
                    <w:jc w:val="center"/>
                    <w:rPr>
                      <w:rFonts w:hint="eastAsia" w:eastAsia="宋体"/>
                      <w:color w:val="auto"/>
                      <w:sz w:val="18"/>
                      <w:szCs w:val="18"/>
                      <w:lang w:eastAsia="zh-CN"/>
                    </w:rPr>
                  </w:pPr>
                  <w:r>
                    <w:rPr>
                      <w:rFonts w:hint="eastAsia"/>
                      <w:color w:val="auto"/>
                      <w:sz w:val="18"/>
                      <w:szCs w:val="18"/>
                      <w:lang w:val="en-US" w:eastAsia="zh-CN"/>
                    </w:rPr>
                    <w:t>微量</w:t>
                  </w:r>
                </w:p>
              </w:tc>
              <w:tc>
                <w:tcPr>
                  <w:tcW w:w="888" w:type="dxa"/>
                  <w:noWrap w:val="0"/>
                  <w:vAlign w:val="center"/>
                </w:tcPr>
                <w:p w14:paraId="62DC09F9">
                  <w:pPr>
                    <w:jc w:val="center"/>
                    <w:rPr>
                      <w:rFonts w:hint="eastAsia" w:eastAsia="宋体"/>
                      <w:color w:val="auto"/>
                      <w:sz w:val="18"/>
                      <w:szCs w:val="18"/>
                      <w:lang w:eastAsia="zh-CN"/>
                    </w:rPr>
                  </w:pPr>
                  <w:r>
                    <w:rPr>
                      <w:rFonts w:hint="eastAsia"/>
                      <w:color w:val="auto"/>
                      <w:sz w:val="18"/>
                      <w:szCs w:val="18"/>
                      <w:lang w:val="en-US" w:eastAsia="zh-CN"/>
                    </w:rPr>
                    <w:t>/</w:t>
                  </w:r>
                </w:p>
              </w:tc>
              <w:tc>
                <w:tcPr>
                  <w:tcW w:w="1012" w:type="dxa"/>
                  <w:noWrap w:val="0"/>
                  <w:vAlign w:val="center"/>
                </w:tcPr>
                <w:p w14:paraId="2F63B583">
                  <w:pPr>
                    <w:jc w:val="center"/>
                    <w:rPr>
                      <w:color w:val="auto"/>
                      <w:sz w:val="18"/>
                      <w:szCs w:val="18"/>
                    </w:rPr>
                  </w:pPr>
                  <w:r>
                    <w:rPr>
                      <w:color w:val="auto"/>
                      <w:sz w:val="18"/>
                      <w:szCs w:val="18"/>
                    </w:rPr>
                    <w:t>/</w:t>
                  </w:r>
                </w:p>
              </w:tc>
              <w:tc>
                <w:tcPr>
                  <w:tcW w:w="488" w:type="dxa"/>
                  <w:noWrap w:val="0"/>
                  <w:vAlign w:val="center"/>
                </w:tcPr>
                <w:p w14:paraId="7684159E">
                  <w:pPr>
                    <w:jc w:val="center"/>
                    <w:rPr>
                      <w:color w:val="auto"/>
                      <w:sz w:val="18"/>
                      <w:szCs w:val="18"/>
                    </w:rPr>
                  </w:pPr>
                  <w:r>
                    <w:rPr>
                      <w:color w:val="auto"/>
                      <w:sz w:val="18"/>
                      <w:szCs w:val="18"/>
                    </w:rPr>
                    <w:t>无组织</w:t>
                  </w:r>
                </w:p>
              </w:tc>
              <w:tc>
                <w:tcPr>
                  <w:tcW w:w="1025" w:type="dxa"/>
                  <w:noWrap w:val="0"/>
                  <w:vAlign w:val="center"/>
                </w:tcPr>
                <w:p w14:paraId="53A0476E">
                  <w:pPr>
                    <w:jc w:val="center"/>
                    <w:rPr>
                      <w:rFonts w:hint="eastAsia" w:eastAsia="宋体"/>
                      <w:color w:val="auto"/>
                      <w:sz w:val="18"/>
                      <w:szCs w:val="18"/>
                      <w:lang w:eastAsia="zh-CN"/>
                    </w:rPr>
                  </w:pPr>
                  <w:r>
                    <w:rPr>
                      <w:rFonts w:hint="eastAsia"/>
                      <w:color w:val="auto"/>
                      <w:sz w:val="18"/>
                      <w:szCs w:val="18"/>
                      <w:lang w:val="en-US" w:eastAsia="zh-CN"/>
                    </w:rPr>
                    <w:t>日产日清+自然稀释扩散</w:t>
                  </w:r>
                </w:p>
              </w:tc>
              <w:tc>
                <w:tcPr>
                  <w:tcW w:w="675" w:type="dxa"/>
                  <w:noWrap w:val="0"/>
                  <w:vAlign w:val="center"/>
                </w:tcPr>
                <w:p w14:paraId="27FEBFF3">
                  <w:pPr>
                    <w:jc w:val="center"/>
                    <w:rPr>
                      <w:rFonts w:hint="eastAsia" w:eastAsia="宋体"/>
                      <w:color w:val="auto"/>
                      <w:sz w:val="18"/>
                      <w:szCs w:val="18"/>
                      <w:lang w:val="en-US" w:eastAsia="zh-CN"/>
                    </w:rPr>
                  </w:pPr>
                  <w:r>
                    <w:rPr>
                      <w:rFonts w:hint="eastAsia"/>
                      <w:color w:val="auto"/>
                      <w:sz w:val="18"/>
                      <w:szCs w:val="18"/>
                      <w:lang w:val="en-US" w:eastAsia="zh-CN"/>
                    </w:rPr>
                    <w:t>/</w:t>
                  </w:r>
                </w:p>
              </w:tc>
              <w:tc>
                <w:tcPr>
                  <w:tcW w:w="900" w:type="dxa"/>
                  <w:noWrap w:val="0"/>
                  <w:vAlign w:val="center"/>
                </w:tcPr>
                <w:p w14:paraId="6A1642B1">
                  <w:pPr>
                    <w:jc w:val="center"/>
                    <w:rPr>
                      <w:rFonts w:hint="eastAsia" w:eastAsia="宋体"/>
                      <w:color w:val="auto"/>
                      <w:sz w:val="18"/>
                      <w:szCs w:val="18"/>
                      <w:lang w:val="en-US" w:eastAsia="zh-CN"/>
                    </w:rPr>
                  </w:pPr>
                  <w:r>
                    <w:rPr>
                      <w:rFonts w:hint="eastAsia"/>
                      <w:color w:val="auto"/>
                      <w:sz w:val="18"/>
                      <w:szCs w:val="18"/>
                      <w:lang w:val="en-US" w:eastAsia="zh-CN"/>
                    </w:rPr>
                    <w:t>/</w:t>
                  </w:r>
                </w:p>
              </w:tc>
              <w:tc>
                <w:tcPr>
                  <w:tcW w:w="687" w:type="dxa"/>
                  <w:noWrap w:val="0"/>
                  <w:vAlign w:val="center"/>
                </w:tcPr>
                <w:p w14:paraId="2865538E">
                  <w:pPr>
                    <w:jc w:val="center"/>
                    <w:rPr>
                      <w:color w:val="auto"/>
                      <w:sz w:val="18"/>
                      <w:szCs w:val="18"/>
                    </w:rPr>
                  </w:pPr>
                  <w:r>
                    <w:rPr>
                      <w:color w:val="auto"/>
                      <w:sz w:val="18"/>
                      <w:szCs w:val="18"/>
                    </w:rPr>
                    <w:t>是</w:t>
                  </w:r>
                </w:p>
              </w:tc>
              <w:tc>
                <w:tcPr>
                  <w:tcW w:w="725" w:type="dxa"/>
                  <w:noWrap w:val="0"/>
                  <w:vAlign w:val="center"/>
                </w:tcPr>
                <w:p w14:paraId="054ED6D7">
                  <w:pPr>
                    <w:jc w:val="center"/>
                    <w:rPr>
                      <w:rFonts w:hint="eastAsia" w:eastAsia="宋体"/>
                      <w:color w:val="auto"/>
                      <w:sz w:val="18"/>
                      <w:szCs w:val="18"/>
                      <w:lang w:eastAsia="zh-CN"/>
                    </w:rPr>
                  </w:pPr>
                  <w:r>
                    <w:rPr>
                      <w:rFonts w:hint="eastAsia"/>
                      <w:color w:val="auto"/>
                      <w:sz w:val="18"/>
                      <w:szCs w:val="18"/>
                      <w:lang w:val="en-US" w:eastAsia="zh-CN"/>
                    </w:rPr>
                    <w:t>微量</w:t>
                  </w:r>
                </w:p>
              </w:tc>
              <w:tc>
                <w:tcPr>
                  <w:tcW w:w="888" w:type="dxa"/>
                  <w:noWrap w:val="0"/>
                  <w:vAlign w:val="center"/>
                </w:tcPr>
                <w:p w14:paraId="058FBD0F">
                  <w:pPr>
                    <w:jc w:val="center"/>
                    <w:rPr>
                      <w:rFonts w:hint="eastAsia" w:eastAsia="宋体"/>
                      <w:color w:val="auto"/>
                      <w:sz w:val="18"/>
                      <w:szCs w:val="18"/>
                      <w:lang w:eastAsia="zh-CN"/>
                    </w:rPr>
                  </w:pPr>
                  <w:r>
                    <w:rPr>
                      <w:rFonts w:hint="eastAsia"/>
                      <w:color w:val="auto"/>
                      <w:sz w:val="18"/>
                      <w:szCs w:val="18"/>
                      <w:lang w:val="en-US" w:eastAsia="zh-CN"/>
                    </w:rPr>
                    <w:t>/</w:t>
                  </w:r>
                </w:p>
              </w:tc>
              <w:tc>
                <w:tcPr>
                  <w:tcW w:w="998" w:type="dxa"/>
                  <w:noWrap w:val="0"/>
                  <w:vAlign w:val="center"/>
                </w:tcPr>
                <w:p w14:paraId="51802E4E">
                  <w:pPr>
                    <w:jc w:val="center"/>
                    <w:rPr>
                      <w:color w:val="auto"/>
                      <w:sz w:val="18"/>
                      <w:szCs w:val="18"/>
                    </w:rPr>
                  </w:pPr>
                  <w:r>
                    <w:rPr>
                      <w:color w:val="auto"/>
                      <w:sz w:val="18"/>
                      <w:szCs w:val="18"/>
                    </w:rPr>
                    <w:t>/</w:t>
                  </w:r>
                </w:p>
              </w:tc>
              <w:tc>
                <w:tcPr>
                  <w:tcW w:w="1521" w:type="dxa"/>
                  <w:vMerge w:val="restart"/>
                  <w:noWrap w:val="0"/>
                  <w:vAlign w:val="center"/>
                </w:tcPr>
                <w:p w14:paraId="1A1B39B8">
                  <w:pPr>
                    <w:jc w:val="center"/>
                    <w:rPr>
                      <w:rFonts w:hint="default" w:eastAsia="宋体"/>
                      <w:color w:val="auto"/>
                      <w:sz w:val="18"/>
                      <w:szCs w:val="18"/>
                      <w:lang w:val="en-US" w:eastAsia="zh-CN"/>
                    </w:rPr>
                  </w:pPr>
                  <w:r>
                    <w:rPr>
                      <w:color w:val="auto"/>
                      <w:sz w:val="18"/>
                      <w:szCs w:val="18"/>
                    </w:rPr>
                    <w:t>《恶臭污染物排放标准》（GB14554-93）</w:t>
                  </w:r>
                  <w:r>
                    <w:rPr>
                      <w:rFonts w:hint="eastAsia"/>
                      <w:color w:val="auto"/>
                      <w:sz w:val="18"/>
                      <w:szCs w:val="18"/>
                      <w:lang w:val="en-US" w:eastAsia="zh-CN"/>
                    </w:rPr>
                    <w:t>表1二级排放标准</w:t>
                  </w:r>
                </w:p>
              </w:tc>
            </w:tr>
            <w:tr w14:paraId="13D8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07" w:type="dxa"/>
                  <w:vMerge w:val="restart"/>
                  <w:noWrap w:val="0"/>
                  <w:vAlign w:val="center"/>
                </w:tcPr>
                <w:p w14:paraId="26746513">
                  <w:pPr>
                    <w:jc w:val="center"/>
                    <w:rPr>
                      <w:rFonts w:hint="eastAsia" w:eastAsia="宋体"/>
                      <w:color w:val="auto"/>
                      <w:sz w:val="18"/>
                      <w:szCs w:val="18"/>
                      <w:lang w:val="en-US" w:eastAsia="zh-CN"/>
                    </w:rPr>
                  </w:pPr>
                  <w:r>
                    <w:rPr>
                      <w:rFonts w:hint="eastAsia"/>
                      <w:color w:val="auto"/>
                      <w:sz w:val="18"/>
                      <w:szCs w:val="18"/>
                      <w:lang w:val="en-US" w:eastAsia="zh-CN"/>
                    </w:rPr>
                    <w:t>4</w:t>
                  </w:r>
                </w:p>
              </w:tc>
              <w:tc>
                <w:tcPr>
                  <w:tcW w:w="813" w:type="dxa"/>
                  <w:vMerge w:val="restart"/>
                  <w:noWrap w:val="0"/>
                  <w:vAlign w:val="center"/>
                </w:tcPr>
                <w:p w14:paraId="2F8413C2">
                  <w:pPr>
                    <w:jc w:val="center"/>
                    <w:rPr>
                      <w:rFonts w:hint="default"/>
                      <w:b w:val="0"/>
                      <w:bCs w:val="0"/>
                      <w:color w:val="auto"/>
                      <w:sz w:val="18"/>
                      <w:szCs w:val="18"/>
                      <w:lang w:val="en-US" w:eastAsia="zh-CN"/>
                    </w:rPr>
                  </w:pPr>
                  <w:r>
                    <w:rPr>
                      <w:rFonts w:hint="eastAsia"/>
                      <w:b w:val="0"/>
                      <w:bCs w:val="0"/>
                      <w:color w:val="auto"/>
                      <w:sz w:val="18"/>
                      <w:szCs w:val="18"/>
                      <w:lang w:val="en-US" w:eastAsia="zh-CN"/>
                    </w:rPr>
                    <w:t>一体化污水处理站</w:t>
                  </w:r>
                </w:p>
              </w:tc>
              <w:tc>
                <w:tcPr>
                  <w:tcW w:w="625" w:type="dxa"/>
                  <w:noWrap w:val="0"/>
                  <w:vAlign w:val="center"/>
                </w:tcPr>
                <w:p w14:paraId="359E45D0">
                  <w:pPr>
                    <w:jc w:val="center"/>
                    <w:rPr>
                      <w:rFonts w:hint="default"/>
                      <w:color w:val="auto"/>
                      <w:sz w:val="18"/>
                      <w:szCs w:val="18"/>
                      <w:lang w:val="en-US" w:eastAsia="zh-CN"/>
                    </w:rPr>
                  </w:pPr>
                  <w:r>
                    <w:rPr>
                      <w:rFonts w:hint="eastAsia"/>
                      <w:color w:val="auto"/>
                      <w:sz w:val="18"/>
                      <w:szCs w:val="18"/>
                      <w:lang w:val="en-US" w:eastAsia="zh-CN"/>
                    </w:rPr>
                    <w:t>臭气浓度</w:t>
                  </w:r>
                </w:p>
              </w:tc>
              <w:tc>
                <w:tcPr>
                  <w:tcW w:w="712" w:type="dxa"/>
                  <w:noWrap w:val="0"/>
                  <w:vAlign w:val="center"/>
                </w:tcPr>
                <w:p w14:paraId="0C9CAD60">
                  <w:pPr>
                    <w:jc w:val="center"/>
                    <w:rPr>
                      <w:rFonts w:hint="default"/>
                      <w:color w:val="auto"/>
                      <w:sz w:val="18"/>
                      <w:szCs w:val="18"/>
                      <w:lang w:val="en-US" w:eastAsia="zh-CN"/>
                    </w:rPr>
                  </w:pPr>
                  <w:r>
                    <w:rPr>
                      <w:rFonts w:hint="eastAsia"/>
                      <w:color w:val="auto"/>
                      <w:sz w:val="18"/>
                      <w:szCs w:val="18"/>
                      <w:lang w:val="en-US" w:eastAsia="zh-CN"/>
                    </w:rPr>
                    <w:t>微量</w:t>
                  </w:r>
                </w:p>
              </w:tc>
              <w:tc>
                <w:tcPr>
                  <w:tcW w:w="888" w:type="dxa"/>
                  <w:noWrap w:val="0"/>
                  <w:vAlign w:val="center"/>
                </w:tcPr>
                <w:p w14:paraId="0AD8E7EE">
                  <w:pPr>
                    <w:jc w:val="center"/>
                    <w:rPr>
                      <w:rFonts w:hint="eastAsia"/>
                      <w:color w:val="auto"/>
                      <w:sz w:val="18"/>
                      <w:szCs w:val="18"/>
                      <w:lang w:val="en-US" w:eastAsia="zh-CN"/>
                    </w:rPr>
                  </w:pPr>
                  <w:r>
                    <w:rPr>
                      <w:rFonts w:hint="eastAsia"/>
                      <w:color w:val="auto"/>
                      <w:sz w:val="18"/>
                      <w:szCs w:val="18"/>
                      <w:lang w:val="en-US" w:eastAsia="zh-CN"/>
                    </w:rPr>
                    <w:t>/</w:t>
                  </w:r>
                </w:p>
              </w:tc>
              <w:tc>
                <w:tcPr>
                  <w:tcW w:w="1012" w:type="dxa"/>
                  <w:noWrap w:val="0"/>
                  <w:vAlign w:val="center"/>
                </w:tcPr>
                <w:p w14:paraId="00AE4519">
                  <w:pPr>
                    <w:jc w:val="center"/>
                    <w:rPr>
                      <w:color w:val="auto"/>
                      <w:sz w:val="18"/>
                      <w:szCs w:val="18"/>
                    </w:rPr>
                  </w:pPr>
                  <w:r>
                    <w:rPr>
                      <w:color w:val="auto"/>
                      <w:sz w:val="18"/>
                      <w:szCs w:val="18"/>
                    </w:rPr>
                    <w:t>/</w:t>
                  </w:r>
                </w:p>
              </w:tc>
              <w:tc>
                <w:tcPr>
                  <w:tcW w:w="488" w:type="dxa"/>
                  <w:vMerge w:val="restart"/>
                  <w:noWrap w:val="0"/>
                  <w:vAlign w:val="center"/>
                </w:tcPr>
                <w:p w14:paraId="41DAE860">
                  <w:pPr>
                    <w:jc w:val="center"/>
                    <w:rPr>
                      <w:rFonts w:ascii="Times New Roman" w:hAnsi="Times New Roman" w:eastAsia="宋体" w:cs="Times New Roman"/>
                      <w:color w:val="auto"/>
                      <w:kern w:val="2"/>
                      <w:sz w:val="18"/>
                      <w:szCs w:val="18"/>
                      <w:lang w:val="en-US" w:eastAsia="zh-CN" w:bidi="ar-SA"/>
                    </w:rPr>
                  </w:pPr>
                  <w:r>
                    <w:rPr>
                      <w:color w:val="auto"/>
                      <w:sz w:val="18"/>
                      <w:szCs w:val="18"/>
                    </w:rPr>
                    <w:t>无组织</w:t>
                  </w:r>
                </w:p>
              </w:tc>
              <w:tc>
                <w:tcPr>
                  <w:tcW w:w="1025" w:type="dxa"/>
                  <w:vMerge w:val="restart"/>
                  <w:noWrap w:val="0"/>
                  <w:vAlign w:val="center"/>
                </w:tcPr>
                <w:p w14:paraId="497F03CE">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自然稀释扩散</w:t>
                  </w:r>
                </w:p>
              </w:tc>
              <w:tc>
                <w:tcPr>
                  <w:tcW w:w="675" w:type="dxa"/>
                  <w:noWrap w:val="0"/>
                  <w:vAlign w:val="center"/>
                </w:tcPr>
                <w:p w14:paraId="427D12BC">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900" w:type="dxa"/>
                  <w:noWrap w:val="0"/>
                  <w:vAlign w:val="center"/>
                </w:tcPr>
                <w:p w14:paraId="1E9372A6">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87" w:type="dxa"/>
                  <w:noWrap w:val="0"/>
                  <w:vAlign w:val="center"/>
                </w:tcPr>
                <w:p w14:paraId="503DEF2E">
                  <w:pPr>
                    <w:jc w:val="center"/>
                    <w:rPr>
                      <w:rFonts w:ascii="Times New Roman" w:hAnsi="Times New Roman" w:eastAsia="宋体" w:cs="Times New Roman"/>
                      <w:color w:val="auto"/>
                      <w:kern w:val="2"/>
                      <w:sz w:val="18"/>
                      <w:szCs w:val="18"/>
                      <w:lang w:val="en-US" w:eastAsia="zh-CN" w:bidi="ar-SA"/>
                    </w:rPr>
                  </w:pPr>
                  <w:r>
                    <w:rPr>
                      <w:color w:val="auto"/>
                      <w:sz w:val="18"/>
                      <w:szCs w:val="18"/>
                    </w:rPr>
                    <w:t>是</w:t>
                  </w:r>
                </w:p>
              </w:tc>
              <w:tc>
                <w:tcPr>
                  <w:tcW w:w="725" w:type="dxa"/>
                  <w:noWrap w:val="0"/>
                  <w:vAlign w:val="center"/>
                </w:tcPr>
                <w:p w14:paraId="2F963B2F">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微量</w:t>
                  </w:r>
                </w:p>
              </w:tc>
              <w:tc>
                <w:tcPr>
                  <w:tcW w:w="888" w:type="dxa"/>
                  <w:noWrap w:val="0"/>
                  <w:vAlign w:val="center"/>
                </w:tcPr>
                <w:p w14:paraId="06F09D86">
                  <w:pPr>
                    <w:jc w:val="center"/>
                    <w:rPr>
                      <w:rFonts w:hint="eastAsia"/>
                      <w:color w:val="auto"/>
                      <w:sz w:val="18"/>
                      <w:szCs w:val="18"/>
                      <w:lang w:val="en-US" w:eastAsia="zh-CN"/>
                    </w:rPr>
                  </w:pPr>
                  <w:r>
                    <w:rPr>
                      <w:rFonts w:hint="eastAsia"/>
                      <w:color w:val="auto"/>
                      <w:sz w:val="18"/>
                      <w:szCs w:val="18"/>
                      <w:lang w:val="en-US" w:eastAsia="zh-CN"/>
                    </w:rPr>
                    <w:t>/</w:t>
                  </w:r>
                </w:p>
              </w:tc>
              <w:tc>
                <w:tcPr>
                  <w:tcW w:w="998" w:type="dxa"/>
                  <w:noWrap w:val="0"/>
                  <w:vAlign w:val="center"/>
                </w:tcPr>
                <w:p w14:paraId="02DACFA8">
                  <w:pPr>
                    <w:jc w:val="center"/>
                    <w:rPr>
                      <w:color w:val="auto"/>
                      <w:sz w:val="18"/>
                      <w:szCs w:val="18"/>
                    </w:rPr>
                  </w:pPr>
                  <w:r>
                    <w:rPr>
                      <w:color w:val="auto"/>
                      <w:sz w:val="18"/>
                      <w:szCs w:val="18"/>
                    </w:rPr>
                    <w:t>/</w:t>
                  </w:r>
                </w:p>
              </w:tc>
              <w:tc>
                <w:tcPr>
                  <w:tcW w:w="1521" w:type="dxa"/>
                  <w:vMerge w:val="continue"/>
                  <w:noWrap w:val="0"/>
                  <w:vAlign w:val="center"/>
                </w:tcPr>
                <w:p w14:paraId="3FDFF258">
                  <w:pPr>
                    <w:jc w:val="center"/>
                    <w:rPr>
                      <w:color w:val="auto"/>
                      <w:sz w:val="18"/>
                      <w:szCs w:val="18"/>
                    </w:rPr>
                  </w:pPr>
                </w:p>
              </w:tc>
            </w:tr>
            <w:tr w14:paraId="067D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07" w:type="dxa"/>
                  <w:vMerge w:val="continue"/>
                  <w:noWrap w:val="0"/>
                  <w:vAlign w:val="center"/>
                </w:tcPr>
                <w:p w14:paraId="1303778A">
                  <w:pPr>
                    <w:jc w:val="center"/>
                    <w:rPr>
                      <w:rFonts w:hint="eastAsia"/>
                      <w:color w:val="auto"/>
                      <w:sz w:val="18"/>
                      <w:szCs w:val="18"/>
                      <w:lang w:val="en-US" w:eastAsia="zh-CN"/>
                    </w:rPr>
                  </w:pPr>
                </w:p>
              </w:tc>
              <w:tc>
                <w:tcPr>
                  <w:tcW w:w="813" w:type="dxa"/>
                  <w:vMerge w:val="continue"/>
                  <w:noWrap w:val="0"/>
                  <w:vAlign w:val="center"/>
                </w:tcPr>
                <w:p w14:paraId="6DBDB8CB">
                  <w:pPr>
                    <w:jc w:val="center"/>
                    <w:rPr>
                      <w:rFonts w:hint="eastAsia"/>
                      <w:b w:val="0"/>
                      <w:bCs w:val="0"/>
                      <w:color w:val="auto"/>
                      <w:sz w:val="18"/>
                      <w:szCs w:val="18"/>
                      <w:lang w:val="en-US" w:eastAsia="zh-CN"/>
                    </w:rPr>
                  </w:pPr>
                </w:p>
              </w:tc>
              <w:tc>
                <w:tcPr>
                  <w:tcW w:w="625" w:type="dxa"/>
                  <w:noWrap w:val="0"/>
                  <w:vAlign w:val="center"/>
                </w:tcPr>
                <w:p w14:paraId="7C2FE71A">
                  <w:pPr>
                    <w:jc w:val="center"/>
                    <w:rPr>
                      <w:rFonts w:hint="default"/>
                      <w:color w:val="auto"/>
                      <w:sz w:val="18"/>
                      <w:szCs w:val="18"/>
                      <w:lang w:val="en-US" w:eastAsia="zh-CN"/>
                    </w:rPr>
                  </w:pPr>
                  <w:r>
                    <w:rPr>
                      <w:rFonts w:hint="eastAsia"/>
                      <w:color w:val="auto"/>
                      <w:sz w:val="18"/>
                      <w:szCs w:val="18"/>
                      <w:lang w:val="en-US" w:eastAsia="zh-CN"/>
                    </w:rPr>
                    <w:t>氨</w:t>
                  </w:r>
                </w:p>
              </w:tc>
              <w:tc>
                <w:tcPr>
                  <w:tcW w:w="712" w:type="dxa"/>
                  <w:noWrap w:val="0"/>
                  <w:vAlign w:val="center"/>
                </w:tcPr>
                <w:p w14:paraId="4C5C05D1">
                  <w:pPr>
                    <w:jc w:val="center"/>
                    <w:rPr>
                      <w:rFonts w:hint="eastAsia"/>
                      <w:color w:val="auto"/>
                      <w:sz w:val="18"/>
                      <w:szCs w:val="18"/>
                      <w:lang w:val="en-US" w:eastAsia="zh-CN"/>
                    </w:rPr>
                  </w:pPr>
                  <w:r>
                    <w:rPr>
                      <w:rFonts w:hint="eastAsia"/>
                      <w:color w:val="auto"/>
                      <w:sz w:val="18"/>
                      <w:szCs w:val="18"/>
                      <w:lang w:val="en-US" w:eastAsia="zh-CN"/>
                    </w:rPr>
                    <w:t>微量</w:t>
                  </w:r>
                </w:p>
              </w:tc>
              <w:tc>
                <w:tcPr>
                  <w:tcW w:w="888" w:type="dxa"/>
                  <w:noWrap w:val="0"/>
                  <w:vAlign w:val="center"/>
                </w:tcPr>
                <w:p w14:paraId="27090D2A">
                  <w:pPr>
                    <w:jc w:val="center"/>
                    <w:rPr>
                      <w:rFonts w:hint="eastAsia"/>
                      <w:color w:val="auto"/>
                      <w:sz w:val="18"/>
                      <w:szCs w:val="18"/>
                      <w:lang w:val="en-US" w:eastAsia="zh-CN"/>
                    </w:rPr>
                  </w:pPr>
                  <w:r>
                    <w:rPr>
                      <w:rFonts w:hint="eastAsia"/>
                      <w:color w:val="auto"/>
                      <w:sz w:val="18"/>
                      <w:szCs w:val="18"/>
                      <w:lang w:val="en-US" w:eastAsia="zh-CN"/>
                    </w:rPr>
                    <w:t>/</w:t>
                  </w:r>
                </w:p>
              </w:tc>
              <w:tc>
                <w:tcPr>
                  <w:tcW w:w="1012" w:type="dxa"/>
                  <w:noWrap w:val="0"/>
                  <w:vAlign w:val="center"/>
                </w:tcPr>
                <w:p w14:paraId="66D976A1">
                  <w:pPr>
                    <w:jc w:val="center"/>
                    <w:rPr>
                      <w:color w:val="auto"/>
                      <w:sz w:val="18"/>
                      <w:szCs w:val="18"/>
                    </w:rPr>
                  </w:pPr>
                  <w:r>
                    <w:rPr>
                      <w:color w:val="auto"/>
                      <w:sz w:val="18"/>
                      <w:szCs w:val="18"/>
                    </w:rPr>
                    <w:t>/</w:t>
                  </w:r>
                </w:p>
              </w:tc>
              <w:tc>
                <w:tcPr>
                  <w:tcW w:w="488" w:type="dxa"/>
                  <w:vMerge w:val="continue"/>
                  <w:noWrap w:val="0"/>
                  <w:vAlign w:val="center"/>
                </w:tcPr>
                <w:p w14:paraId="06CAA5C8">
                  <w:pPr>
                    <w:jc w:val="center"/>
                    <w:rPr>
                      <w:color w:val="auto"/>
                      <w:sz w:val="18"/>
                      <w:szCs w:val="18"/>
                    </w:rPr>
                  </w:pPr>
                </w:p>
              </w:tc>
              <w:tc>
                <w:tcPr>
                  <w:tcW w:w="1025" w:type="dxa"/>
                  <w:vMerge w:val="continue"/>
                  <w:noWrap w:val="0"/>
                  <w:vAlign w:val="center"/>
                </w:tcPr>
                <w:p w14:paraId="6C5E86BD">
                  <w:pPr>
                    <w:jc w:val="center"/>
                    <w:rPr>
                      <w:rFonts w:hint="eastAsia"/>
                      <w:color w:val="auto"/>
                      <w:sz w:val="18"/>
                      <w:szCs w:val="18"/>
                      <w:lang w:val="en-US" w:eastAsia="zh-CN"/>
                    </w:rPr>
                  </w:pPr>
                </w:p>
              </w:tc>
              <w:tc>
                <w:tcPr>
                  <w:tcW w:w="675" w:type="dxa"/>
                  <w:noWrap w:val="0"/>
                  <w:vAlign w:val="center"/>
                </w:tcPr>
                <w:p w14:paraId="7D5423F9">
                  <w:pPr>
                    <w:jc w:val="center"/>
                    <w:rPr>
                      <w:rFonts w:hint="eastAsia"/>
                      <w:color w:val="auto"/>
                      <w:sz w:val="18"/>
                      <w:szCs w:val="18"/>
                      <w:lang w:val="en-US" w:eastAsia="zh-CN"/>
                    </w:rPr>
                  </w:pPr>
                  <w:r>
                    <w:rPr>
                      <w:rFonts w:hint="eastAsia"/>
                      <w:color w:val="auto"/>
                      <w:sz w:val="18"/>
                      <w:szCs w:val="18"/>
                      <w:lang w:val="en-US" w:eastAsia="zh-CN"/>
                    </w:rPr>
                    <w:t>/</w:t>
                  </w:r>
                </w:p>
              </w:tc>
              <w:tc>
                <w:tcPr>
                  <w:tcW w:w="900" w:type="dxa"/>
                  <w:noWrap w:val="0"/>
                  <w:vAlign w:val="center"/>
                </w:tcPr>
                <w:p w14:paraId="6945C5B4">
                  <w:pPr>
                    <w:jc w:val="center"/>
                    <w:rPr>
                      <w:rFonts w:hint="eastAsia"/>
                      <w:color w:val="auto"/>
                      <w:sz w:val="18"/>
                      <w:szCs w:val="18"/>
                      <w:lang w:val="en-US" w:eastAsia="zh-CN"/>
                    </w:rPr>
                  </w:pPr>
                  <w:r>
                    <w:rPr>
                      <w:rFonts w:hint="eastAsia"/>
                      <w:color w:val="auto"/>
                      <w:sz w:val="18"/>
                      <w:szCs w:val="18"/>
                      <w:lang w:val="en-US" w:eastAsia="zh-CN"/>
                    </w:rPr>
                    <w:t>/</w:t>
                  </w:r>
                </w:p>
              </w:tc>
              <w:tc>
                <w:tcPr>
                  <w:tcW w:w="687" w:type="dxa"/>
                  <w:noWrap w:val="0"/>
                  <w:vAlign w:val="center"/>
                </w:tcPr>
                <w:p w14:paraId="59FE316A">
                  <w:pPr>
                    <w:jc w:val="center"/>
                    <w:rPr>
                      <w:color w:val="auto"/>
                      <w:sz w:val="18"/>
                      <w:szCs w:val="18"/>
                    </w:rPr>
                  </w:pPr>
                  <w:r>
                    <w:rPr>
                      <w:color w:val="auto"/>
                      <w:sz w:val="18"/>
                      <w:szCs w:val="18"/>
                    </w:rPr>
                    <w:t>是</w:t>
                  </w:r>
                </w:p>
              </w:tc>
              <w:tc>
                <w:tcPr>
                  <w:tcW w:w="725" w:type="dxa"/>
                  <w:noWrap w:val="0"/>
                  <w:vAlign w:val="center"/>
                </w:tcPr>
                <w:p w14:paraId="0B9B662A">
                  <w:pPr>
                    <w:jc w:val="center"/>
                    <w:rPr>
                      <w:rFonts w:hint="eastAsia"/>
                      <w:color w:val="auto"/>
                      <w:sz w:val="18"/>
                      <w:szCs w:val="18"/>
                      <w:lang w:val="en-US" w:eastAsia="zh-CN"/>
                    </w:rPr>
                  </w:pPr>
                  <w:r>
                    <w:rPr>
                      <w:rFonts w:hint="eastAsia"/>
                      <w:color w:val="auto"/>
                      <w:sz w:val="18"/>
                      <w:szCs w:val="18"/>
                      <w:lang w:val="en-US" w:eastAsia="zh-CN"/>
                    </w:rPr>
                    <w:t>微量</w:t>
                  </w:r>
                </w:p>
              </w:tc>
              <w:tc>
                <w:tcPr>
                  <w:tcW w:w="888" w:type="dxa"/>
                  <w:noWrap w:val="0"/>
                  <w:vAlign w:val="center"/>
                </w:tcPr>
                <w:p w14:paraId="66C40A28">
                  <w:pPr>
                    <w:jc w:val="center"/>
                    <w:rPr>
                      <w:rFonts w:hint="eastAsia"/>
                      <w:color w:val="auto"/>
                      <w:sz w:val="18"/>
                      <w:szCs w:val="18"/>
                      <w:lang w:val="en-US" w:eastAsia="zh-CN"/>
                    </w:rPr>
                  </w:pPr>
                  <w:r>
                    <w:rPr>
                      <w:rFonts w:hint="eastAsia"/>
                      <w:color w:val="auto"/>
                      <w:sz w:val="18"/>
                      <w:szCs w:val="18"/>
                      <w:lang w:val="en-US" w:eastAsia="zh-CN"/>
                    </w:rPr>
                    <w:t>/</w:t>
                  </w:r>
                </w:p>
              </w:tc>
              <w:tc>
                <w:tcPr>
                  <w:tcW w:w="998" w:type="dxa"/>
                  <w:noWrap w:val="0"/>
                  <w:vAlign w:val="center"/>
                </w:tcPr>
                <w:p w14:paraId="71D4D4FF">
                  <w:pPr>
                    <w:jc w:val="center"/>
                    <w:rPr>
                      <w:color w:val="auto"/>
                      <w:sz w:val="18"/>
                      <w:szCs w:val="18"/>
                    </w:rPr>
                  </w:pPr>
                  <w:r>
                    <w:rPr>
                      <w:color w:val="auto"/>
                      <w:sz w:val="18"/>
                      <w:szCs w:val="18"/>
                    </w:rPr>
                    <w:t>/</w:t>
                  </w:r>
                </w:p>
              </w:tc>
              <w:tc>
                <w:tcPr>
                  <w:tcW w:w="1521" w:type="dxa"/>
                  <w:vMerge w:val="continue"/>
                  <w:noWrap w:val="0"/>
                  <w:vAlign w:val="center"/>
                </w:tcPr>
                <w:p w14:paraId="309273E9">
                  <w:pPr>
                    <w:jc w:val="center"/>
                    <w:rPr>
                      <w:color w:val="auto"/>
                      <w:sz w:val="18"/>
                      <w:szCs w:val="18"/>
                    </w:rPr>
                  </w:pPr>
                </w:p>
              </w:tc>
            </w:tr>
            <w:tr w14:paraId="3A518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07" w:type="dxa"/>
                  <w:vMerge w:val="continue"/>
                  <w:noWrap w:val="0"/>
                  <w:vAlign w:val="center"/>
                </w:tcPr>
                <w:p w14:paraId="426FDDF8">
                  <w:pPr>
                    <w:jc w:val="center"/>
                    <w:rPr>
                      <w:rFonts w:hint="eastAsia"/>
                      <w:color w:val="auto"/>
                      <w:sz w:val="18"/>
                      <w:szCs w:val="18"/>
                      <w:lang w:val="en-US" w:eastAsia="zh-CN"/>
                    </w:rPr>
                  </w:pPr>
                </w:p>
              </w:tc>
              <w:tc>
                <w:tcPr>
                  <w:tcW w:w="813" w:type="dxa"/>
                  <w:vMerge w:val="continue"/>
                  <w:noWrap w:val="0"/>
                  <w:vAlign w:val="center"/>
                </w:tcPr>
                <w:p w14:paraId="63D2D8A5">
                  <w:pPr>
                    <w:jc w:val="center"/>
                    <w:rPr>
                      <w:rFonts w:hint="eastAsia"/>
                      <w:b w:val="0"/>
                      <w:bCs w:val="0"/>
                      <w:color w:val="auto"/>
                      <w:sz w:val="18"/>
                      <w:szCs w:val="18"/>
                      <w:lang w:val="en-US" w:eastAsia="zh-CN"/>
                    </w:rPr>
                  </w:pPr>
                </w:p>
              </w:tc>
              <w:tc>
                <w:tcPr>
                  <w:tcW w:w="625" w:type="dxa"/>
                  <w:noWrap w:val="0"/>
                  <w:vAlign w:val="center"/>
                </w:tcPr>
                <w:p w14:paraId="7BCA2D01">
                  <w:pPr>
                    <w:jc w:val="center"/>
                    <w:rPr>
                      <w:rFonts w:hint="default"/>
                      <w:color w:val="auto"/>
                      <w:sz w:val="18"/>
                      <w:szCs w:val="18"/>
                      <w:lang w:val="en-US" w:eastAsia="zh-CN"/>
                    </w:rPr>
                  </w:pPr>
                  <w:r>
                    <w:rPr>
                      <w:rFonts w:hint="eastAsia"/>
                      <w:color w:val="auto"/>
                      <w:sz w:val="18"/>
                      <w:szCs w:val="18"/>
                      <w:lang w:val="en-US" w:eastAsia="zh-CN"/>
                    </w:rPr>
                    <w:t>硫化氢</w:t>
                  </w:r>
                </w:p>
              </w:tc>
              <w:tc>
                <w:tcPr>
                  <w:tcW w:w="712" w:type="dxa"/>
                  <w:noWrap w:val="0"/>
                  <w:vAlign w:val="center"/>
                </w:tcPr>
                <w:p w14:paraId="1EE893CD">
                  <w:pPr>
                    <w:jc w:val="center"/>
                    <w:rPr>
                      <w:rFonts w:hint="eastAsia"/>
                      <w:color w:val="auto"/>
                      <w:sz w:val="18"/>
                      <w:szCs w:val="18"/>
                      <w:lang w:val="en-US" w:eastAsia="zh-CN"/>
                    </w:rPr>
                  </w:pPr>
                  <w:r>
                    <w:rPr>
                      <w:rFonts w:hint="eastAsia"/>
                      <w:color w:val="auto"/>
                      <w:sz w:val="18"/>
                      <w:szCs w:val="18"/>
                      <w:lang w:val="en-US" w:eastAsia="zh-CN"/>
                    </w:rPr>
                    <w:t>微量</w:t>
                  </w:r>
                </w:p>
              </w:tc>
              <w:tc>
                <w:tcPr>
                  <w:tcW w:w="888" w:type="dxa"/>
                  <w:noWrap w:val="0"/>
                  <w:vAlign w:val="center"/>
                </w:tcPr>
                <w:p w14:paraId="7F87C948">
                  <w:pPr>
                    <w:jc w:val="center"/>
                    <w:rPr>
                      <w:rFonts w:hint="eastAsia"/>
                      <w:color w:val="auto"/>
                      <w:sz w:val="18"/>
                      <w:szCs w:val="18"/>
                      <w:lang w:val="en-US" w:eastAsia="zh-CN"/>
                    </w:rPr>
                  </w:pPr>
                  <w:r>
                    <w:rPr>
                      <w:rFonts w:hint="eastAsia"/>
                      <w:color w:val="auto"/>
                      <w:sz w:val="18"/>
                      <w:szCs w:val="18"/>
                      <w:lang w:val="en-US" w:eastAsia="zh-CN"/>
                    </w:rPr>
                    <w:t>/</w:t>
                  </w:r>
                </w:p>
              </w:tc>
              <w:tc>
                <w:tcPr>
                  <w:tcW w:w="1012" w:type="dxa"/>
                  <w:noWrap w:val="0"/>
                  <w:vAlign w:val="center"/>
                </w:tcPr>
                <w:p w14:paraId="6E94829A">
                  <w:pPr>
                    <w:jc w:val="center"/>
                    <w:rPr>
                      <w:color w:val="auto"/>
                      <w:sz w:val="18"/>
                      <w:szCs w:val="18"/>
                    </w:rPr>
                  </w:pPr>
                  <w:r>
                    <w:rPr>
                      <w:color w:val="auto"/>
                      <w:sz w:val="18"/>
                      <w:szCs w:val="18"/>
                    </w:rPr>
                    <w:t>/</w:t>
                  </w:r>
                </w:p>
              </w:tc>
              <w:tc>
                <w:tcPr>
                  <w:tcW w:w="488" w:type="dxa"/>
                  <w:vMerge w:val="continue"/>
                  <w:noWrap w:val="0"/>
                  <w:vAlign w:val="center"/>
                </w:tcPr>
                <w:p w14:paraId="6A61E371">
                  <w:pPr>
                    <w:jc w:val="center"/>
                    <w:rPr>
                      <w:color w:val="auto"/>
                      <w:sz w:val="18"/>
                      <w:szCs w:val="18"/>
                    </w:rPr>
                  </w:pPr>
                </w:p>
              </w:tc>
              <w:tc>
                <w:tcPr>
                  <w:tcW w:w="1025" w:type="dxa"/>
                  <w:vMerge w:val="continue"/>
                  <w:noWrap w:val="0"/>
                  <w:vAlign w:val="center"/>
                </w:tcPr>
                <w:p w14:paraId="66B1D28D">
                  <w:pPr>
                    <w:jc w:val="center"/>
                    <w:rPr>
                      <w:rFonts w:hint="eastAsia"/>
                      <w:color w:val="auto"/>
                      <w:sz w:val="18"/>
                      <w:szCs w:val="18"/>
                      <w:lang w:val="en-US" w:eastAsia="zh-CN"/>
                    </w:rPr>
                  </w:pPr>
                </w:p>
              </w:tc>
              <w:tc>
                <w:tcPr>
                  <w:tcW w:w="675" w:type="dxa"/>
                  <w:noWrap w:val="0"/>
                  <w:vAlign w:val="center"/>
                </w:tcPr>
                <w:p w14:paraId="3D368DE7">
                  <w:pPr>
                    <w:jc w:val="center"/>
                    <w:rPr>
                      <w:rFonts w:hint="eastAsia"/>
                      <w:color w:val="auto"/>
                      <w:sz w:val="18"/>
                      <w:szCs w:val="18"/>
                      <w:lang w:val="en-US" w:eastAsia="zh-CN"/>
                    </w:rPr>
                  </w:pPr>
                  <w:r>
                    <w:rPr>
                      <w:rFonts w:hint="eastAsia"/>
                      <w:color w:val="auto"/>
                      <w:sz w:val="18"/>
                      <w:szCs w:val="18"/>
                      <w:lang w:val="en-US" w:eastAsia="zh-CN"/>
                    </w:rPr>
                    <w:t>/</w:t>
                  </w:r>
                </w:p>
              </w:tc>
              <w:tc>
                <w:tcPr>
                  <w:tcW w:w="900" w:type="dxa"/>
                  <w:noWrap w:val="0"/>
                  <w:vAlign w:val="center"/>
                </w:tcPr>
                <w:p w14:paraId="46E1F80C">
                  <w:pPr>
                    <w:jc w:val="center"/>
                    <w:rPr>
                      <w:rFonts w:hint="eastAsia"/>
                      <w:color w:val="auto"/>
                      <w:sz w:val="18"/>
                      <w:szCs w:val="18"/>
                      <w:lang w:val="en-US" w:eastAsia="zh-CN"/>
                    </w:rPr>
                  </w:pPr>
                  <w:r>
                    <w:rPr>
                      <w:rFonts w:hint="eastAsia"/>
                      <w:color w:val="auto"/>
                      <w:sz w:val="18"/>
                      <w:szCs w:val="18"/>
                      <w:lang w:val="en-US" w:eastAsia="zh-CN"/>
                    </w:rPr>
                    <w:t>/</w:t>
                  </w:r>
                </w:p>
              </w:tc>
              <w:tc>
                <w:tcPr>
                  <w:tcW w:w="687" w:type="dxa"/>
                  <w:noWrap w:val="0"/>
                  <w:vAlign w:val="center"/>
                </w:tcPr>
                <w:p w14:paraId="79882FE1">
                  <w:pPr>
                    <w:jc w:val="center"/>
                    <w:rPr>
                      <w:color w:val="auto"/>
                      <w:sz w:val="18"/>
                      <w:szCs w:val="18"/>
                    </w:rPr>
                  </w:pPr>
                  <w:r>
                    <w:rPr>
                      <w:color w:val="auto"/>
                      <w:sz w:val="18"/>
                      <w:szCs w:val="18"/>
                    </w:rPr>
                    <w:t>是</w:t>
                  </w:r>
                </w:p>
              </w:tc>
              <w:tc>
                <w:tcPr>
                  <w:tcW w:w="725" w:type="dxa"/>
                  <w:noWrap w:val="0"/>
                  <w:vAlign w:val="center"/>
                </w:tcPr>
                <w:p w14:paraId="56009606">
                  <w:pPr>
                    <w:jc w:val="center"/>
                    <w:rPr>
                      <w:rFonts w:hint="eastAsia"/>
                      <w:color w:val="auto"/>
                      <w:sz w:val="18"/>
                      <w:szCs w:val="18"/>
                      <w:lang w:val="en-US" w:eastAsia="zh-CN"/>
                    </w:rPr>
                  </w:pPr>
                  <w:r>
                    <w:rPr>
                      <w:rFonts w:hint="eastAsia"/>
                      <w:color w:val="auto"/>
                      <w:sz w:val="18"/>
                      <w:szCs w:val="18"/>
                      <w:lang w:val="en-US" w:eastAsia="zh-CN"/>
                    </w:rPr>
                    <w:t>微量</w:t>
                  </w:r>
                </w:p>
              </w:tc>
              <w:tc>
                <w:tcPr>
                  <w:tcW w:w="888" w:type="dxa"/>
                  <w:noWrap w:val="0"/>
                  <w:vAlign w:val="center"/>
                </w:tcPr>
                <w:p w14:paraId="7C6DA541">
                  <w:pPr>
                    <w:jc w:val="center"/>
                    <w:rPr>
                      <w:rFonts w:hint="eastAsia"/>
                      <w:color w:val="auto"/>
                      <w:sz w:val="18"/>
                      <w:szCs w:val="18"/>
                      <w:lang w:val="en-US" w:eastAsia="zh-CN"/>
                    </w:rPr>
                  </w:pPr>
                  <w:r>
                    <w:rPr>
                      <w:rFonts w:hint="eastAsia"/>
                      <w:color w:val="auto"/>
                      <w:sz w:val="18"/>
                      <w:szCs w:val="18"/>
                      <w:lang w:val="en-US" w:eastAsia="zh-CN"/>
                    </w:rPr>
                    <w:t>/</w:t>
                  </w:r>
                </w:p>
              </w:tc>
              <w:tc>
                <w:tcPr>
                  <w:tcW w:w="998" w:type="dxa"/>
                  <w:noWrap w:val="0"/>
                  <w:vAlign w:val="center"/>
                </w:tcPr>
                <w:p w14:paraId="3A116A96">
                  <w:pPr>
                    <w:jc w:val="center"/>
                    <w:rPr>
                      <w:color w:val="auto"/>
                      <w:sz w:val="18"/>
                      <w:szCs w:val="18"/>
                    </w:rPr>
                  </w:pPr>
                  <w:r>
                    <w:rPr>
                      <w:color w:val="auto"/>
                      <w:sz w:val="18"/>
                      <w:szCs w:val="18"/>
                    </w:rPr>
                    <w:t>/</w:t>
                  </w:r>
                </w:p>
              </w:tc>
              <w:tc>
                <w:tcPr>
                  <w:tcW w:w="1521" w:type="dxa"/>
                  <w:vMerge w:val="continue"/>
                  <w:noWrap w:val="0"/>
                  <w:vAlign w:val="center"/>
                </w:tcPr>
                <w:p w14:paraId="7DA05C01">
                  <w:pPr>
                    <w:jc w:val="center"/>
                    <w:rPr>
                      <w:color w:val="auto"/>
                      <w:sz w:val="18"/>
                      <w:szCs w:val="18"/>
                    </w:rPr>
                  </w:pPr>
                </w:p>
              </w:tc>
            </w:tr>
            <w:tr w14:paraId="27C3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07" w:type="dxa"/>
                  <w:vMerge w:val="restart"/>
                  <w:noWrap w:val="0"/>
                  <w:vAlign w:val="center"/>
                </w:tcPr>
                <w:p w14:paraId="029F0ED1">
                  <w:pPr>
                    <w:jc w:val="center"/>
                    <w:rPr>
                      <w:color w:val="auto"/>
                      <w:sz w:val="18"/>
                      <w:szCs w:val="18"/>
                    </w:rPr>
                  </w:pPr>
                  <w:r>
                    <w:rPr>
                      <w:color w:val="auto"/>
                      <w:sz w:val="18"/>
                      <w:szCs w:val="18"/>
                    </w:rPr>
                    <w:t>合计</w:t>
                  </w:r>
                </w:p>
              </w:tc>
              <w:tc>
                <w:tcPr>
                  <w:tcW w:w="813" w:type="dxa"/>
                  <w:vMerge w:val="restart"/>
                  <w:noWrap w:val="0"/>
                  <w:vAlign w:val="center"/>
                </w:tcPr>
                <w:p w14:paraId="5A0A3C80">
                  <w:pPr>
                    <w:jc w:val="center"/>
                    <w:rPr>
                      <w:color w:val="auto"/>
                      <w:sz w:val="18"/>
                      <w:szCs w:val="18"/>
                    </w:rPr>
                  </w:pPr>
                  <w:r>
                    <w:rPr>
                      <w:color w:val="auto"/>
                      <w:sz w:val="18"/>
                      <w:szCs w:val="18"/>
                    </w:rPr>
                    <w:t>有组织（</w:t>
                  </w:r>
                  <w:r>
                    <w:rPr>
                      <w:rFonts w:hint="eastAsia"/>
                      <w:color w:val="auto"/>
                      <w:kern w:val="0"/>
                      <w:sz w:val="18"/>
                      <w:szCs w:val="18"/>
                      <w:lang w:val="en-US" w:eastAsia="zh-CN" w:bidi="ar"/>
                    </w:rPr>
                    <w:t>864</w:t>
                  </w:r>
                  <w:r>
                    <w:rPr>
                      <w:color w:val="auto"/>
                      <w:kern w:val="0"/>
                      <w:sz w:val="18"/>
                      <w:szCs w:val="18"/>
                      <w:lang w:bidi="ar"/>
                    </w:rPr>
                    <w:t>万m</w:t>
                  </w:r>
                  <w:r>
                    <w:rPr>
                      <w:color w:val="auto"/>
                      <w:kern w:val="0"/>
                      <w:sz w:val="18"/>
                      <w:szCs w:val="18"/>
                      <w:vertAlign w:val="superscript"/>
                      <w:lang w:bidi="ar"/>
                    </w:rPr>
                    <w:t>3</w:t>
                  </w:r>
                  <w:r>
                    <w:rPr>
                      <w:color w:val="auto"/>
                      <w:kern w:val="0"/>
                      <w:sz w:val="18"/>
                      <w:szCs w:val="18"/>
                      <w:lang w:bidi="ar"/>
                    </w:rPr>
                    <w:t>/a</w:t>
                  </w:r>
                  <w:r>
                    <w:rPr>
                      <w:color w:val="auto"/>
                      <w:sz w:val="18"/>
                      <w:szCs w:val="18"/>
                    </w:rPr>
                    <w:t>）</w:t>
                  </w:r>
                </w:p>
              </w:tc>
              <w:tc>
                <w:tcPr>
                  <w:tcW w:w="7012" w:type="dxa"/>
                  <w:gridSpan w:val="9"/>
                  <w:noWrap w:val="0"/>
                  <w:vAlign w:val="center"/>
                </w:tcPr>
                <w:p w14:paraId="7CD1C4F6">
                  <w:pPr>
                    <w:jc w:val="center"/>
                    <w:rPr>
                      <w:color w:val="auto"/>
                      <w:sz w:val="18"/>
                      <w:szCs w:val="18"/>
                    </w:rPr>
                  </w:pPr>
                  <w:r>
                    <w:rPr>
                      <w:color w:val="auto"/>
                      <w:sz w:val="18"/>
                      <w:szCs w:val="18"/>
                    </w:rPr>
                    <w:t>颗粒物</w:t>
                  </w:r>
                </w:p>
              </w:tc>
              <w:tc>
                <w:tcPr>
                  <w:tcW w:w="725" w:type="dxa"/>
                  <w:noWrap w:val="0"/>
                  <w:vAlign w:val="center"/>
                </w:tcPr>
                <w:p w14:paraId="5428E34C">
                  <w:pPr>
                    <w:keepNext w:val="0"/>
                    <w:keepLines w:val="0"/>
                    <w:widowControl/>
                    <w:suppressLineNumbers w:val="0"/>
                    <w:jc w:val="center"/>
                    <w:textAlignment w:val="center"/>
                    <w:rPr>
                      <w:rFonts w:hint="default"/>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 xml:space="preserve">0.114 </w:t>
                  </w:r>
                </w:p>
              </w:tc>
              <w:tc>
                <w:tcPr>
                  <w:tcW w:w="888" w:type="dxa"/>
                  <w:noWrap w:val="0"/>
                  <w:vAlign w:val="center"/>
                </w:tcPr>
                <w:p w14:paraId="4D54C7A2">
                  <w:pPr>
                    <w:jc w:val="center"/>
                    <w:rPr>
                      <w:color w:val="auto"/>
                      <w:sz w:val="18"/>
                      <w:szCs w:val="18"/>
                    </w:rPr>
                  </w:pPr>
                  <w:r>
                    <w:rPr>
                      <w:color w:val="auto"/>
                      <w:sz w:val="18"/>
                      <w:szCs w:val="18"/>
                    </w:rPr>
                    <w:t>/</w:t>
                  </w:r>
                </w:p>
              </w:tc>
              <w:tc>
                <w:tcPr>
                  <w:tcW w:w="998" w:type="dxa"/>
                  <w:noWrap w:val="0"/>
                  <w:vAlign w:val="center"/>
                </w:tcPr>
                <w:p w14:paraId="29205201">
                  <w:pPr>
                    <w:jc w:val="center"/>
                    <w:rPr>
                      <w:color w:val="auto"/>
                      <w:sz w:val="18"/>
                      <w:szCs w:val="18"/>
                    </w:rPr>
                  </w:pPr>
                  <w:r>
                    <w:rPr>
                      <w:color w:val="auto"/>
                      <w:sz w:val="18"/>
                      <w:szCs w:val="18"/>
                    </w:rPr>
                    <w:t>/</w:t>
                  </w:r>
                </w:p>
              </w:tc>
              <w:tc>
                <w:tcPr>
                  <w:tcW w:w="1521" w:type="dxa"/>
                  <w:noWrap w:val="0"/>
                  <w:vAlign w:val="center"/>
                </w:tcPr>
                <w:p w14:paraId="7365354C">
                  <w:pPr>
                    <w:jc w:val="center"/>
                    <w:rPr>
                      <w:color w:val="auto"/>
                      <w:sz w:val="18"/>
                      <w:szCs w:val="18"/>
                    </w:rPr>
                  </w:pPr>
                  <w:r>
                    <w:rPr>
                      <w:color w:val="auto"/>
                      <w:sz w:val="18"/>
                      <w:szCs w:val="18"/>
                    </w:rPr>
                    <w:t>/</w:t>
                  </w:r>
                </w:p>
              </w:tc>
            </w:tr>
            <w:tr w14:paraId="0902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07" w:type="dxa"/>
                  <w:vMerge w:val="continue"/>
                  <w:noWrap w:val="0"/>
                  <w:vAlign w:val="center"/>
                </w:tcPr>
                <w:p w14:paraId="483D982D">
                  <w:pPr>
                    <w:jc w:val="center"/>
                    <w:rPr>
                      <w:color w:val="auto"/>
                      <w:sz w:val="18"/>
                      <w:szCs w:val="18"/>
                    </w:rPr>
                  </w:pPr>
                </w:p>
              </w:tc>
              <w:tc>
                <w:tcPr>
                  <w:tcW w:w="813" w:type="dxa"/>
                  <w:vMerge w:val="continue"/>
                  <w:noWrap w:val="0"/>
                  <w:vAlign w:val="center"/>
                </w:tcPr>
                <w:p w14:paraId="2BB8BA88">
                  <w:pPr>
                    <w:jc w:val="center"/>
                    <w:rPr>
                      <w:color w:val="auto"/>
                      <w:sz w:val="18"/>
                      <w:szCs w:val="18"/>
                    </w:rPr>
                  </w:pPr>
                </w:p>
              </w:tc>
              <w:tc>
                <w:tcPr>
                  <w:tcW w:w="7012" w:type="dxa"/>
                  <w:gridSpan w:val="9"/>
                  <w:noWrap w:val="0"/>
                  <w:vAlign w:val="center"/>
                </w:tcPr>
                <w:p w14:paraId="5D87260D">
                  <w:pPr>
                    <w:jc w:val="center"/>
                    <w:rPr>
                      <w:color w:val="auto"/>
                      <w:sz w:val="18"/>
                      <w:szCs w:val="18"/>
                    </w:rPr>
                  </w:pPr>
                  <w:r>
                    <w:rPr>
                      <w:rFonts w:hint="eastAsia"/>
                      <w:color w:val="auto"/>
                      <w:sz w:val="18"/>
                      <w:szCs w:val="18"/>
                      <w:lang w:val="en-US" w:eastAsia="zh-CN"/>
                    </w:rPr>
                    <w:t>SO</w:t>
                  </w:r>
                  <w:r>
                    <w:rPr>
                      <w:rFonts w:hint="eastAsia"/>
                      <w:color w:val="auto"/>
                      <w:sz w:val="18"/>
                      <w:szCs w:val="18"/>
                      <w:vertAlign w:val="subscript"/>
                      <w:lang w:val="en-US" w:eastAsia="zh-CN"/>
                    </w:rPr>
                    <w:t>2</w:t>
                  </w:r>
                </w:p>
              </w:tc>
              <w:tc>
                <w:tcPr>
                  <w:tcW w:w="725" w:type="dxa"/>
                  <w:noWrap w:val="0"/>
                  <w:vAlign w:val="center"/>
                </w:tcPr>
                <w:p w14:paraId="385EE56E">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0.175 </w:t>
                  </w:r>
                </w:p>
              </w:tc>
              <w:tc>
                <w:tcPr>
                  <w:tcW w:w="888" w:type="dxa"/>
                  <w:noWrap w:val="0"/>
                  <w:vAlign w:val="center"/>
                </w:tcPr>
                <w:p w14:paraId="1F128162">
                  <w:pPr>
                    <w:jc w:val="center"/>
                    <w:rPr>
                      <w:color w:val="auto"/>
                      <w:sz w:val="18"/>
                      <w:szCs w:val="18"/>
                    </w:rPr>
                  </w:pPr>
                  <w:r>
                    <w:rPr>
                      <w:color w:val="auto"/>
                      <w:sz w:val="18"/>
                      <w:szCs w:val="18"/>
                    </w:rPr>
                    <w:t>/</w:t>
                  </w:r>
                </w:p>
              </w:tc>
              <w:tc>
                <w:tcPr>
                  <w:tcW w:w="998" w:type="dxa"/>
                  <w:noWrap w:val="0"/>
                  <w:vAlign w:val="center"/>
                </w:tcPr>
                <w:p w14:paraId="4010A783">
                  <w:pPr>
                    <w:jc w:val="center"/>
                    <w:rPr>
                      <w:color w:val="auto"/>
                      <w:sz w:val="18"/>
                      <w:szCs w:val="18"/>
                    </w:rPr>
                  </w:pPr>
                  <w:r>
                    <w:rPr>
                      <w:color w:val="auto"/>
                      <w:sz w:val="18"/>
                      <w:szCs w:val="18"/>
                    </w:rPr>
                    <w:t>/</w:t>
                  </w:r>
                </w:p>
              </w:tc>
              <w:tc>
                <w:tcPr>
                  <w:tcW w:w="1521" w:type="dxa"/>
                  <w:noWrap w:val="0"/>
                  <w:vAlign w:val="center"/>
                </w:tcPr>
                <w:p w14:paraId="75A11184">
                  <w:pPr>
                    <w:jc w:val="center"/>
                    <w:rPr>
                      <w:color w:val="auto"/>
                      <w:sz w:val="18"/>
                      <w:szCs w:val="18"/>
                    </w:rPr>
                  </w:pPr>
                  <w:r>
                    <w:rPr>
                      <w:color w:val="auto"/>
                      <w:sz w:val="18"/>
                      <w:szCs w:val="18"/>
                    </w:rPr>
                    <w:t>/</w:t>
                  </w:r>
                </w:p>
              </w:tc>
            </w:tr>
            <w:tr w14:paraId="7D87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07" w:type="dxa"/>
                  <w:vMerge w:val="continue"/>
                  <w:noWrap w:val="0"/>
                  <w:vAlign w:val="center"/>
                </w:tcPr>
                <w:p w14:paraId="4AEF815C">
                  <w:pPr>
                    <w:jc w:val="center"/>
                    <w:rPr>
                      <w:color w:val="auto"/>
                      <w:sz w:val="18"/>
                      <w:szCs w:val="18"/>
                    </w:rPr>
                  </w:pPr>
                </w:p>
              </w:tc>
              <w:tc>
                <w:tcPr>
                  <w:tcW w:w="813" w:type="dxa"/>
                  <w:vMerge w:val="continue"/>
                  <w:noWrap w:val="0"/>
                  <w:vAlign w:val="center"/>
                </w:tcPr>
                <w:p w14:paraId="18A8DC4B">
                  <w:pPr>
                    <w:jc w:val="center"/>
                    <w:rPr>
                      <w:color w:val="auto"/>
                      <w:sz w:val="18"/>
                      <w:szCs w:val="18"/>
                    </w:rPr>
                  </w:pPr>
                </w:p>
              </w:tc>
              <w:tc>
                <w:tcPr>
                  <w:tcW w:w="7012" w:type="dxa"/>
                  <w:gridSpan w:val="9"/>
                  <w:noWrap w:val="0"/>
                  <w:vAlign w:val="center"/>
                </w:tcPr>
                <w:p w14:paraId="26C58AE6">
                  <w:pPr>
                    <w:jc w:val="center"/>
                    <w:rPr>
                      <w:color w:val="auto"/>
                      <w:sz w:val="18"/>
                      <w:szCs w:val="18"/>
                    </w:rPr>
                  </w:pPr>
                  <w:r>
                    <w:rPr>
                      <w:rFonts w:hint="eastAsia"/>
                      <w:color w:val="auto"/>
                      <w:sz w:val="18"/>
                      <w:szCs w:val="18"/>
                      <w:lang w:val="en-US" w:eastAsia="zh-CN"/>
                    </w:rPr>
                    <w:t>NOx</w:t>
                  </w:r>
                </w:p>
              </w:tc>
              <w:tc>
                <w:tcPr>
                  <w:tcW w:w="725" w:type="dxa"/>
                  <w:noWrap w:val="0"/>
                  <w:vAlign w:val="center"/>
                </w:tcPr>
                <w:p w14:paraId="1850284C">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1.728 </w:t>
                  </w:r>
                </w:p>
              </w:tc>
              <w:tc>
                <w:tcPr>
                  <w:tcW w:w="888" w:type="dxa"/>
                  <w:noWrap w:val="0"/>
                  <w:vAlign w:val="center"/>
                </w:tcPr>
                <w:p w14:paraId="3CD36D44">
                  <w:pPr>
                    <w:jc w:val="center"/>
                    <w:rPr>
                      <w:color w:val="auto"/>
                      <w:sz w:val="18"/>
                      <w:szCs w:val="18"/>
                    </w:rPr>
                  </w:pPr>
                  <w:r>
                    <w:rPr>
                      <w:color w:val="auto"/>
                      <w:sz w:val="18"/>
                      <w:szCs w:val="18"/>
                    </w:rPr>
                    <w:t>/</w:t>
                  </w:r>
                </w:p>
              </w:tc>
              <w:tc>
                <w:tcPr>
                  <w:tcW w:w="998" w:type="dxa"/>
                  <w:noWrap w:val="0"/>
                  <w:vAlign w:val="center"/>
                </w:tcPr>
                <w:p w14:paraId="3DB2379F">
                  <w:pPr>
                    <w:jc w:val="center"/>
                    <w:rPr>
                      <w:color w:val="auto"/>
                      <w:sz w:val="18"/>
                      <w:szCs w:val="18"/>
                    </w:rPr>
                  </w:pPr>
                  <w:r>
                    <w:rPr>
                      <w:color w:val="auto"/>
                      <w:sz w:val="18"/>
                      <w:szCs w:val="18"/>
                    </w:rPr>
                    <w:t>/</w:t>
                  </w:r>
                </w:p>
              </w:tc>
              <w:tc>
                <w:tcPr>
                  <w:tcW w:w="1521" w:type="dxa"/>
                  <w:noWrap w:val="0"/>
                  <w:vAlign w:val="center"/>
                </w:tcPr>
                <w:p w14:paraId="217ADBC6">
                  <w:pPr>
                    <w:jc w:val="center"/>
                    <w:rPr>
                      <w:color w:val="auto"/>
                      <w:sz w:val="18"/>
                      <w:szCs w:val="18"/>
                    </w:rPr>
                  </w:pPr>
                  <w:r>
                    <w:rPr>
                      <w:color w:val="auto"/>
                      <w:sz w:val="18"/>
                      <w:szCs w:val="18"/>
                    </w:rPr>
                    <w:t>/</w:t>
                  </w:r>
                </w:p>
              </w:tc>
            </w:tr>
            <w:tr w14:paraId="4ECA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07" w:type="dxa"/>
                  <w:vMerge w:val="continue"/>
                  <w:noWrap w:val="0"/>
                  <w:vAlign w:val="center"/>
                </w:tcPr>
                <w:p w14:paraId="1590DA98">
                  <w:pPr>
                    <w:jc w:val="center"/>
                    <w:rPr>
                      <w:color w:val="auto"/>
                      <w:sz w:val="18"/>
                      <w:szCs w:val="18"/>
                    </w:rPr>
                  </w:pPr>
                </w:p>
              </w:tc>
              <w:tc>
                <w:tcPr>
                  <w:tcW w:w="813" w:type="dxa"/>
                  <w:noWrap w:val="0"/>
                  <w:vAlign w:val="center"/>
                </w:tcPr>
                <w:p w14:paraId="43B2B54E">
                  <w:pPr>
                    <w:jc w:val="center"/>
                    <w:rPr>
                      <w:color w:val="auto"/>
                      <w:sz w:val="18"/>
                      <w:szCs w:val="18"/>
                    </w:rPr>
                  </w:pPr>
                  <w:r>
                    <w:rPr>
                      <w:color w:val="auto"/>
                      <w:sz w:val="18"/>
                      <w:szCs w:val="18"/>
                    </w:rPr>
                    <w:t>无组织</w:t>
                  </w:r>
                </w:p>
              </w:tc>
              <w:tc>
                <w:tcPr>
                  <w:tcW w:w="7012" w:type="dxa"/>
                  <w:gridSpan w:val="9"/>
                  <w:noWrap w:val="0"/>
                  <w:vAlign w:val="center"/>
                </w:tcPr>
                <w:p w14:paraId="62C9B915">
                  <w:pPr>
                    <w:jc w:val="center"/>
                    <w:rPr>
                      <w:rFonts w:hint="default" w:eastAsia="宋体"/>
                      <w:color w:val="auto"/>
                      <w:sz w:val="18"/>
                      <w:szCs w:val="18"/>
                      <w:lang w:val="en-US" w:eastAsia="zh-CN"/>
                    </w:rPr>
                  </w:pPr>
                  <w:r>
                    <w:rPr>
                      <w:rFonts w:hint="eastAsia"/>
                      <w:color w:val="auto"/>
                      <w:sz w:val="18"/>
                      <w:szCs w:val="18"/>
                      <w:lang w:val="en-US" w:eastAsia="zh-CN"/>
                    </w:rPr>
                    <w:t>颗粒物</w:t>
                  </w:r>
                </w:p>
              </w:tc>
              <w:tc>
                <w:tcPr>
                  <w:tcW w:w="725" w:type="dxa"/>
                  <w:noWrap w:val="0"/>
                  <w:vAlign w:val="center"/>
                </w:tcPr>
                <w:p w14:paraId="1A4295BB">
                  <w:pPr>
                    <w:keepNext w:val="0"/>
                    <w:keepLines w:val="0"/>
                    <w:widowControl/>
                    <w:suppressLineNumbers w:val="0"/>
                    <w:jc w:val="center"/>
                    <w:textAlignment w:val="center"/>
                    <w:rPr>
                      <w:rFonts w:hint="default" w:eastAsia="宋体"/>
                      <w:color w:val="auto"/>
                      <w:sz w:val="18"/>
                      <w:szCs w:val="18"/>
                      <w:lang w:val="en-US" w:eastAsia="zh-CN"/>
                    </w:rPr>
                  </w:pPr>
                  <w:r>
                    <w:rPr>
                      <w:rFonts w:hint="eastAsia" w:ascii="Times New Roman" w:hAnsi="Times New Roman" w:eastAsia="宋体" w:cs="Times New Roman"/>
                      <w:i w:val="0"/>
                      <w:iCs w:val="0"/>
                      <w:color w:val="auto"/>
                      <w:kern w:val="0"/>
                      <w:sz w:val="18"/>
                      <w:szCs w:val="18"/>
                      <w:u w:val="none"/>
                      <w:lang w:val="en-US" w:eastAsia="zh-CN" w:bidi="ar"/>
                    </w:rPr>
                    <w:t>0.397</w:t>
                  </w:r>
                </w:p>
              </w:tc>
              <w:tc>
                <w:tcPr>
                  <w:tcW w:w="888" w:type="dxa"/>
                  <w:noWrap w:val="0"/>
                  <w:vAlign w:val="center"/>
                </w:tcPr>
                <w:p w14:paraId="20884E2D">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w:t>
                  </w:r>
                  <w:r>
                    <w:rPr>
                      <w:rFonts w:hint="eastAsia"/>
                      <w:color w:val="auto"/>
                      <w:sz w:val="18"/>
                      <w:szCs w:val="18"/>
                      <w:lang w:val="en-US" w:eastAsia="zh-CN"/>
                    </w:rPr>
                    <w:t xml:space="preserve"> </w:t>
                  </w:r>
                </w:p>
              </w:tc>
              <w:tc>
                <w:tcPr>
                  <w:tcW w:w="998" w:type="dxa"/>
                  <w:noWrap w:val="0"/>
                  <w:vAlign w:val="center"/>
                </w:tcPr>
                <w:p w14:paraId="4FE77DB8">
                  <w:pPr>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1521" w:type="dxa"/>
                  <w:noWrap w:val="0"/>
                  <w:vAlign w:val="center"/>
                </w:tcPr>
                <w:p w14:paraId="620C7516">
                  <w:pPr>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bl>
          <w:p w14:paraId="3E2366D0">
            <w:pPr>
              <w:pStyle w:val="2"/>
              <w:rPr>
                <w:color w:val="auto"/>
              </w:rPr>
            </w:pPr>
          </w:p>
        </w:tc>
      </w:tr>
    </w:tbl>
    <w:p w14:paraId="493A06FE">
      <w:pPr>
        <w:rPr>
          <w:color w:val="auto"/>
        </w:rPr>
        <w:sectPr>
          <w:pgSz w:w="16840" w:h="11907" w:orient="landscape"/>
          <w:pgMar w:top="1531" w:right="1701" w:bottom="1531" w:left="2127" w:header="851" w:footer="851" w:gutter="0"/>
          <w:pgNumType w:fmt="numberInDash"/>
          <w:cols w:space="720" w:num="1"/>
          <w:docGrid w:linePitch="312" w:charSpace="0"/>
        </w:sectPr>
      </w:pPr>
    </w:p>
    <w:tbl>
      <w:tblPr>
        <w:tblStyle w:val="22"/>
        <w:tblW w:w="90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7"/>
        <w:gridCol w:w="8309"/>
      </w:tblGrid>
      <w:tr w14:paraId="5073B5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43" w:hRule="atLeast"/>
          <w:jc w:val="center"/>
        </w:trPr>
        <w:tc>
          <w:tcPr>
            <w:tcW w:w="727" w:type="dxa"/>
            <w:tcMar>
              <w:left w:w="28" w:type="dxa"/>
              <w:right w:w="28" w:type="dxa"/>
            </w:tcMar>
            <w:vAlign w:val="center"/>
          </w:tcPr>
          <w:p w14:paraId="55AC543A">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w:t>
            </w:r>
          </w:p>
          <w:p w14:paraId="3241B404">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期环</w:t>
            </w:r>
          </w:p>
          <w:p w14:paraId="4B33A9A2">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境影</w:t>
            </w:r>
          </w:p>
          <w:p w14:paraId="60B98961">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响和</w:t>
            </w:r>
          </w:p>
          <w:p w14:paraId="2E4C68F7">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保护</w:t>
            </w:r>
          </w:p>
          <w:p w14:paraId="0847C2A1">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 w:val="24"/>
                <w:szCs w:val="24"/>
              </w:rPr>
              <w:t>措施</w:t>
            </w:r>
          </w:p>
        </w:tc>
        <w:tc>
          <w:tcPr>
            <w:tcW w:w="8309" w:type="dxa"/>
            <w:vAlign w:val="center"/>
          </w:tcPr>
          <w:p w14:paraId="3F5821C1">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eastAsia="宋体" w:cs="Times New Roman"/>
                <w:b/>
                <w:bCs/>
                <w:color w:val="auto"/>
                <w:sz w:val="24"/>
                <w:lang w:val="en-US" w:eastAsia="zh-CN"/>
              </w:rPr>
              <w:t>1、</w:t>
            </w:r>
            <w:r>
              <w:rPr>
                <w:rFonts w:hint="default" w:ascii="Times New Roman" w:hAnsi="Times New Roman" w:cs="Times New Roman"/>
                <w:b/>
                <w:color w:val="auto"/>
                <w:sz w:val="24"/>
              </w:rPr>
              <w:t>污染源强核算</w:t>
            </w:r>
          </w:p>
          <w:p w14:paraId="2CA03DF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（1）生物质锅炉燃烧废气</w:t>
            </w:r>
            <w:r>
              <w:rPr>
                <w:rFonts w:hint="eastAsia" w:cs="Times New Roman"/>
                <w:b/>
                <w:bCs/>
                <w:color w:val="auto"/>
                <w:sz w:val="24"/>
                <w:lang w:val="en-US" w:eastAsia="zh-CN"/>
              </w:rPr>
              <w:t>（G1）</w:t>
            </w:r>
          </w:p>
          <w:p w14:paraId="71B6F4ED">
            <w:pPr>
              <w:pStyle w:val="48"/>
              <w:snapToGrid w:val="0"/>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本次技改设置</w:t>
            </w:r>
            <w:r>
              <w:rPr>
                <w:rFonts w:hint="default" w:ascii="Times New Roman" w:hAnsi="Times New Roman" w:eastAsia="宋体" w:cs="Times New Roman"/>
                <w:color w:val="auto"/>
                <w:sz w:val="24"/>
                <w:lang w:val="en-US" w:eastAsia="zh-CN"/>
              </w:rPr>
              <w:t>1台2</w:t>
            </w:r>
            <w:r>
              <w:rPr>
                <w:rFonts w:hint="eastAsia" w:ascii="Times New Roman" w:hAnsi="Times New Roman" w:cs="Times New Roman"/>
                <w:color w:val="auto"/>
                <w:sz w:val="24"/>
                <w:lang w:val="en-US" w:eastAsia="zh-CN"/>
              </w:rPr>
              <w:t>.2</w:t>
            </w:r>
            <w:r>
              <w:rPr>
                <w:rFonts w:hint="default" w:ascii="Times New Roman" w:hAnsi="Times New Roman" w:eastAsia="宋体" w:cs="Times New Roman"/>
                <w:color w:val="auto"/>
                <w:sz w:val="24"/>
                <w:lang w:val="en-US" w:eastAsia="zh-CN"/>
              </w:rPr>
              <w:t>t/h的生物质锅炉，锅炉每天运行</w:t>
            </w:r>
            <w:r>
              <w:rPr>
                <w:rFonts w:hint="eastAsia" w:ascii="Times New Roman" w:hAnsi="Times New Roman" w:cs="Times New Roman"/>
                <w:color w:val="auto"/>
                <w:sz w:val="24"/>
                <w:lang w:val="en-US" w:eastAsia="zh-CN"/>
              </w:rPr>
              <w:t>12</w:t>
            </w:r>
            <w:r>
              <w:rPr>
                <w:rFonts w:hint="default" w:ascii="Times New Roman" w:hAnsi="Times New Roman" w:eastAsia="宋体" w:cs="Times New Roman"/>
                <w:color w:val="auto"/>
                <w:sz w:val="24"/>
                <w:lang w:val="en-US" w:eastAsia="zh-CN"/>
              </w:rPr>
              <w:t>小时，年运行</w:t>
            </w:r>
            <w:r>
              <w:rPr>
                <w:rFonts w:hint="eastAsia" w:ascii="Times New Roman" w:hAnsi="Times New Roman" w:cs="Times New Roman"/>
                <w:color w:val="auto"/>
                <w:sz w:val="24"/>
                <w:lang w:val="en-US" w:eastAsia="zh-CN"/>
              </w:rPr>
              <w:t>200</w:t>
            </w:r>
            <w:r>
              <w:rPr>
                <w:rFonts w:hint="default" w:ascii="Times New Roman" w:hAnsi="Times New Roman" w:eastAsia="宋体" w:cs="Times New Roman"/>
                <w:color w:val="auto"/>
                <w:sz w:val="24"/>
                <w:lang w:val="en-US" w:eastAsia="zh-CN"/>
              </w:rPr>
              <w:t>天，年消耗生物质</w:t>
            </w:r>
            <w:r>
              <w:rPr>
                <w:rFonts w:hint="eastAsia" w:ascii="Times New Roman" w:hAnsi="Times New Roman" w:cs="Times New Roman"/>
                <w:color w:val="auto"/>
                <w:sz w:val="24"/>
                <w:lang w:val="en-US" w:eastAsia="zh-CN"/>
              </w:rPr>
              <w:t>燃料</w:t>
            </w:r>
            <w:r>
              <w:rPr>
                <w:rFonts w:hint="default" w:ascii="Times New Roman" w:hAnsi="Times New Roman" w:eastAsia="宋体" w:cs="Times New Roman"/>
                <w:color w:val="auto"/>
                <w:sz w:val="24"/>
                <w:lang w:val="en-US" w:eastAsia="zh-CN"/>
              </w:rPr>
              <w:t>量约为</w:t>
            </w:r>
            <w:r>
              <w:rPr>
                <w:rFonts w:hint="eastAsia" w:ascii="Times New Roman" w:hAnsi="Times New Roman" w:cs="Times New Roman"/>
                <w:color w:val="auto"/>
                <w:sz w:val="24"/>
                <w:lang w:val="en-US" w:eastAsia="zh-CN"/>
              </w:rPr>
              <w:t>768</w:t>
            </w:r>
            <w:r>
              <w:rPr>
                <w:rFonts w:hint="default" w:ascii="Times New Roman" w:hAnsi="Times New Roman" w:eastAsia="宋体" w:cs="Times New Roman"/>
                <w:color w:val="auto"/>
                <w:sz w:val="24"/>
                <w:lang w:val="en-US" w:eastAsia="zh-CN"/>
              </w:rPr>
              <w:t>t</w:t>
            </w:r>
            <w:r>
              <w:rPr>
                <w:rFonts w:hint="eastAsia" w:ascii="Times New Roman" w:hAnsi="Times New Roman" w:cs="Times New Roman"/>
                <w:color w:val="auto"/>
                <w:sz w:val="24"/>
                <w:lang w:val="en-US" w:eastAsia="zh-CN"/>
              </w:rPr>
              <w:t>，生物质燃料为压制成型的生物质颗粒。</w:t>
            </w:r>
          </w:p>
          <w:p w14:paraId="4552A0A6">
            <w:pPr>
              <w:pStyle w:val="48"/>
              <w:snapToGrid w:val="0"/>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①烟气量</w:t>
            </w:r>
          </w:p>
          <w:p w14:paraId="3E5566A2">
            <w:pPr>
              <w:pStyle w:val="48"/>
              <w:snapToGrid w:val="0"/>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本次技改仍沿用现有锅炉风机，根据现有项目《排污许可自行监测报告》，</w:t>
            </w:r>
            <w:r>
              <w:rPr>
                <w:rFonts w:hint="default" w:ascii="Times New Roman" w:hAnsi="Times New Roman" w:eastAsia="宋体" w:cs="Times New Roman"/>
                <w:b w:val="0"/>
                <w:bCs w:val="0"/>
                <w:color w:val="auto"/>
                <w:sz w:val="24"/>
                <w:highlight w:val="none"/>
                <w:lang w:val="en-US" w:eastAsia="zh-CN"/>
              </w:rPr>
              <w:t>生物质锅炉燃烧废气</w:t>
            </w:r>
            <w:r>
              <w:rPr>
                <w:rFonts w:hint="eastAsia" w:ascii="Times New Roman" w:hAnsi="Times New Roman" w:cs="Times New Roman"/>
                <w:caps w:val="0"/>
                <w:smallCaps w:val="0"/>
                <w:color w:val="auto"/>
                <w:sz w:val="24"/>
                <w:szCs w:val="24"/>
                <w:highlight w:val="none"/>
                <w:lang w:val="en-US" w:eastAsia="zh-CN"/>
              </w:rPr>
              <w:t>排放口烟气流量为3518m</w:t>
            </w:r>
            <w:r>
              <w:rPr>
                <w:rFonts w:hint="eastAsia" w:ascii="Times New Roman" w:hAnsi="Times New Roman" w:cs="Times New Roman"/>
                <w:caps w:val="0"/>
                <w:smallCaps w:val="0"/>
                <w:color w:val="auto"/>
                <w:sz w:val="24"/>
                <w:szCs w:val="24"/>
                <w:highlight w:val="none"/>
                <w:vertAlign w:val="superscript"/>
                <w:lang w:val="en-US" w:eastAsia="zh-CN"/>
              </w:rPr>
              <w:t>3</w:t>
            </w:r>
            <w:r>
              <w:rPr>
                <w:rFonts w:hint="eastAsia" w:ascii="Times New Roman" w:hAnsi="Times New Roman" w:cs="Times New Roman"/>
                <w:caps w:val="0"/>
                <w:smallCaps w:val="0"/>
                <w:color w:val="auto"/>
                <w:sz w:val="24"/>
                <w:szCs w:val="24"/>
                <w:highlight w:val="none"/>
                <w:lang w:val="en-US" w:eastAsia="zh-CN"/>
              </w:rPr>
              <w:t>/h，本次评价取3600m</w:t>
            </w:r>
            <w:r>
              <w:rPr>
                <w:rFonts w:hint="eastAsia" w:ascii="Times New Roman" w:hAnsi="Times New Roman" w:cs="Times New Roman"/>
                <w:caps w:val="0"/>
                <w:smallCaps w:val="0"/>
                <w:color w:val="auto"/>
                <w:sz w:val="24"/>
                <w:szCs w:val="24"/>
                <w:highlight w:val="none"/>
                <w:vertAlign w:val="superscript"/>
                <w:lang w:val="en-US" w:eastAsia="zh-CN"/>
              </w:rPr>
              <w:t>3</w:t>
            </w:r>
            <w:r>
              <w:rPr>
                <w:rFonts w:hint="eastAsia" w:ascii="Times New Roman" w:hAnsi="Times New Roman" w:cs="Times New Roman"/>
                <w:caps w:val="0"/>
                <w:smallCaps w:val="0"/>
                <w:color w:val="auto"/>
                <w:sz w:val="24"/>
                <w:szCs w:val="24"/>
                <w:highlight w:val="none"/>
                <w:lang w:val="en-US" w:eastAsia="zh-CN"/>
              </w:rPr>
              <w:t>/h，则本次技改项目锅炉烟气产生量为864万m</w:t>
            </w:r>
            <w:r>
              <w:rPr>
                <w:rFonts w:hint="eastAsia" w:ascii="Times New Roman" w:hAnsi="Times New Roman" w:cs="Times New Roman"/>
                <w:caps w:val="0"/>
                <w:smallCaps w:val="0"/>
                <w:color w:val="auto"/>
                <w:sz w:val="24"/>
                <w:szCs w:val="24"/>
                <w:highlight w:val="none"/>
                <w:vertAlign w:val="superscript"/>
                <w:lang w:val="en-US" w:eastAsia="zh-CN"/>
              </w:rPr>
              <w:t>3</w:t>
            </w:r>
            <w:r>
              <w:rPr>
                <w:rFonts w:hint="eastAsia" w:ascii="Times New Roman" w:hAnsi="Times New Roman" w:cs="Times New Roman"/>
                <w:caps w:val="0"/>
                <w:smallCaps w:val="0"/>
                <w:color w:val="auto"/>
                <w:sz w:val="24"/>
                <w:szCs w:val="24"/>
                <w:highlight w:val="none"/>
                <w:lang w:val="en-US" w:eastAsia="zh-CN"/>
              </w:rPr>
              <w:t>/a。</w:t>
            </w:r>
          </w:p>
          <w:p w14:paraId="0E2909E1">
            <w:pPr>
              <w:pStyle w:val="48"/>
              <w:snapToGrid w:val="0"/>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②颗粒物排放量</w:t>
            </w:r>
          </w:p>
          <w:p w14:paraId="152E2546">
            <w:pPr>
              <w:pStyle w:val="48"/>
              <w:snapToGrid w:val="0"/>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根据《污染源源强核算技术指南 锅炉》（HJ991-2018）表1 中源强核算方法选取次序表，有组织废气（正常工况）的新（改、扩）建工程污染源核算方法及选取优先次序为：1.物料衡算法、2.类比法、3.产污系数法。故本项目采用物料衡算法，其计算公式为：</w:t>
            </w:r>
          </w:p>
          <w:p w14:paraId="66DC9552">
            <w:pPr>
              <w:pStyle w:val="48"/>
              <w:snapToGrid w:val="0"/>
              <w:ind w:left="0" w:leftChars="0" w:firstLine="0" w:firstLineChars="0"/>
              <w:jc w:val="center"/>
              <w:rPr>
                <w:rFonts w:hint="eastAsia" w:ascii="Times New Roman" w:hAnsi="Times New Roman" w:cs="Times New Roman"/>
                <w:color w:val="auto"/>
                <w:sz w:val="24"/>
                <w:lang w:val="en-US" w:eastAsia="zh-CN"/>
              </w:rPr>
            </w:pPr>
            <w:r>
              <w:rPr>
                <w:color w:val="auto"/>
              </w:rPr>
              <w:drawing>
                <wp:inline distT="0" distB="0" distL="114300" distR="114300">
                  <wp:extent cx="2686050" cy="1041400"/>
                  <wp:effectExtent l="0" t="0" r="0" b="635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7"/>
                          <a:stretch>
                            <a:fillRect/>
                          </a:stretch>
                        </pic:blipFill>
                        <pic:spPr>
                          <a:xfrm>
                            <a:off x="0" y="0"/>
                            <a:ext cx="2686050" cy="1041400"/>
                          </a:xfrm>
                          <a:prstGeom prst="rect">
                            <a:avLst/>
                          </a:prstGeom>
                          <a:noFill/>
                          <a:ln>
                            <a:noFill/>
                          </a:ln>
                        </pic:spPr>
                      </pic:pic>
                    </a:graphicData>
                  </a:graphic>
                </wp:inline>
              </w:drawing>
            </w:r>
          </w:p>
          <w:p w14:paraId="0171B24F">
            <w:pPr>
              <w:pStyle w:val="48"/>
              <w:snapToGrid w:val="0"/>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式中：E</w:t>
            </w:r>
            <w:r>
              <w:rPr>
                <w:rFonts w:hint="eastAsia" w:ascii="Times New Roman" w:hAnsi="Times New Roman" w:cs="Times New Roman"/>
                <w:color w:val="auto"/>
                <w:sz w:val="24"/>
                <w:vertAlign w:val="subscript"/>
                <w:lang w:val="en-US" w:eastAsia="zh-CN"/>
              </w:rPr>
              <w:t>A</w:t>
            </w:r>
            <w:r>
              <w:rPr>
                <w:rFonts w:hint="eastAsia" w:ascii="Times New Roman" w:hAnsi="Times New Roman" w:cs="Times New Roman"/>
                <w:color w:val="auto"/>
                <w:sz w:val="24"/>
                <w:lang w:val="en-US" w:eastAsia="zh-CN"/>
              </w:rPr>
              <w:t>—核算时段内颗粒物（烟尘）排放量，t；</w:t>
            </w:r>
          </w:p>
          <w:p w14:paraId="2DE04F58">
            <w:pPr>
              <w:pStyle w:val="48"/>
              <w:snapToGrid w:val="0"/>
              <w:ind w:firstLine="1296" w:firstLineChars="54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R—核算时段内锅炉燃料耗量，768t；</w:t>
            </w:r>
          </w:p>
          <w:p w14:paraId="71C459A9">
            <w:pPr>
              <w:pStyle w:val="48"/>
              <w:snapToGrid w:val="0"/>
              <w:ind w:firstLine="1296" w:firstLineChars="54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A</w:t>
            </w:r>
            <w:r>
              <w:rPr>
                <w:rFonts w:hint="eastAsia" w:ascii="Times New Roman" w:hAnsi="Times New Roman" w:cs="Times New Roman"/>
                <w:color w:val="auto"/>
                <w:sz w:val="24"/>
                <w:vertAlign w:val="subscript"/>
                <w:lang w:val="en-US" w:eastAsia="zh-CN"/>
              </w:rPr>
              <w:t>ar</w:t>
            </w:r>
            <w:r>
              <w:rPr>
                <w:rFonts w:hint="eastAsia" w:ascii="Times New Roman" w:hAnsi="Times New Roman" w:cs="Times New Roman"/>
                <w:color w:val="auto"/>
                <w:sz w:val="24"/>
                <w:lang w:val="en-US" w:eastAsia="zh-CN"/>
              </w:rPr>
              <w:t>—收到基灰分的质量分数，本次取2.57%；</w:t>
            </w:r>
          </w:p>
          <w:p w14:paraId="4A0E1EA6">
            <w:pPr>
              <w:pStyle w:val="48"/>
              <w:snapToGrid w:val="0"/>
              <w:ind w:firstLine="1200" w:firstLineChars="5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d</w:t>
            </w:r>
            <w:r>
              <w:rPr>
                <w:rFonts w:hint="eastAsia" w:ascii="Times New Roman" w:hAnsi="Times New Roman" w:cs="Times New Roman"/>
                <w:color w:val="auto"/>
                <w:sz w:val="24"/>
                <w:vertAlign w:val="subscript"/>
                <w:lang w:val="en-US" w:eastAsia="zh-CN"/>
              </w:rPr>
              <w:t>fh</w:t>
            </w:r>
            <w:r>
              <w:rPr>
                <w:rFonts w:hint="eastAsia" w:ascii="Times New Roman" w:hAnsi="Times New Roman" w:cs="Times New Roman"/>
                <w:color w:val="auto"/>
                <w:sz w:val="24"/>
                <w:lang w:val="en-US" w:eastAsia="zh-CN"/>
              </w:rPr>
              <w:t>—锅炉烟气带出的飞灰份额，参照《污染源源强核算技术指南 锅炉》（HJ991-2018）表B.2 层燃炉（链条炉排炉）取20%，且本项目燃料为生物质，飞灰份额加30%，因此本项目取50%；</w:t>
            </w:r>
          </w:p>
          <w:p w14:paraId="05EACD26">
            <w:pPr>
              <w:pStyle w:val="48"/>
              <w:snapToGrid w:val="0"/>
              <w:ind w:firstLine="1200" w:firstLineChars="500"/>
              <w:rPr>
                <w:rFonts w:hint="eastAsia"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ηc</w:t>
            </w:r>
            <w:r>
              <w:rPr>
                <w:rFonts w:hint="eastAsia" w:ascii="Times New Roman" w:hAnsi="Times New Roman" w:cs="Times New Roman"/>
                <w:color w:val="auto"/>
                <w:sz w:val="24"/>
                <w:lang w:val="en-US" w:eastAsia="zh-CN"/>
              </w:rPr>
              <w:t>—综合除尘效率，本项目采用旋风除尘+多管旋风除尘+脉冲袋式除尘，参照《污染源源强核算技术指南锅炉》（HJ991-2018）表B.6，袋式除尘器除尘效率为99%~99.99%，本项目采用旋风除尘+多管旋风除尘+布袋除尘，除尘效率按99%计；</w:t>
            </w:r>
          </w:p>
          <w:p w14:paraId="1D0DD435">
            <w:pPr>
              <w:pStyle w:val="48"/>
              <w:snapToGrid w:val="0"/>
              <w:ind w:firstLine="1200" w:firstLineChars="5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C</w:t>
            </w:r>
            <w:r>
              <w:rPr>
                <w:rFonts w:hint="eastAsia" w:ascii="Times New Roman" w:hAnsi="Times New Roman" w:cs="Times New Roman"/>
                <w:color w:val="auto"/>
                <w:sz w:val="24"/>
                <w:vertAlign w:val="subscript"/>
                <w:lang w:val="en-US" w:eastAsia="zh-CN"/>
              </w:rPr>
              <w:t>fh</w:t>
            </w:r>
            <w:r>
              <w:rPr>
                <w:rFonts w:hint="eastAsia" w:ascii="Times New Roman" w:hAnsi="Times New Roman" w:cs="Times New Roman"/>
                <w:color w:val="auto"/>
                <w:sz w:val="24"/>
                <w:lang w:val="en-US" w:eastAsia="zh-CN"/>
              </w:rPr>
              <w:t xml:space="preserve"> —飞灰中的可燃物含量，取5%，满足GB/T15317、GB/T17954 限值要求。</w:t>
            </w:r>
          </w:p>
          <w:p w14:paraId="4658F3D1">
            <w:pPr>
              <w:pStyle w:val="48"/>
              <w:snapToGrid w:val="0"/>
              <w:ind w:left="0" w:leftChars="0"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计算得本项目锅炉颗粒物排放量为0.114t/a、0.048kg/h，锅炉风机风量3600m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/h，则排放浓度13.19mg/m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w:t>
            </w:r>
          </w:p>
          <w:p w14:paraId="093B569C">
            <w:pPr>
              <w:pStyle w:val="48"/>
              <w:snapToGrid w:val="0"/>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③二氧化硫排放量</w:t>
            </w:r>
          </w:p>
          <w:p w14:paraId="7523E896">
            <w:pPr>
              <w:pStyle w:val="48"/>
              <w:snapToGrid w:val="0"/>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根据《污染源源强核算技术指南锅炉》（HJ991-2018），优先采用物料衡算法，其计算公式为：</w:t>
            </w:r>
          </w:p>
          <w:p w14:paraId="63BD404E">
            <w:pPr>
              <w:pStyle w:val="48"/>
              <w:snapToGrid w:val="0"/>
              <w:ind w:firstLine="480" w:firstLineChars="200"/>
              <w:jc w:val="center"/>
              <w:rPr>
                <w:rFonts w:hint="eastAsia" w:ascii="Times New Roman" w:hAnsi="Times New Roman" w:cs="Times New Roman"/>
                <w:color w:val="auto"/>
                <w:sz w:val="24"/>
                <w:lang w:val="en-US" w:eastAsia="zh-CN"/>
              </w:rPr>
            </w:pPr>
            <w:r>
              <w:rPr>
                <w:color w:val="auto"/>
              </w:rPr>
              <w:drawing>
                <wp:inline distT="0" distB="0" distL="114300" distR="114300">
                  <wp:extent cx="3077845" cy="598170"/>
                  <wp:effectExtent l="0" t="0" r="8255" b="1143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28"/>
                          <a:stretch>
                            <a:fillRect/>
                          </a:stretch>
                        </pic:blipFill>
                        <pic:spPr>
                          <a:xfrm>
                            <a:off x="0" y="0"/>
                            <a:ext cx="3077845" cy="598170"/>
                          </a:xfrm>
                          <a:prstGeom prst="rect">
                            <a:avLst/>
                          </a:prstGeom>
                          <a:noFill/>
                          <a:ln>
                            <a:noFill/>
                          </a:ln>
                        </pic:spPr>
                      </pic:pic>
                    </a:graphicData>
                  </a:graphic>
                </wp:inline>
              </w:drawing>
            </w:r>
          </w:p>
          <w:p w14:paraId="0DD3DADE">
            <w:pPr>
              <w:pStyle w:val="48"/>
              <w:snapToGrid w:val="0"/>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式中：E</w:t>
            </w:r>
            <w:r>
              <w:rPr>
                <w:rFonts w:hint="eastAsia" w:ascii="Times New Roman" w:hAnsi="Times New Roman" w:cs="Times New Roman"/>
                <w:color w:val="auto"/>
                <w:sz w:val="24"/>
                <w:vertAlign w:val="subscript"/>
                <w:lang w:val="en-US" w:eastAsia="zh-CN"/>
              </w:rPr>
              <w:t>SO2</w:t>
            </w:r>
            <w:r>
              <w:rPr>
                <w:rFonts w:hint="eastAsia" w:ascii="Times New Roman" w:hAnsi="Times New Roman" w:cs="Times New Roman"/>
                <w:color w:val="auto"/>
                <w:sz w:val="24"/>
                <w:lang w:val="en-US" w:eastAsia="zh-CN"/>
              </w:rPr>
              <w:t>—核算时段内二氧化硫排放量，t；</w:t>
            </w:r>
          </w:p>
          <w:p w14:paraId="4CC64918">
            <w:pPr>
              <w:pStyle w:val="48"/>
              <w:snapToGrid w:val="0"/>
              <w:ind w:firstLine="1200" w:firstLineChars="5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R—核算时段内锅炉燃料耗量，768t；</w:t>
            </w:r>
          </w:p>
          <w:p w14:paraId="6929B266">
            <w:pPr>
              <w:pStyle w:val="48"/>
              <w:snapToGrid w:val="0"/>
              <w:ind w:firstLine="1200" w:firstLineChars="5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S</w:t>
            </w:r>
            <w:r>
              <w:rPr>
                <w:rFonts w:hint="eastAsia" w:ascii="Times New Roman" w:hAnsi="Times New Roman" w:cs="Times New Roman"/>
                <w:color w:val="auto"/>
                <w:sz w:val="24"/>
                <w:vertAlign w:val="subscript"/>
                <w:lang w:val="en-US" w:eastAsia="zh-CN"/>
              </w:rPr>
              <w:t>ar</w:t>
            </w:r>
            <w:r>
              <w:rPr>
                <w:rFonts w:hint="eastAsia" w:ascii="Times New Roman" w:hAnsi="Times New Roman" w:cs="Times New Roman"/>
                <w:color w:val="auto"/>
                <w:sz w:val="24"/>
                <w:lang w:val="en-US" w:eastAsia="zh-CN"/>
              </w:rPr>
              <w:t>—收到基硫的质量分数，本次取0.03%；</w:t>
            </w:r>
          </w:p>
          <w:p w14:paraId="1C537CB2">
            <w:pPr>
              <w:pStyle w:val="48"/>
              <w:snapToGrid w:val="0"/>
              <w:ind w:firstLine="1200" w:firstLineChars="5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q</w:t>
            </w:r>
            <w:r>
              <w:rPr>
                <w:rFonts w:hint="eastAsia" w:ascii="Times New Roman" w:hAnsi="Times New Roman" w:cs="Times New Roman"/>
                <w:color w:val="auto"/>
                <w:sz w:val="24"/>
                <w:vertAlign w:val="subscript"/>
                <w:lang w:val="en-US" w:eastAsia="zh-CN"/>
              </w:rPr>
              <w:t>4</w:t>
            </w:r>
            <w:r>
              <w:rPr>
                <w:rFonts w:hint="eastAsia" w:ascii="Times New Roman" w:hAnsi="Times New Roman" w:cs="Times New Roman"/>
                <w:color w:val="auto"/>
                <w:sz w:val="24"/>
                <w:lang w:val="en-US" w:eastAsia="zh-CN"/>
              </w:rPr>
              <w:t>—锅炉机械不完全燃烧热损失，参照《污染源源强核算技术指南锅炉》（HJ991-2018）表B.1 层燃炉（链条炉排炉）取5%；</w:t>
            </w:r>
          </w:p>
          <w:p w14:paraId="3C23F8E7">
            <w:pPr>
              <w:pStyle w:val="48"/>
              <w:snapToGrid w:val="0"/>
              <w:ind w:firstLine="1296" w:firstLineChars="54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Ƞ</w:t>
            </w:r>
            <w:r>
              <w:rPr>
                <w:rFonts w:hint="eastAsia" w:ascii="Times New Roman" w:hAnsi="Times New Roman" w:cs="Times New Roman"/>
                <w:color w:val="auto"/>
                <w:sz w:val="24"/>
                <w:vertAlign w:val="subscript"/>
                <w:lang w:val="en-US" w:eastAsia="zh-CN"/>
              </w:rPr>
              <w:t>s</w:t>
            </w:r>
            <w:r>
              <w:rPr>
                <w:rFonts w:hint="eastAsia" w:ascii="Times New Roman" w:hAnsi="Times New Roman" w:cs="Times New Roman"/>
                <w:color w:val="auto"/>
                <w:sz w:val="24"/>
                <w:lang w:val="en-US" w:eastAsia="zh-CN"/>
              </w:rPr>
              <w:t>—脱硫效率，本项目去除效率取0%；</w:t>
            </w:r>
          </w:p>
          <w:p w14:paraId="130AA3F4">
            <w:pPr>
              <w:pStyle w:val="48"/>
              <w:snapToGrid w:val="0"/>
              <w:ind w:firstLine="1296" w:firstLineChars="54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K—燃料中的硫燃烧后氧化成二氧化硫的份额，参照《污染源源强核算技术指南锅炉》（HJ991-2018）表B.3 燃生物质炉取0.4。</w:t>
            </w:r>
          </w:p>
          <w:p w14:paraId="3CA33BC0">
            <w:pPr>
              <w:pStyle w:val="48"/>
              <w:snapToGrid w:val="0"/>
              <w:ind w:left="0" w:leftChars="0"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计算得本项目锅炉二氧化硫排放量为0.175t/a、0.073kg/h。锅炉风机风量3600m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/h，则排放浓度20.25mg/m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w:t>
            </w:r>
          </w:p>
          <w:p w14:paraId="1B158656">
            <w:pPr>
              <w:pStyle w:val="48"/>
              <w:snapToGrid w:val="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④氮氧化物排放量</w:t>
            </w:r>
          </w:p>
          <w:p w14:paraId="5F234EA7">
            <w:pPr>
              <w:pStyle w:val="48"/>
              <w:snapToGrid w:val="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根据《污染物源强核算技术指南锅炉》（HJ991-2018），燃煤、燃生物质锅炉NOx排放量按下式计算：</w:t>
            </w:r>
          </w:p>
          <w:p w14:paraId="04557093">
            <w:pPr>
              <w:pStyle w:val="48"/>
              <w:snapToGrid w:val="0"/>
              <w:ind w:firstLine="480" w:firstLineChars="200"/>
              <w:jc w:val="center"/>
              <w:rPr>
                <w:rFonts w:hint="eastAsia" w:ascii="Times New Roman" w:hAnsi="Times New Roman" w:cs="Times New Roman"/>
                <w:color w:val="auto"/>
                <w:sz w:val="24"/>
                <w:lang w:val="en-US" w:eastAsia="zh-CN"/>
              </w:rPr>
            </w:pPr>
            <w:r>
              <w:rPr>
                <w:color w:val="auto"/>
              </w:rPr>
              <w:drawing>
                <wp:inline distT="0" distB="0" distL="114300" distR="114300">
                  <wp:extent cx="2809875" cy="569595"/>
                  <wp:effectExtent l="0" t="0" r="9525" b="1905"/>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29"/>
                          <a:stretch>
                            <a:fillRect/>
                          </a:stretch>
                        </pic:blipFill>
                        <pic:spPr>
                          <a:xfrm>
                            <a:off x="0" y="0"/>
                            <a:ext cx="2809875" cy="569595"/>
                          </a:xfrm>
                          <a:prstGeom prst="rect">
                            <a:avLst/>
                          </a:prstGeom>
                          <a:noFill/>
                          <a:ln>
                            <a:noFill/>
                          </a:ln>
                        </pic:spPr>
                      </pic:pic>
                    </a:graphicData>
                  </a:graphic>
                </wp:inline>
              </w:drawing>
            </w:r>
          </w:p>
          <w:p w14:paraId="2D94BF4E">
            <w:pPr>
              <w:pStyle w:val="48"/>
              <w:snapToGrid w:val="0"/>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式中：E</w:t>
            </w:r>
            <w:r>
              <w:rPr>
                <w:rFonts w:hint="eastAsia" w:ascii="Times New Roman" w:hAnsi="Times New Roman" w:cs="Times New Roman"/>
                <w:color w:val="auto"/>
                <w:sz w:val="24"/>
                <w:vertAlign w:val="subscript"/>
                <w:lang w:val="en-US" w:eastAsia="zh-CN"/>
              </w:rPr>
              <w:t>NOx</w:t>
            </w:r>
            <w:r>
              <w:rPr>
                <w:rFonts w:hint="eastAsia" w:ascii="Times New Roman" w:hAnsi="Times New Roman" w:cs="Times New Roman"/>
                <w:color w:val="auto"/>
                <w:sz w:val="24"/>
                <w:lang w:val="en-US" w:eastAsia="zh-CN"/>
              </w:rPr>
              <w:t>—核算时段内氮氧化物排放量，t；</w:t>
            </w:r>
          </w:p>
          <w:p w14:paraId="7F5347BD">
            <w:pPr>
              <w:pStyle w:val="48"/>
              <w:snapToGrid w:val="0"/>
              <w:ind w:firstLine="1200" w:firstLineChars="500"/>
              <w:rPr>
                <w:rFonts w:hint="eastAsia"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ρ</w:t>
            </w:r>
            <w:r>
              <w:rPr>
                <w:rFonts w:hint="default" w:ascii="Times New Roman" w:hAnsi="Times New Roman" w:cs="Times New Roman"/>
                <w:color w:val="auto"/>
                <w:sz w:val="24"/>
                <w:vertAlign w:val="subscript"/>
                <w:lang w:val="en-US" w:eastAsia="zh-CN"/>
              </w:rPr>
              <w:t>NOx</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锅炉炉膛出口氮氧化物质量浓度，mg/m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；根据《生物质锅炉技术规范》（GB/T44906-2024）中“7.2 环保性能，室燃锅炉额度工况下大气污染物NOx初始排放浓度限值为200mg/m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”，本项目按200mg/m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计算。</w:t>
            </w:r>
          </w:p>
          <w:p w14:paraId="2266137A">
            <w:pPr>
              <w:pStyle w:val="48"/>
              <w:snapToGrid w:val="0"/>
              <w:ind w:firstLine="960" w:firstLineChars="4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Q—核算时段内标态干烟气排放量，m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；本项目为</w:t>
            </w:r>
            <w:r>
              <w:rPr>
                <w:rFonts w:hint="eastAsia" w:ascii="Times New Roman" w:hAnsi="Times New Roman" w:cs="Times New Roman"/>
                <w:caps w:val="0"/>
                <w:smallCaps w:val="0"/>
                <w:color w:val="auto"/>
                <w:sz w:val="24"/>
                <w:szCs w:val="24"/>
                <w:highlight w:val="none"/>
                <w:lang w:val="en-US" w:eastAsia="zh-CN"/>
              </w:rPr>
              <w:t>864</w:t>
            </w:r>
            <w:r>
              <w:rPr>
                <w:rFonts w:hint="eastAsia" w:ascii="Times New Roman" w:hAnsi="Times New Roman" w:cs="Times New Roman"/>
                <w:color w:val="auto"/>
                <w:sz w:val="24"/>
                <w:lang w:val="en-US" w:eastAsia="zh-CN"/>
              </w:rPr>
              <w:t>万Nm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/a。</w:t>
            </w:r>
          </w:p>
          <w:p w14:paraId="722E45DA">
            <w:pPr>
              <w:pStyle w:val="48"/>
              <w:snapToGrid w:val="0"/>
              <w:ind w:firstLine="1056" w:firstLineChars="44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η</w:t>
            </w:r>
            <w:r>
              <w:rPr>
                <w:rFonts w:hint="default" w:ascii="Times New Roman" w:hAnsi="Times New Roman" w:cs="Times New Roman"/>
                <w:color w:val="auto"/>
                <w:sz w:val="24"/>
                <w:vertAlign w:val="subscript"/>
                <w:lang w:val="en-US" w:eastAsia="zh-CN"/>
              </w:rPr>
              <w:t>NOx</w:t>
            </w:r>
            <w:r>
              <w:rPr>
                <w:rFonts w:hint="default" w:ascii="Times New Roman" w:hAnsi="Times New Roman" w:cs="Times New Roman"/>
                <w:color w:val="auto"/>
                <w:sz w:val="24"/>
                <w:lang w:val="en-US" w:eastAsia="zh-CN"/>
              </w:rPr>
              <w:t>—脱硝效率，%，本项目取0；</w:t>
            </w:r>
          </w:p>
          <w:p w14:paraId="46000FDB">
            <w:pPr>
              <w:pStyle w:val="48"/>
              <w:snapToGrid w:val="0"/>
              <w:ind w:left="0" w:leftChars="0"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计算得本项目锅炉氮氧化物排放量为1.728t/a、0.72kg/h。锅炉风机风量3600m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/h，则排放浓度200mg/m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w:t>
            </w:r>
          </w:p>
          <w:p w14:paraId="2DF3930E">
            <w:pPr>
              <w:pStyle w:val="48"/>
              <w:snapToGrid w:val="0"/>
              <w:ind w:firstLine="480" w:firstLineChars="200"/>
              <w:rPr>
                <w:rFonts w:hint="eastAsia" w:ascii="Times New Roman" w:hAnsi="Times New Roman" w:cs="Times New Roman"/>
                <w:color w:val="auto"/>
                <w:sz w:val="24"/>
                <w:lang w:val="en-US" w:eastAsia="zh-CN"/>
              </w:rPr>
            </w:pPr>
            <w:r>
              <w:rPr>
                <w:rFonts w:hint="default" w:ascii="Times New Roman" w:hAnsi="Times New Roman" w:eastAsia="宋体" w:cs="Times New Roman"/>
                <w:color w:val="auto"/>
                <w:sz w:val="24"/>
                <w:lang w:val="en-US" w:eastAsia="zh-CN"/>
              </w:rPr>
              <w:t>废气的排放量及排放浓度等详见下表。</w:t>
            </w:r>
          </w:p>
          <w:p w14:paraId="7C7F72C0">
            <w:pPr>
              <w:adjustRightInd w:val="0"/>
              <w:snapToGrid w:val="0"/>
              <w:spacing w:line="24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2</w:t>
            </w:r>
            <w:r>
              <w:rPr>
                <w:rFonts w:hint="default" w:ascii="Times New Roman" w:hAnsi="Times New Roman" w:cs="Times New Roman"/>
                <w:b/>
                <w:bCs/>
                <w:color w:val="auto"/>
                <w:szCs w:val="21"/>
                <w:highlight w:val="none"/>
              </w:rPr>
              <w:t xml:space="preserve"> </w:t>
            </w:r>
            <w:r>
              <w:rPr>
                <w:rFonts w:hint="default" w:ascii="Times New Roman" w:hAnsi="Times New Roman" w:cs="Times New Roman"/>
                <w:b/>
                <w:bCs/>
                <w:color w:val="auto"/>
                <w:highlight w:val="none"/>
                <w:lang w:val="en-US" w:eastAsia="zh-CN"/>
              </w:rPr>
              <w:t>生物质锅炉燃烧</w:t>
            </w:r>
            <w:r>
              <w:rPr>
                <w:rFonts w:hint="default" w:ascii="Times New Roman" w:hAnsi="Times New Roman" w:cs="Times New Roman"/>
                <w:b/>
                <w:bCs/>
                <w:color w:val="auto"/>
                <w:highlight w:val="none"/>
              </w:rPr>
              <w:t>废气</w:t>
            </w:r>
            <w:r>
              <w:rPr>
                <w:rFonts w:hint="default" w:ascii="Times New Roman" w:hAnsi="Times New Roman" w:cs="Times New Roman"/>
                <w:b/>
                <w:bCs/>
                <w:color w:val="auto"/>
                <w:szCs w:val="21"/>
                <w:highlight w:val="none"/>
              </w:rPr>
              <w:t>产排情况表</w:t>
            </w:r>
          </w:p>
          <w:tbl>
            <w:tblPr>
              <w:tblStyle w:val="22"/>
              <w:tblW w:w="8048"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88"/>
              <w:gridCol w:w="900"/>
              <w:gridCol w:w="690"/>
              <w:gridCol w:w="885"/>
              <w:gridCol w:w="855"/>
              <w:gridCol w:w="540"/>
              <w:gridCol w:w="855"/>
              <w:gridCol w:w="825"/>
              <w:gridCol w:w="735"/>
              <w:gridCol w:w="750"/>
              <w:gridCol w:w="525"/>
            </w:tblGrid>
            <w:tr w14:paraId="24CD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8" w:hRule="atLeast"/>
              </w:trPr>
              <w:tc>
                <w:tcPr>
                  <w:tcW w:w="488" w:type="dxa"/>
                  <w:vMerge w:val="restart"/>
                  <w:shd w:val="clear" w:color="auto" w:fill="auto"/>
                  <w:vAlign w:val="center"/>
                </w:tcPr>
                <w:p w14:paraId="6F9FD3D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900" w:type="dxa"/>
                  <w:vMerge w:val="restart"/>
                  <w:shd w:val="clear" w:color="auto" w:fill="auto"/>
                  <w:vAlign w:val="center"/>
                </w:tcPr>
                <w:p w14:paraId="5098B84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污染物</w:t>
                  </w:r>
                </w:p>
              </w:tc>
              <w:tc>
                <w:tcPr>
                  <w:tcW w:w="2430" w:type="dxa"/>
                  <w:gridSpan w:val="3"/>
                  <w:shd w:val="clear" w:color="auto" w:fill="auto"/>
                  <w:vAlign w:val="center"/>
                </w:tcPr>
                <w:p w14:paraId="753EE35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污染物产生</w:t>
                  </w:r>
                </w:p>
              </w:tc>
              <w:tc>
                <w:tcPr>
                  <w:tcW w:w="540" w:type="dxa"/>
                  <w:vMerge w:val="restart"/>
                  <w:shd w:val="clear" w:color="auto" w:fill="auto"/>
                  <w:vAlign w:val="center"/>
                </w:tcPr>
                <w:p w14:paraId="4F194B3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处理效率</w:t>
                  </w:r>
                </w:p>
              </w:tc>
              <w:tc>
                <w:tcPr>
                  <w:tcW w:w="2415" w:type="dxa"/>
                  <w:gridSpan w:val="3"/>
                  <w:shd w:val="clear" w:color="auto" w:fill="auto"/>
                  <w:vAlign w:val="center"/>
                </w:tcPr>
                <w:p w14:paraId="75BC053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污染物排放</w:t>
                  </w:r>
                </w:p>
              </w:tc>
              <w:tc>
                <w:tcPr>
                  <w:tcW w:w="750" w:type="dxa"/>
                  <w:vMerge w:val="restart"/>
                  <w:shd w:val="clear" w:color="auto" w:fill="auto"/>
                  <w:vAlign w:val="center"/>
                </w:tcPr>
                <w:p w14:paraId="52214EBD">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排气筒高度</w:t>
                  </w:r>
                </w:p>
                <w:p w14:paraId="2A3D437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m</w:t>
                  </w:r>
                  <w:r>
                    <w:rPr>
                      <w:rFonts w:hint="eastAsia" w:ascii="宋体" w:hAnsi="宋体" w:eastAsia="宋体" w:cs="宋体"/>
                      <w:b/>
                      <w:bCs/>
                      <w:i w:val="0"/>
                      <w:iCs w:val="0"/>
                      <w:color w:val="auto"/>
                      <w:kern w:val="0"/>
                      <w:sz w:val="21"/>
                      <w:szCs w:val="21"/>
                      <w:highlight w:val="none"/>
                      <w:u w:val="none"/>
                      <w:lang w:val="en-US" w:eastAsia="zh-CN" w:bidi="ar"/>
                    </w:rPr>
                    <w:t>）</w:t>
                  </w:r>
                </w:p>
              </w:tc>
              <w:tc>
                <w:tcPr>
                  <w:tcW w:w="525" w:type="dxa"/>
                  <w:vMerge w:val="restart"/>
                  <w:shd w:val="clear" w:color="auto" w:fill="auto"/>
                  <w:vAlign w:val="center"/>
                </w:tcPr>
                <w:p w14:paraId="1D1DA73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排气筒编号</w:t>
                  </w:r>
                </w:p>
              </w:tc>
            </w:tr>
            <w:tr w14:paraId="6C04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488" w:type="dxa"/>
                  <w:vMerge w:val="continue"/>
                  <w:shd w:val="clear" w:color="auto" w:fill="auto"/>
                  <w:vAlign w:val="center"/>
                </w:tcPr>
                <w:p w14:paraId="78157308">
                  <w:pPr>
                    <w:jc w:val="center"/>
                    <w:rPr>
                      <w:rFonts w:hint="eastAsia" w:ascii="宋体" w:hAnsi="宋体" w:eastAsia="宋体" w:cs="宋体"/>
                      <w:b/>
                      <w:bCs/>
                      <w:i w:val="0"/>
                      <w:iCs w:val="0"/>
                      <w:color w:val="auto"/>
                      <w:sz w:val="21"/>
                      <w:szCs w:val="21"/>
                      <w:highlight w:val="none"/>
                      <w:u w:val="none"/>
                    </w:rPr>
                  </w:pPr>
                </w:p>
              </w:tc>
              <w:tc>
                <w:tcPr>
                  <w:tcW w:w="900" w:type="dxa"/>
                  <w:vMerge w:val="continue"/>
                  <w:shd w:val="clear" w:color="auto" w:fill="auto"/>
                  <w:vAlign w:val="center"/>
                </w:tcPr>
                <w:p w14:paraId="23F9C68C">
                  <w:pPr>
                    <w:jc w:val="center"/>
                    <w:rPr>
                      <w:rFonts w:hint="eastAsia" w:ascii="宋体" w:hAnsi="宋体" w:eastAsia="宋体" w:cs="宋体"/>
                      <w:b/>
                      <w:bCs/>
                      <w:i w:val="0"/>
                      <w:iCs w:val="0"/>
                      <w:color w:val="auto"/>
                      <w:sz w:val="21"/>
                      <w:szCs w:val="21"/>
                      <w:highlight w:val="none"/>
                      <w:u w:val="none"/>
                    </w:rPr>
                  </w:pPr>
                </w:p>
              </w:tc>
              <w:tc>
                <w:tcPr>
                  <w:tcW w:w="690" w:type="dxa"/>
                  <w:shd w:val="clear" w:color="auto" w:fill="auto"/>
                  <w:vAlign w:val="center"/>
                </w:tcPr>
                <w:p w14:paraId="4C2C719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产生浓度</w:t>
                  </w:r>
                </w:p>
              </w:tc>
              <w:tc>
                <w:tcPr>
                  <w:tcW w:w="885" w:type="dxa"/>
                  <w:shd w:val="clear" w:color="auto" w:fill="auto"/>
                  <w:vAlign w:val="center"/>
                </w:tcPr>
                <w:p w14:paraId="4C28AB0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产生速率</w:t>
                  </w:r>
                </w:p>
              </w:tc>
              <w:tc>
                <w:tcPr>
                  <w:tcW w:w="855" w:type="dxa"/>
                  <w:vMerge w:val="restart"/>
                  <w:shd w:val="clear" w:color="auto" w:fill="auto"/>
                  <w:vAlign w:val="center"/>
                </w:tcPr>
                <w:p w14:paraId="1AD1534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产生量（</w:t>
                  </w:r>
                  <w:r>
                    <w:rPr>
                      <w:rFonts w:hint="default" w:ascii="Times New Roman" w:hAnsi="Times New Roman" w:eastAsia="宋体" w:cs="Times New Roman"/>
                      <w:b/>
                      <w:bCs/>
                      <w:i w:val="0"/>
                      <w:iCs w:val="0"/>
                      <w:color w:val="auto"/>
                      <w:kern w:val="0"/>
                      <w:sz w:val="21"/>
                      <w:szCs w:val="21"/>
                      <w:highlight w:val="none"/>
                      <w:u w:val="none"/>
                      <w:lang w:val="en-US" w:eastAsia="zh-CN" w:bidi="ar"/>
                    </w:rPr>
                    <w:t>t/a</w:t>
                  </w:r>
                  <w:r>
                    <w:rPr>
                      <w:rFonts w:hint="eastAsia" w:ascii="宋体" w:hAnsi="宋体" w:eastAsia="宋体" w:cs="宋体"/>
                      <w:b/>
                      <w:bCs/>
                      <w:i w:val="0"/>
                      <w:iCs w:val="0"/>
                      <w:color w:val="auto"/>
                      <w:kern w:val="0"/>
                      <w:sz w:val="21"/>
                      <w:szCs w:val="21"/>
                      <w:highlight w:val="none"/>
                      <w:u w:val="none"/>
                      <w:lang w:val="en-US" w:eastAsia="zh-CN" w:bidi="ar"/>
                    </w:rPr>
                    <w:t>）</w:t>
                  </w:r>
                </w:p>
              </w:tc>
              <w:tc>
                <w:tcPr>
                  <w:tcW w:w="540" w:type="dxa"/>
                  <w:vMerge w:val="continue"/>
                  <w:shd w:val="clear" w:color="auto" w:fill="auto"/>
                  <w:vAlign w:val="center"/>
                </w:tcPr>
                <w:p w14:paraId="5D0E6C30">
                  <w:pPr>
                    <w:jc w:val="center"/>
                    <w:rPr>
                      <w:rFonts w:hint="eastAsia" w:ascii="宋体" w:hAnsi="宋体" w:eastAsia="宋体" w:cs="宋体"/>
                      <w:b/>
                      <w:bCs/>
                      <w:i w:val="0"/>
                      <w:iCs w:val="0"/>
                      <w:color w:val="auto"/>
                      <w:sz w:val="21"/>
                      <w:szCs w:val="21"/>
                      <w:highlight w:val="none"/>
                      <w:u w:val="none"/>
                    </w:rPr>
                  </w:pPr>
                </w:p>
              </w:tc>
              <w:tc>
                <w:tcPr>
                  <w:tcW w:w="855" w:type="dxa"/>
                  <w:shd w:val="clear" w:color="auto" w:fill="auto"/>
                  <w:vAlign w:val="center"/>
                </w:tcPr>
                <w:p w14:paraId="52CB840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排放浓度</w:t>
                  </w:r>
                </w:p>
              </w:tc>
              <w:tc>
                <w:tcPr>
                  <w:tcW w:w="825" w:type="dxa"/>
                  <w:shd w:val="clear" w:color="auto" w:fill="auto"/>
                  <w:vAlign w:val="center"/>
                </w:tcPr>
                <w:p w14:paraId="43C2A08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排放速率</w:t>
                  </w:r>
                </w:p>
              </w:tc>
              <w:tc>
                <w:tcPr>
                  <w:tcW w:w="735" w:type="dxa"/>
                  <w:vMerge w:val="restart"/>
                  <w:shd w:val="clear" w:color="auto" w:fill="auto"/>
                  <w:vAlign w:val="center"/>
                </w:tcPr>
                <w:p w14:paraId="7BEF9D6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排放量（</w:t>
                  </w:r>
                  <w:r>
                    <w:rPr>
                      <w:rFonts w:hint="default" w:ascii="Times New Roman" w:hAnsi="Times New Roman" w:eastAsia="宋体" w:cs="Times New Roman"/>
                      <w:b/>
                      <w:bCs/>
                      <w:i w:val="0"/>
                      <w:iCs w:val="0"/>
                      <w:color w:val="auto"/>
                      <w:kern w:val="0"/>
                      <w:sz w:val="21"/>
                      <w:szCs w:val="21"/>
                      <w:highlight w:val="none"/>
                      <w:u w:val="none"/>
                      <w:lang w:val="en-US" w:eastAsia="zh-CN" w:bidi="ar"/>
                    </w:rPr>
                    <w:t>t/a</w:t>
                  </w:r>
                  <w:r>
                    <w:rPr>
                      <w:rFonts w:hint="eastAsia" w:ascii="宋体" w:hAnsi="宋体" w:eastAsia="宋体" w:cs="宋体"/>
                      <w:b/>
                      <w:bCs/>
                      <w:i w:val="0"/>
                      <w:iCs w:val="0"/>
                      <w:color w:val="auto"/>
                      <w:kern w:val="0"/>
                      <w:sz w:val="21"/>
                      <w:szCs w:val="21"/>
                      <w:highlight w:val="none"/>
                      <w:u w:val="none"/>
                      <w:lang w:val="en-US" w:eastAsia="zh-CN" w:bidi="ar"/>
                    </w:rPr>
                    <w:t>）</w:t>
                  </w:r>
                </w:p>
              </w:tc>
              <w:tc>
                <w:tcPr>
                  <w:tcW w:w="750" w:type="dxa"/>
                  <w:vMerge w:val="continue"/>
                  <w:shd w:val="clear" w:color="auto" w:fill="auto"/>
                  <w:vAlign w:val="center"/>
                </w:tcPr>
                <w:p w14:paraId="685C139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p>
              </w:tc>
              <w:tc>
                <w:tcPr>
                  <w:tcW w:w="525" w:type="dxa"/>
                  <w:vMerge w:val="continue"/>
                  <w:shd w:val="clear" w:color="auto" w:fill="auto"/>
                  <w:vAlign w:val="center"/>
                </w:tcPr>
                <w:p w14:paraId="20AE2C1E">
                  <w:pPr>
                    <w:jc w:val="center"/>
                    <w:rPr>
                      <w:rFonts w:hint="eastAsia" w:ascii="宋体" w:hAnsi="宋体" w:eastAsia="宋体" w:cs="宋体"/>
                      <w:b/>
                      <w:bCs/>
                      <w:i w:val="0"/>
                      <w:iCs w:val="0"/>
                      <w:color w:val="auto"/>
                      <w:sz w:val="21"/>
                      <w:szCs w:val="21"/>
                      <w:highlight w:val="none"/>
                      <w:u w:val="none"/>
                    </w:rPr>
                  </w:pPr>
                </w:p>
              </w:tc>
            </w:tr>
            <w:tr w14:paraId="727D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488" w:type="dxa"/>
                  <w:vMerge w:val="continue"/>
                  <w:shd w:val="clear" w:color="auto" w:fill="auto"/>
                  <w:vAlign w:val="center"/>
                </w:tcPr>
                <w:p w14:paraId="572944F6">
                  <w:pPr>
                    <w:jc w:val="center"/>
                    <w:rPr>
                      <w:rFonts w:hint="eastAsia" w:ascii="宋体" w:hAnsi="宋体" w:eastAsia="宋体" w:cs="宋体"/>
                      <w:b/>
                      <w:bCs/>
                      <w:i w:val="0"/>
                      <w:iCs w:val="0"/>
                      <w:color w:val="auto"/>
                      <w:sz w:val="21"/>
                      <w:szCs w:val="21"/>
                      <w:highlight w:val="none"/>
                      <w:u w:val="none"/>
                    </w:rPr>
                  </w:pPr>
                </w:p>
              </w:tc>
              <w:tc>
                <w:tcPr>
                  <w:tcW w:w="900" w:type="dxa"/>
                  <w:vMerge w:val="continue"/>
                  <w:shd w:val="clear" w:color="auto" w:fill="auto"/>
                  <w:vAlign w:val="center"/>
                </w:tcPr>
                <w:p w14:paraId="5D5F1C9A">
                  <w:pPr>
                    <w:jc w:val="center"/>
                    <w:rPr>
                      <w:rFonts w:hint="eastAsia" w:ascii="宋体" w:hAnsi="宋体" w:eastAsia="宋体" w:cs="宋体"/>
                      <w:b/>
                      <w:bCs/>
                      <w:i w:val="0"/>
                      <w:iCs w:val="0"/>
                      <w:color w:val="auto"/>
                      <w:sz w:val="21"/>
                      <w:szCs w:val="21"/>
                      <w:highlight w:val="none"/>
                      <w:u w:val="none"/>
                    </w:rPr>
                  </w:pPr>
                </w:p>
              </w:tc>
              <w:tc>
                <w:tcPr>
                  <w:tcW w:w="690" w:type="dxa"/>
                  <w:shd w:val="clear" w:color="auto" w:fill="auto"/>
                  <w:vAlign w:val="center"/>
                </w:tcPr>
                <w:p w14:paraId="04918E5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r>
                    <w:rPr>
                      <w:rFonts w:hint="eastAsia" w:ascii="宋体" w:hAnsi="宋体" w:eastAsia="宋体" w:cs="宋体"/>
                      <w:b/>
                      <w:bCs/>
                      <w:i w:val="0"/>
                      <w:iCs w:val="0"/>
                      <w:color w:val="auto"/>
                      <w:kern w:val="0"/>
                      <w:sz w:val="21"/>
                      <w:szCs w:val="21"/>
                      <w:highlight w:val="none"/>
                      <w:u w:val="none"/>
                      <w:lang w:val="en-US" w:eastAsia="zh-CN" w:bidi="ar"/>
                    </w:rPr>
                    <w:t>）</w:t>
                  </w:r>
                </w:p>
              </w:tc>
              <w:tc>
                <w:tcPr>
                  <w:tcW w:w="885" w:type="dxa"/>
                  <w:shd w:val="clear" w:color="auto" w:fill="auto"/>
                  <w:vAlign w:val="center"/>
                </w:tcPr>
                <w:p w14:paraId="1E90178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kg/h</w:t>
                  </w:r>
                  <w:r>
                    <w:rPr>
                      <w:rFonts w:hint="eastAsia" w:ascii="宋体" w:hAnsi="宋体" w:eastAsia="宋体" w:cs="宋体"/>
                      <w:b/>
                      <w:bCs/>
                      <w:i w:val="0"/>
                      <w:iCs w:val="0"/>
                      <w:color w:val="auto"/>
                      <w:kern w:val="0"/>
                      <w:sz w:val="21"/>
                      <w:szCs w:val="21"/>
                      <w:highlight w:val="none"/>
                      <w:u w:val="none"/>
                      <w:lang w:val="en-US" w:eastAsia="zh-CN" w:bidi="ar"/>
                    </w:rPr>
                    <w:t>）</w:t>
                  </w:r>
                </w:p>
              </w:tc>
              <w:tc>
                <w:tcPr>
                  <w:tcW w:w="855" w:type="dxa"/>
                  <w:vMerge w:val="continue"/>
                  <w:shd w:val="clear" w:color="auto" w:fill="auto"/>
                  <w:vAlign w:val="center"/>
                </w:tcPr>
                <w:p w14:paraId="2D91FAC4">
                  <w:pPr>
                    <w:jc w:val="center"/>
                    <w:rPr>
                      <w:rFonts w:hint="eastAsia" w:ascii="宋体" w:hAnsi="宋体" w:eastAsia="宋体" w:cs="宋体"/>
                      <w:b/>
                      <w:bCs/>
                      <w:i w:val="0"/>
                      <w:iCs w:val="0"/>
                      <w:color w:val="auto"/>
                      <w:sz w:val="21"/>
                      <w:szCs w:val="21"/>
                      <w:highlight w:val="none"/>
                      <w:u w:val="none"/>
                    </w:rPr>
                  </w:pPr>
                </w:p>
              </w:tc>
              <w:tc>
                <w:tcPr>
                  <w:tcW w:w="540" w:type="dxa"/>
                  <w:vMerge w:val="continue"/>
                  <w:shd w:val="clear" w:color="auto" w:fill="auto"/>
                  <w:vAlign w:val="center"/>
                </w:tcPr>
                <w:p w14:paraId="4A5A8C52">
                  <w:pPr>
                    <w:jc w:val="center"/>
                    <w:rPr>
                      <w:rFonts w:hint="eastAsia" w:ascii="宋体" w:hAnsi="宋体" w:eastAsia="宋体" w:cs="宋体"/>
                      <w:b/>
                      <w:bCs/>
                      <w:i w:val="0"/>
                      <w:iCs w:val="0"/>
                      <w:color w:val="auto"/>
                      <w:sz w:val="21"/>
                      <w:szCs w:val="21"/>
                      <w:highlight w:val="none"/>
                      <w:u w:val="none"/>
                    </w:rPr>
                  </w:pPr>
                </w:p>
              </w:tc>
              <w:tc>
                <w:tcPr>
                  <w:tcW w:w="855" w:type="dxa"/>
                  <w:shd w:val="clear" w:color="auto" w:fill="auto"/>
                  <w:vAlign w:val="center"/>
                </w:tcPr>
                <w:p w14:paraId="2AE2F1C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r>
                    <w:rPr>
                      <w:rFonts w:hint="eastAsia" w:ascii="宋体" w:hAnsi="宋体" w:eastAsia="宋体" w:cs="宋体"/>
                      <w:b/>
                      <w:bCs/>
                      <w:i w:val="0"/>
                      <w:iCs w:val="0"/>
                      <w:color w:val="auto"/>
                      <w:kern w:val="0"/>
                      <w:sz w:val="21"/>
                      <w:szCs w:val="21"/>
                      <w:highlight w:val="none"/>
                      <w:u w:val="none"/>
                      <w:lang w:val="en-US" w:eastAsia="zh-CN" w:bidi="ar"/>
                    </w:rPr>
                    <w:t>）</w:t>
                  </w:r>
                </w:p>
              </w:tc>
              <w:tc>
                <w:tcPr>
                  <w:tcW w:w="825" w:type="dxa"/>
                  <w:shd w:val="clear" w:color="auto" w:fill="auto"/>
                  <w:vAlign w:val="center"/>
                </w:tcPr>
                <w:p w14:paraId="04080AE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kg/h</w:t>
                  </w:r>
                  <w:r>
                    <w:rPr>
                      <w:rFonts w:hint="eastAsia" w:ascii="宋体" w:hAnsi="宋体" w:eastAsia="宋体" w:cs="宋体"/>
                      <w:b/>
                      <w:bCs/>
                      <w:i w:val="0"/>
                      <w:iCs w:val="0"/>
                      <w:color w:val="auto"/>
                      <w:kern w:val="0"/>
                      <w:sz w:val="21"/>
                      <w:szCs w:val="21"/>
                      <w:highlight w:val="none"/>
                      <w:u w:val="none"/>
                      <w:lang w:val="en-US" w:eastAsia="zh-CN" w:bidi="ar"/>
                    </w:rPr>
                    <w:t>）</w:t>
                  </w:r>
                </w:p>
              </w:tc>
              <w:tc>
                <w:tcPr>
                  <w:tcW w:w="735" w:type="dxa"/>
                  <w:vMerge w:val="continue"/>
                  <w:shd w:val="clear" w:color="auto" w:fill="auto"/>
                  <w:vAlign w:val="center"/>
                </w:tcPr>
                <w:p w14:paraId="2AAE54B8">
                  <w:pPr>
                    <w:jc w:val="center"/>
                    <w:rPr>
                      <w:rFonts w:hint="eastAsia" w:ascii="宋体" w:hAnsi="宋体" w:eastAsia="宋体" w:cs="宋体"/>
                      <w:b/>
                      <w:bCs/>
                      <w:i w:val="0"/>
                      <w:iCs w:val="0"/>
                      <w:color w:val="auto"/>
                      <w:sz w:val="21"/>
                      <w:szCs w:val="21"/>
                      <w:highlight w:val="none"/>
                      <w:u w:val="none"/>
                    </w:rPr>
                  </w:pPr>
                </w:p>
              </w:tc>
              <w:tc>
                <w:tcPr>
                  <w:tcW w:w="750" w:type="dxa"/>
                  <w:vMerge w:val="continue"/>
                  <w:shd w:val="clear" w:color="auto" w:fill="auto"/>
                  <w:noWrap/>
                  <w:vAlign w:val="center"/>
                </w:tcPr>
                <w:p w14:paraId="3ADB4E8F">
                  <w:pPr>
                    <w:rPr>
                      <w:rFonts w:hint="eastAsia" w:ascii="宋体" w:hAnsi="宋体" w:eastAsia="宋体" w:cs="宋体"/>
                      <w:b/>
                      <w:bCs/>
                      <w:i w:val="0"/>
                      <w:iCs w:val="0"/>
                      <w:color w:val="auto"/>
                      <w:sz w:val="22"/>
                      <w:szCs w:val="22"/>
                      <w:highlight w:val="none"/>
                      <w:u w:val="none"/>
                    </w:rPr>
                  </w:pPr>
                </w:p>
              </w:tc>
              <w:tc>
                <w:tcPr>
                  <w:tcW w:w="525" w:type="dxa"/>
                  <w:vMerge w:val="continue"/>
                  <w:shd w:val="clear" w:color="auto" w:fill="auto"/>
                  <w:vAlign w:val="center"/>
                </w:tcPr>
                <w:p w14:paraId="1072F8F0">
                  <w:pPr>
                    <w:jc w:val="center"/>
                    <w:rPr>
                      <w:rFonts w:hint="eastAsia" w:ascii="宋体" w:hAnsi="宋体" w:eastAsia="宋体" w:cs="宋体"/>
                      <w:b/>
                      <w:bCs/>
                      <w:i w:val="0"/>
                      <w:iCs w:val="0"/>
                      <w:color w:val="auto"/>
                      <w:sz w:val="21"/>
                      <w:szCs w:val="21"/>
                      <w:highlight w:val="none"/>
                      <w:u w:val="none"/>
                    </w:rPr>
                  </w:pPr>
                </w:p>
              </w:tc>
            </w:tr>
            <w:tr w14:paraId="4211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88" w:type="dxa"/>
                  <w:vMerge w:val="restart"/>
                  <w:shd w:val="clear" w:color="auto" w:fill="auto"/>
                  <w:vAlign w:val="center"/>
                </w:tcPr>
                <w:p w14:paraId="0371B8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生物质锅炉</w:t>
                  </w:r>
                </w:p>
              </w:tc>
              <w:tc>
                <w:tcPr>
                  <w:tcW w:w="900" w:type="dxa"/>
                  <w:shd w:val="clear" w:color="auto" w:fill="auto"/>
                  <w:vAlign w:val="center"/>
                </w:tcPr>
                <w:p w14:paraId="6CAC2D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废气量</w:t>
                  </w:r>
                </w:p>
              </w:tc>
              <w:tc>
                <w:tcPr>
                  <w:tcW w:w="2430" w:type="dxa"/>
                  <w:gridSpan w:val="3"/>
                  <w:shd w:val="clear" w:color="auto" w:fill="auto"/>
                  <w:vAlign w:val="center"/>
                </w:tcPr>
                <w:p w14:paraId="45B32D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3600</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p>
              </w:tc>
              <w:tc>
                <w:tcPr>
                  <w:tcW w:w="540" w:type="dxa"/>
                  <w:shd w:val="clear" w:color="auto" w:fill="auto"/>
                  <w:vAlign w:val="center"/>
                </w:tcPr>
                <w:p w14:paraId="61180D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2415" w:type="dxa"/>
                  <w:gridSpan w:val="3"/>
                  <w:shd w:val="clear" w:color="auto" w:fill="auto"/>
                  <w:vAlign w:val="center"/>
                </w:tcPr>
                <w:p w14:paraId="54A944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3600</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p>
              </w:tc>
              <w:tc>
                <w:tcPr>
                  <w:tcW w:w="750" w:type="dxa"/>
                  <w:vMerge w:val="restart"/>
                  <w:shd w:val="clear" w:color="auto" w:fill="auto"/>
                  <w:vAlign w:val="center"/>
                </w:tcPr>
                <w:p w14:paraId="0CA2E7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525" w:type="dxa"/>
                  <w:vMerge w:val="restart"/>
                  <w:shd w:val="clear" w:color="auto" w:fill="auto"/>
                  <w:vAlign w:val="center"/>
                </w:tcPr>
                <w:p w14:paraId="1A89CB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DA001</w:t>
                  </w:r>
                </w:p>
              </w:tc>
            </w:tr>
            <w:tr w14:paraId="587B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488" w:type="dxa"/>
                  <w:vMerge w:val="continue"/>
                  <w:shd w:val="clear" w:color="auto" w:fill="auto"/>
                  <w:vAlign w:val="center"/>
                </w:tcPr>
                <w:p w14:paraId="381C1818">
                  <w:pPr>
                    <w:jc w:val="center"/>
                    <w:rPr>
                      <w:rFonts w:hint="eastAsia" w:ascii="宋体" w:hAnsi="宋体" w:eastAsia="宋体" w:cs="宋体"/>
                      <w:i w:val="0"/>
                      <w:iCs w:val="0"/>
                      <w:color w:val="auto"/>
                      <w:sz w:val="21"/>
                      <w:szCs w:val="21"/>
                      <w:highlight w:val="none"/>
                      <w:u w:val="none"/>
                    </w:rPr>
                  </w:pPr>
                </w:p>
              </w:tc>
              <w:tc>
                <w:tcPr>
                  <w:tcW w:w="900" w:type="dxa"/>
                  <w:shd w:val="clear" w:color="auto" w:fill="auto"/>
                  <w:vAlign w:val="center"/>
                </w:tcPr>
                <w:p w14:paraId="7C3E3A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颗粒物</w:t>
                  </w:r>
                </w:p>
              </w:tc>
              <w:tc>
                <w:tcPr>
                  <w:tcW w:w="690" w:type="dxa"/>
                  <w:shd w:val="clear" w:color="auto" w:fill="auto"/>
                  <w:vAlign w:val="center"/>
                </w:tcPr>
                <w:p w14:paraId="634F7E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1319.44 </w:t>
                  </w:r>
                </w:p>
              </w:tc>
              <w:tc>
                <w:tcPr>
                  <w:tcW w:w="885" w:type="dxa"/>
                  <w:shd w:val="clear" w:color="auto" w:fill="auto"/>
                  <w:vAlign w:val="center"/>
                </w:tcPr>
                <w:p w14:paraId="367E5B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4.750 </w:t>
                  </w:r>
                </w:p>
              </w:tc>
              <w:tc>
                <w:tcPr>
                  <w:tcW w:w="855" w:type="dxa"/>
                  <w:shd w:val="clear" w:color="auto" w:fill="auto"/>
                  <w:vAlign w:val="center"/>
                </w:tcPr>
                <w:p w14:paraId="222E19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11.4</w:t>
                  </w:r>
                </w:p>
              </w:tc>
              <w:tc>
                <w:tcPr>
                  <w:tcW w:w="540" w:type="dxa"/>
                  <w:shd w:val="clear" w:color="auto" w:fill="auto"/>
                  <w:vAlign w:val="center"/>
                </w:tcPr>
                <w:p w14:paraId="1F0C4D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99%</w:t>
                  </w:r>
                </w:p>
              </w:tc>
              <w:tc>
                <w:tcPr>
                  <w:tcW w:w="855" w:type="dxa"/>
                  <w:shd w:val="clear" w:color="auto" w:fill="auto"/>
                  <w:vAlign w:val="center"/>
                </w:tcPr>
                <w:p w14:paraId="604BE2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13.19 </w:t>
                  </w:r>
                </w:p>
              </w:tc>
              <w:tc>
                <w:tcPr>
                  <w:tcW w:w="825" w:type="dxa"/>
                  <w:shd w:val="clear" w:color="auto" w:fill="auto"/>
                  <w:vAlign w:val="center"/>
                </w:tcPr>
                <w:p w14:paraId="65C607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0.048 </w:t>
                  </w:r>
                </w:p>
              </w:tc>
              <w:tc>
                <w:tcPr>
                  <w:tcW w:w="735" w:type="dxa"/>
                  <w:shd w:val="clear" w:color="auto" w:fill="auto"/>
                  <w:vAlign w:val="center"/>
                </w:tcPr>
                <w:p w14:paraId="735905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0.114 </w:t>
                  </w:r>
                </w:p>
              </w:tc>
              <w:tc>
                <w:tcPr>
                  <w:tcW w:w="750" w:type="dxa"/>
                  <w:vMerge w:val="continue"/>
                  <w:shd w:val="clear" w:color="auto" w:fill="auto"/>
                  <w:vAlign w:val="center"/>
                </w:tcPr>
                <w:p w14:paraId="5F748594">
                  <w:pPr>
                    <w:jc w:val="center"/>
                    <w:rPr>
                      <w:rFonts w:hint="default" w:ascii="Times New Roman" w:hAnsi="Times New Roman" w:eastAsia="宋体" w:cs="Times New Roman"/>
                      <w:i w:val="0"/>
                      <w:iCs w:val="0"/>
                      <w:color w:val="auto"/>
                      <w:sz w:val="21"/>
                      <w:szCs w:val="21"/>
                      <w:highlight w:val="none"/>
                      <w:u w:val="none"/>
                    </w:rPr>
                  </w:pPr>
                </w:p>
              </w:tc>
              <w:tc>
                <w:tcPr>
                  <w:tcW w:w="525" w:type="dxa"/>
                  <w:vMerge w:val="continue"/>
                  <w:shd w:val="clear" w:color="auto" w:fill="auto"/>
                  <w:vAlign w:val="center"/>
                </w:tcPr>
                <w:p w14:paraId="0AB59A8B">
                  <w:pPr>
                    <w:jc w:val="center"/>
                    <w:rPr>
                      <w:rFonts w:hint="default" w:ascii="Times New Roman" w:hAnsi="Times New Roman" w:eastAsia="宋体" w:cs="Times New Roman"/>
                      <w:i w:val="0"/>
                      <w:iCs w:val="0"/>
                      <w:color w:val="auto"/>
                      <w:sz w:val="21"/>
                      <w:szCs w:val="21"/>
                      <w:highlight w:val="none"/>
                      <w:u w:val="none"/>
                    </w:rPr>
                  </w:pPr>
                </w:p>
              </w:tc>
            </w:tr>
            <w:tr w14:paraId="3268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488" w:type="dxa"/>
                  <w:vMerge w:val="continue"/>
                  <w:shd w:val="clear" w:color="auto" w:fill="auto"/>
                  <w:vAlign w:val="center"/>
                </w:tcPr>
                <w:p w14:paraId="676605BA">
                  <w:pPr>
                    <w:jc w:val="center"/>
                    <w:rPr>
                      <w:rFonts w:hint="eastAsia" w:ascii="宋体" w:hAnsi="宋体" w:eastAsia="宋体" w:cs="宋体"/>
                      <w:i w:val="0"/>
                      <w:iCs w:val="0"/>
                      <w:color w:val="auto"/>
                      <w:sz w:val="21"/>
                      <w:szCs w:val="21"/>
                      <w:highlight w:val="none"/>
                      <w:u w:val="none"/>
                    </w:rPr>
                  </w:pPr>
                </w:p>
              </w:tc>
              <w:tc>
                <w:tcPr>
                  <w:tcW w:w="900" w:type="dxa"/>
                  <w:shd w:val="clear" w:color="auto" w:fill="auto"/>
                  <w:vAlign w:val="center"/>
                </w:tcPr>
                <w:p w14:paraId="353939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Style w:val="79"/>
                      <w:rFonts w:eastAsia="宋体"/>
                      <w:color w:val="auto"/>
                      <w:highlight w:val="none"/>
                      <w:lang w:val="en-US" w:eastAsia="zh-CN" w:bidi="ar"/>
                    </w:rPr>
                    <w:t>2</w:t>
                  </w:r>
                </w:p>
              </w:tc>
              <w:tc>
                <w:tcPr>
                  <w:tcW w:w="690" w:type="dxa"/>
                  <w:shd w:val="clear" w:color="auto" w:fill="auto"/>
                  <w:vAlign w:val="center"/>
                </w:tcPr>
                <w:p w14:paraId="1137B1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20.25 </w:t>
                  </w:r>
                </w:p>
              </w:tc>
              <w:tc>
                <w:tcPr>
                  <w:tcW w:w="885" w:type="dxa"/>
                  <w:shd w:val="clear" w:color="auto" w:fill="auto"/>
                  <w:vAlign w:val="center"/>
                </w:tcPr>
                <w:p w14:paraId="6C789B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0.073 </w:t>
                  </w:r>
                </w:p>
              </w:tc>
              <w:tc>
                <w:tcPr>
                  <w:tcW w:w="855" w:type="dxa"/>
                  <w:shd w:val="clear" w:color="auto" w:fill="auto"/>
                  <w:vAlign w:val="center"/>
                </w:tcPr>
                <w:p w14:paraId="66B1A2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0.175 </w:t>
                  </w:r>
                </w:p>
              </w:tc>
              <w:tc>
                <w:tcPr>
                  <w:tcW w:w="540" w:type="dxa"/>
                  <w:shd w:val="clear" w:color="auto" w:fill="auto"/>
                  <w:vAlign w:val="center"/>
                </w:tcPr>
                <w:p w14:paraId="53618E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55" w:type="dxa"/>
                  <w:shd w:val="clear" w:color="auto" w:fill="auto"/>
                  <w:vAlign w:val="center"/>
                </w:tcPr>
                <w:p w14:paraId="6F2D0F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20.25 </w:t>
                  </w:r>
                </w:p>
              </w:tc>
              <w:tc>
                <w:tcPr>
                  <w:tcW w:w="825" w:type="dxa"/>
                  <w:shd w:val="clear" w:color="auto" w:fill="auto"/>
                  <w:vAlign w:val="center"/>
                </w:tcPr>
                <w:p w14:paraId="31F078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0.073 </w:t>
                  </w:r>
                </w:p>
              </w:tc>
              <w:tc>
                <w:tcPr>
                  <w:tcW w:w="735" w:type="dxa"/>
                  <w:shd w:val="clear" w:color="auto" w:fill="auto"/>
                  <w:vAlign w:val="center"/>
                </w:tcPr>
                <w:p w14:paraId="48CAA0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0.175 </w:t>
                  </w:r>
                </w:p>
              </w:tc>
              <w:tc>
                <w:tcPr>
                  <w:tcW w:w="750" w:type="dxa"/>
                  <w:vMerge w:val="continue"/>
                  <w:shd w:val="clear" w:color="auto" w:fill="auto"/>
                  <w:vAlign w:val="center"/>
                </w:tcPr>
                <w:p w14:paraId="56F4DC83">
                  <w:pPr>
                    <w:jc w:val="center"/>
                    <w:rPr>
                      <w:rFonts w:hint="default" w:ascii="Times New Roman" w:hAnsi="Times New Roman" w:eastAsia="宋体" w:cs="Times New Roman"/>
                      <w:i w:val="0"/>
                      <w:iCs w:val="0"/>
                      <w:color w:val="auto"/>
                      <w:sz w:val="21"/>
                      <w:szCs w:val="21"/>
                      <w:highlight w:val="none"/>
                      <w:u w:val="none"/>
                    </w:rPr>
                  </w:pPr>
                </w:p>
              </w:tc>
              <w:tc>
                <w:tcPr>
                  <w:tcW w:w="525" w:type="dxa"/>
                  <w:vMerge w:val="continue"/>
                  <w:shd w:val="clear" w:color="auto" w:fill="auto"/>
                  <w:vAlign w:val="center"/>
                </w:tcPr>
                <w:p w14:paraId="6A2CFF30">
                  <w:pPr>
                    <w:jc w:val="center"/>
                    <w:rPr>
                      <w:rFonts w:hint="default" w:ascii="Times New Roman" w:hAnsi="Times New Roman" w:eastAsia="宋体" w:cs="Times New Roman"/>
                      <w:i w:val="0"/>
                      <w:iCs w:val="0"/>
                      <w:color w:val="auto"/>
                      <w:sz w:val="21"/>
                      <w:szCs w:val="21"/>
                      <w:highlight w:val="none"/>
                      <w:u w:val="none"/>
                    </w:rPr>
                  </w:pPr>
                </w:p>
              </w:tc>
            </w:tr>
            <w:tr w14:paraId="1D72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488" w:type="dxa"/>
                  <w:vMerge w:val="continue"/>
                  <w:shd w:val="clear" w:color="auto" w:fill="auto"/>
                  <w:vAlign w:val="center"/>
                </w:tcPr>
                <w:p w14:paraId="113DCF6E">
                  <w:pPr>
                    <w:jc w:val="center"/>
                    <w:rPr>
                      <w:rFonts w:hint="eastAsia" w:ascii="宋体" w:hAnsi="宋体" w:eastAsia="宋体" w:cs="宋体"/>
                      <w:i w:val="0"/>
                      <w:iCs w:val="0"/>
                      <w:color w:val="auto"/>
                      <w:sz w:val="21"/>
                      <w:szCs w:val="21"/>
                      <w:highlight w:val="none"/>
                      <w:u w:val="none"/>
                    </w:rPr>
                  </w:pPr>
                </w:p>
              </w:tc>
              <w:tc>
                <w:tcPr>
                  <w:tcW w:w="900" w:type="dxa"/>
                  <w:shd w:val="clear" w:color="auto" w:fill="auto"/>
                  <w:vAlign w:val="center"/>
                </w:tcPr>
                <w:p w14:paraId="1BC07A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690" w:type="dxa"/>
                  <w:shd w:val="clear" w:color="auto" w:fill="auto"/>
                  <w:vAlign w:val="center"/>
                </w:tcPr>
                <w:p w14:paraId="58533D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200 </w:t>
                  </w:r>
                </w:p>
              </w:tc>
              <w:tc>
                <w:tcPr>
                  <w:tcW w:w="885" w:type="dxa"/>
                  <w:shd w:val="clear" w:color="auto" w:fill="auto"/>
                  <w:vAlign w:val="center"/>
                </w:tcPr>
                <w:p w14:paraId="6CC6D4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0.72 </w:t>
                  </w:r>
                </w:p>
              </w:tc>
              <w:tc>
                <w:tcPr>
                  <w:tcW w:w="855" w:type="dxa"/>
                  <w:shd w:val="clear" w:color="auto" w:fill="auto"/>
                  <w:vAlign w:val="center"/>
                </w:tcPr>
                <w:p w14:paraId="784633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1.73 </w:t>
                  </w:r>
                </w:p>
              </w:tc>
              <w:tc>
                <w:tcPr>
                  <w:tcW w:w="540" w:type="dxa"/>
                  <w:shd w:val="clear" w:color="auto" w:fill="auto"/>
                  <w:vAlign w:val="center"/>
                </w:tcPr>
                <w:p w14:paraId="0B17E7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55" w:type="dxa"/>
                  <w:shd w:val="clear" w:color="auto" w:fill="auto"/>
                  <w:vAlign w:val="center"/>
                </w:tcPr>
                <w:p w14:paraId="51E9E4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200 </w:t>
                  </w:r>
                </w:p>
              </w:tc>
              <w:tc>
                <w:tcPr>
                  <w:tcW w:w="825" w:type="dxa"/>
                  <w:shd w:val="clear" w:color="auto" w:fill="auto"/>
                  <w:vAlign w:val="center"/>
                </w:tcPr>
                <w:p w14:paraId="737627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0.72 </w:t>
                  </w:r>
                </w:p>
              </w:tc>
              <w:tc>
                <w:tcPr>
                  <w:tcW w:w="735" w:type="dxa"/>
                  <w:shd w:val="clear" w:color="auto" w:fill="auto"/>
                  <w:vAlign w:val="center"/>
                </w:tcPr>
                <w:p w14:paraId="2D41CB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 xml:space="preserve">1.728 </w:t>
                  </w:r>
                </w:p>
              </w:tc>
              <w:tc>
                <w:tcPr>
                  <w:tcW w:w="750" w:type="dxa"/>
                  <w:vMerge w:val="continue"/>
                  <w:shd w:val="clear" w:color="auto" w:fill="auto"/>
                  <w:vAlign w:val="center"/>
                </w:tcPr>
                <w:p w14:paraId="49419E4C">
                  <w:pPr>
                    <w:jc w:val="center"/>
                    <w:rPr>
                      <w:rFonts w:hint="default" w:ascii="Times New Roman" w:hAnsi="Times New Roman" w:eastAsia="宋体" w:cs="Times New Roman"/>
                      <w:i w:val="0"/>
                      <w:iCs w:val="0"/>
                      <w:color w:val="auto"/>
                      <w:sz w:val="21"/>
                      <w:szCs w:val="21"/>
                      <w:highlight w:val="none"/>
                      <w:u w:val="none"/>
                    </w:rPr>
                  </w:pPr>
                </w:p>
              </w:tc>
              <w:tc>
                <w:tcPr>
                  <w:tcW w:w="525" w:type="dxa"/>
                  <w:vMerge w:val="continue"/>
                  <w:shd w:val="clear" w:color="auto" w:fill="auto"/>
                  <w:vAlign w:val="center"/>
                </w:tcPr>
                <w:p w14:paraId="479976AF">
                  <w:pPr>
                    <w:jc w:val="center"/>
                    <w:rPr>
                      <w:rFonts w:hint="default" w:ascii="Times New Roman" w:hAnsi="Times New Roman" w:eastAsia="宋体" w:cs="Times New Roman"/>
                      <w:i w:val="0"/>
                      <w:iCs w:val="0"/>
                      <w:color w:val="auto"/>
                      <w:sz w:val="21"/>
                      <w:szCs w:val="21"/>
                      <w:highlight w:val="none"/>
                      <w:u w:val="none"/>
                    </w:rPr>
                  </w:pPr>
                </w:p>
              </w:tc>
            </w:tr>
          </w:tbl>
          <w:p w14:paraId="1F11E5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由上表可知，项目生物质锅炉</w:t>
            </w:r>
            <w:r>
              <w:rPr>
                <w:rFonts w:hint="eastAsia" w:cs="Times New Roman"/>
                <w:b w:val="0"/>
                <w:bCs w:val="0"/>
                <w:color w:val="auto"/>
                <w:sz w:val="24"/>
                <w:szCs w:val="24"/>
                <w:highlight w:val="none"/>
                <w:lang w:val="en-US" w:eastAsia="zh-CN"/>
              </w:rPr>
              <w:t>产生的废气</w:t>
            </w:r>
            <w:r>
              <w:rPr>
                <w:rFonts w:hint="eastAsia" w:ascii="Times New Roman" w:hAnsi="Times New Roman" w:eastAsia="宋体" w:cs="Times New Roman"/>
                <w:b w:val="0"/>
                <w:bCs w:val="0"/>
                <w:color w:val="auto"/>
                <w:sz w:val="24"/>
                <w:szCs w:val="24"/>
                <w:highlight w:val="none"/>
                <w:lang w:val="en-US" w:eastAsia="zh-CN"/>
              </w:rPr>
              <w:t>经“</w:t>
            </w:r>
            <w:r>
              <w:rPr>
                <w:rFonts w:hint="default" w:ascii="Times New Roman" w:hAnsi="Times New Roman" w:cs="Times New Roman"/>
                <w:color w:val="auto"/>
                <w:sz w:val="24"/>
                <w:szCs w:val="24"/>
                <w:highlight w:val="none"/>
                <w:lang w:val="en-US" w:eastAsia="zh-CN"/>
              </w:rPr>
              <w:t>多管旋风除尘器+</w:t>
            </w:r>
            <w:r>
              <w:rPr>
                <w:rFonts w:hint="eastAsia" w:ascii="Times New Roman" w:hAnsi="Times New Roman" w:cs="Times New Roman"/>
                <w:color w:val="auto"/>
                <w:sz w:val="24"/>
                <w:szCs w:val="24"/>
                <w:highlight w:val="none"/>
                <w:lang w:val="en-US" w:eastAsia="zh-CN"/>
              </w:rPr>
              <w:t>布袋除尘器</w:t>
            </w:r>
            <w:r>
              <w:rPr>
                <w:rFonts w:hint="eastAsia" w:ascii="Times New Roman" w:hAnsi="Times New Roman" w:eastAsia="宋体" w:cs="Times New Roman"/>
                <w:b w:val="0"/>
                <w:bCs w:val="0"/>
                <w:color w:val="auto"/>
                <w:sz w:val="24"/>
                <w:szCs w:val="24"/>
                <w:highlight w:val="none"/>
                <w:lang w:val="en-US" w:eastAsia="zh-CN"/>
              </w:rPr>
              <w:t>”处理后，</w:t>
            </w:r>
            <w:r>
              <w:rPr>
                <w:rFonts w:hint="eastAsia" w:cs="Times New Roman"/>
                <w:b w:val="0"/>
                <w:bCs w:val="0"/>
                <w:color w:val="auto"/>
                <w:sz w:val="24"/>
                <w:szCs w:val="24"/>
                <w:highlight w:val="none"/>
                <w:lang w:val="en-US" w:eastAsia="zh-CN"/>
              </w:rPr>
              <w:t>通过</w:t>
            </w:r>
            <w:r>
              <w:rPr>
                <w:rFonts w:hint="eastAsia" w:ascii="Times New Roman" w:hAnsi="Times New Roman" w:eastAsia="宋体" w:cs="Times New Roman"/>
                <w:b w:val="0"/>
                <w:bCs w:val="0"/>
                <w:color w:val="auto"/>
                <w:sz w:val="24"/>
                <w:szCs w:val="24"/>
                <w:highlight w:val="none"/>
                <w:lang w:val="en-US" w:eastAsia="zh-CN"/>
              </w:rPr>
              <w:t>1根30m高的排气筒（DA001）排放，各污染物的排放浓度能满足《锅炉大气污染物排放标准》（GB13271-2014）中新建燃煤锅炉大气污染物排放标准限值，即：颗粒物</w:t>
            </w:r>
            <w:r>
              <w:rPr>
                <w:rFonts w:hint="default" w:ascii="Times New Roman" w:hAnsi="Times New Roman" w:eastAsia="宋体" w:cs="Times New Roman"/>
                <w:b w:val="0"/>
                <w:bCs w:val="0"/>
                <w:color w:val="auto"/>
                <w:sz w:val="24"/>
                <w:szCs w:val="24"/>
                <w:highlight w:val="none"/>
                <w:lang w:val="en-US" w:eastAsia="zh-CN"/>
              </w:rPr>
              <w:t>≤50mg/m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二氧化硫</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300</w:t>
            </w:r>
            <w:r>
              <w:rPr>
                <w:rFonts w:hint="default" w:ascii="Times New Roman" w:hAnsi="Times New Roman" w:eastAsia="宋体" w:cs="Times New Roman"/>
                <w:b w:val="0"/>
                <w:bCs w:val="0"/>
                <w:color w:val="auto"/>
                <w:sz w:val="24"/>
                <w:szCs w:val="24"/>
                <w:highlight w:val="none"/>
                <w:lang w:val="en-US" w:eastAsia="zh-CN"/>
              </w:rPr>
              <w:t>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vertAlign w:val="baseline"/>
                <w:lang w:val="en-US" w:eastAsia="zh-CN"/>
              </w:rPr>
              <w:t>，氮氧化物</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300</w:t>
            </w:r>
            <w:r>
              <w:rPr>
                <w:rFonts w:hint="default" w:ascii="Times New Roman" w:hAnsi="Times New Roman" w:eastAsia="宋体" w:cs="Times New Roman"/>
                <w:b w:val="0"/>
                <w:bCs w:val="0"/>
                <w:color w:val="auto"/>
                <w:sz w:val="24"/>
                <w:szCs w:val="24"/>
                <w:highlight w:val="none"/>
                <w:lang w:val="en-US" w:eastAsia="zh-CN"/>
              </w:rPr>
              <w:t>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lang w:val="en-US" w:eastAsia="zh-CN"/>
              </w:rPr>
              <w:t>。</w:t>
            </w:r>
          </w:p>
          <w:p w14:paraId="0936A3E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center"/>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lang w:eastAsia="zh-CN"/>
              </w:rPr>
              <w:t>）</w:t>
            </w:r>
            <w:r>
              <w:rPr>
                <w:rFonts w:hint="eastAsia" w:cs="Times New Roman"/>
                <w:b/>
                <w:bCs/>
                <w:color w:val="auto"/>
                <w:sz w:val="24"/>
                <w:lang w:val="en-US" w:eastAsia="zh-CN"/>
              </w:rPr>
              <w:t>生物质锅炉炉渣清灰</w:t>
            </w:r>
            <w:r>
              <w:rPr>
                <w:rFonts w:hint="default" w:ascii="Times New Roman" w:hAnsi="Times New Roman" w:cs="Times New Roman"/>
                <w:b/>
                <w:bCs/>
                <w:color w:val="auto"/>
                <w:sz w:val="24"/>
                <w:lang w:val="en-US" w:eastAsia="zh-CN"/>
              </w:rPr>
              <w:t>粉尘</w:t>
            </w:r>
            <w:r>
              <w:rPr>
                <w:rFonts w:hint="eastAsia" w:cs="Times New Roman"/>
                <w:b/>
                <w:bCs/>
                <w:color w:val="auto"/>
                <w:sz w:val="24"/>
                <w:lang w:val="en-US" w:eastAsia="zh-CN"/>
              </w:rPr>
              <w:t>（G2）</w:t>
            </w:r>
          </w:p>
          <w:p w14:paraId="25C4B4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center"/>
              <w:rPr>
                <w:rFonts w:hint="default" w:ascii="Times New Roman" w:hAnsi="Times New Roman" w:cs="Times New Roman"/>
                <w:color w:val="auto"/>
                <w:sz w:val="24"/>
                <w:szCs w:val="24"/>
                <w:lang w:val="en-US" w:eastAsia="zh-CN"/>
              </w:rPr>
            </w:pPr>
            <w:r>
              <w:rPr>
                <w:rFonts w:hint="eastAsia" w:cs="Times New Roman"/>
                <w:b w:val="0"/>
                <w:bCs w:val="0"/>
                <w:color w:val="auto"/>
                <w:sz w:val="24"/>
                <w:lang w:val="en-US" w:eastAsia="zh-CN"/>
              </w:rPr>
              <w:t>生物质锅炉炉渣清灰过程中会产生粉尘，为无组织排放，根据固废中炉渣的核算，炉渣的产生量为39.74t/a，粉尘的产生量按1%计，故本项目生物质锅炉清灰过程粉尘的产生量为0.397t/a。</w:t>
            </w:r>
          </w:p>
          <w:p w14:paraId="5DB27D1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center"/>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eastAsia="zh-CN"/>
              </w:rPr>
              <w:t>（</w:t>
            </w:r>
            <w:r>
              <w:rPr>
                <w:rFonts w:hint="eastAsia" w:cs="Times New Roman"/>
                <w:b/>
                <w:bCs/>
                <w:color w:val="auto"/>
                <w:sz w:val="24"/>
                <w:lang w:val="en-US" w:eastAsia="zh-CN"/>
              </w:rPr>
              <w:t>3</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生产车间异味</w:t>
            </w:r>
            <w:r>
              <w:rPr>
                <w:rFonts w:hint="eastAsia" w:cs="Times New Roman"/>
                <w:b/>
                <w:bCs/>
                <w:color w:val="auto"/>
                <w:sz w:val="24"/>
                <w:lang w:val="en-US" w:eastAsia="zh-CN"/>
              </w:rPr>
              <w:t>（G3）</w:t>
            </w:r>
          </w:p>
          <w:p w14:paraId="35E14B00">
            <w:pPr>
              <w:spacing w:line="360" w:lineRule="auto"/>
              <w:ind w:firstLine="480" w:firstLineChars="200"/>
              <w:textAlignment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项目水果人工挑选、</w:t>
            </w:r>
            <w:r>
              <w:rPr>
                <w:rFonts w:hint="default" w:ascii="Times New Roman" w:hAnsi="Times New Roman" w:cs="Times New Roman"/>
                <w:b w:val="0"/>
                <w:bCs/>
                <w:color w:val="auto"/>
                <w:sz w:val="24"/>
                <w:szCs w:val="24"/>
                <w:lang w:val="en-US" w:eastAsia="zh-CN"/>
              </w:rPr>
              <w:t>去梗、挑选、去皮、去核工序产生的废果、废果皮、废核，以及打浆、去杂质精制环节产生的废果渣堆存过程中会挥发微量的异味，经稀释扩散后呈无组织排放。</w:t>
            </w:r>
          </w:p>
          <w:p w14:paraId="4E90B355">
            <w:pPr>
              <w:spacing w:line="360" w:lineRule="auto"/>
              <w:ind w:firstLine="482" w:firstLineChars="200"/>
              <w:textAlignment w:val="center"/>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w:t>
            </w:r>
            <w:r>
              <w:rPr>
                <w:rFonts w:hint="eastAsia" w:cs="Times New Roman"/>
                <w:b/>
                <w:bCs/>
                <w:color w:val="auto"/>
                <w:sz w:val="24"/>
                <w:lang w:val="en-US" w:eastAsia="zh-CN"/>
              </w:rPr>
              <w:t>4</w:t>
            </w:r>
            <w:r>
              <w:rPr>
                <w:rFonts w:hint="default" w:ascii="Times New Roman" w:hAnsi="Times New Roman" w:cs="Times New Roman"/>
                <w:b/>
                <w:bCs/>
                <w:color w:val="auto"/>
                <w:sz w:val="24"/>
                <w:lang w:val="en-US" w:eastAsia="zh-CN"/>
              </w:rPr>
              <w:t>）一体化污水处理站废气</w:t>
            </w:r>
            <w:r>
              <w:rPr>
                <w:rFonts w:hint="eastAsia" w:cs="Times New Roman"/>
                <w:b/>
                <w:bCs/>
                <w:color w:val="auto"/>
                <w:sz w:val="24"/>
                <w:lang w:val="en-US" w:eastAsia="zh-CN"/>
              </w:rPr>
              <w:t>（G4）</w:t>
            </w:r>
          </w:p>
          <w:p w14:paraId="045BF660">
            <w:pPr>
              <w:spacing w:line="360" w:lineRule="auto"/>
              <w:ind w:firstLine="480" w:firstLineChars="200"/>
              <w:textAlignment w:val="center"/>
              <w:rPr>
                <w:rFonts w:hint="default" w:ascii="Times New Roman" w:hAnsi="Times New Roman" w:cs="Times New Roman"/>
                <w:b/>
                <w:bCs/>
                <w:color w:val="auto"/>
                <w:sz w:val="24"/>
                <w:lang w:val="en-US" w:eastAsia="zh-CN"/>
              </w:rPr>
            </w:pPr>
            <w:r>
              <w:rPr>
                <w:rFonts w:hint="default" w:ascii="Times New Roman" w:hAnsi="Times New Roman" w:cs="Times New Roman"/>
                <w:b w:val="0"/>
                <w:bCs w:val="0"/>
                <w:color w:val="auto"/>
                <w:sz w:val="24"/>
                <w:lang w:val="en-US" w:eastAsia="zh-CN"/>
              </w:rPr>
              <w:t>项目一体化污水处理站运行过程中会产生少量的臭气浓度、氨和硫化氢，经稀释扩散后呈无组织排放。</w:t>
            </w:r>
          </w:p>
          <w:p w14:paraId="264337EC">
            <w:pPr>
              <w:keepNext w:val="0"/>
              <w:keepLines w:val="0"/>
              <w:pageBreakBefore w:val="0"/>
              <w:widowControl w:val="0"/>
              <w:kinsoku/>
              <w:wordWrap/>
              <w:overflowPunct/>
              <w:topLinePunct w:val="0"/>
              <w:autoSpaceDE/>
              <w:autoSpaceDN/>
              <w:bidi w:val="0"/>
              <w:spacing w:line="360" w:lineRule="auto"/>
              <w:ind w:right="0" w:firstLine="482" w:firstLineChars="200"/>
              <w:textAlignment w:val="center"/>
              <w:rPr>
                <w:rFonts w:hint="default" w:ascii="Times New Roman" w:hAnsi="Times New Roman" w:cs="Times New Roman"/>
                <w:b/>
                <w:bCs/>
                <w:color w:val="auto"/>
                <w:sz w:val="24"/>
                <w:lang w:val="en-US" w:eastAsia="zh-CN"/>
              </w:rPr>
            </w:pPr>
            <w:r>
              <w:rPr>
                <w:rFonts w:hint="eastAsia" w:cs="Times New Roman"/>
                <w:b/>
                <w:bCs/>
                <w:color w:val="auto"/>
                <w:sz w:val="24"/>
                <w:lang w:val="en-US" w:eastAsia="zh-CN"/>
              </w:rPr>
              <w:t>（5）小结</w:t>
            </w:r>
          </w:p>
          <w:p w14:paraId="49B6CB56">
            <w:pPr>
              <w:pStyle w:val="21"/>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项目各污染物有组织排放信息及排放标准汇总情况见表4-</w:t>
            </w:r>
            <w:r>
              <w:rPr>
                <w:rFonts w:hint="eastAsia" w:ascii="Times New Roman" w:hAnsi="Times New Roman"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本次技改项目</w:t>
            </w:r>
            <w:r>
              <w:rPr>
                <w:rFonts w:hint="eastAsia" w:ascii="Times New Roman" w:hAnsi="Times New Roman" w:eastAsia="宋体" w:cs="Times New Roman"/>
                <w:color w:val="auto"/>
                <w:sz w:val="24"/>
                <w:szCs w:val="24"/>
                <w:highlight w:val="none"/>
                <w:lang w:val="en-US" w:eastAsia="zh-CN"/>
              </w:rPr>
              <w:t>大气污染物年排放量核算见表4-</w:t>
            </w:r>
            <w:r>
              <w:rPr>
                <w:rFonts w:hint="eastAsia" w:ascii="Times New Roman" w:hAnsi="Times New Roman" w:cs="Times New Roman"/>
                <w:color w:val="auto"/>
                <w:sz w:val="24"/>
                <w:szCs w:val="24"/>
                <w:highlight w:val="none"/>
                <w:lang w:val="en-US" w:eastAsia="zh-CN"/>
              </w:rPr>
              <w:t>4，技改前后大气</w:t>
            </w:r>
            <w:r>
              <w:rPr>
                <w:rFonts w:hint="eastAsia" w:ascii="Times New Roman" w:hAnsi="Times New Roman" w:eastAsia="宋体" w:cs="Times New Roman"/>
                <w:color w:val="auto"/>
                <w:sz w:val="24"/>
                <w:szCs w:val="24"/>
                <w:highlight w:val="none"/>
                <w:lang w:val="en-US" w:eastAsia="zh-CN"/>
              </w:rPr>
              <w:t>污染物年排放量</w:t>
            </w:r>
            <w:r>
              <w:rPr>
                <w:rFonts w:hint="eastAsia" w:ascii="Times New Roman" w:hAnsi="Times New Roman" w:cs="Times New Roman"/>
                <w:color w:val="auto"/>
                <w:sz w:val="24"/>
                <w:szCs w:val="24"/>
                <w:highlight w:val="none"/>
                <w:lang w:val="en-US" w:eastAsia="zh-CN"/>
              </w:rPr>
              <w:t>对比情况见表4-5。</w:t>
            </w:r>
          </w:p>
          <w:p w14:paraId="7B600792">
            <w:pPr>
              <w:spacing w:line="240" w:lineRule="auto"/>
              <w:jc w:val="center"/>
              <w:rPr>
                <w:rFonts w:hint="default"/>
                <w:b/>
                <w:bCs/>
                <w:color w:val="auto"/>
                <w:sz w:val="21"/>
                <w:szCs w:val="21"/>
                <w:highlight w:val="none"/>
                <w:lang w:val="en-US"/>
              </w:rPr>
            </w:pPr>
            <w:r>
              <w:rPr>
                <w:b/>
                <w:bCs/>
                <w:color w:val="auto"/>
                <w:sz w:val="21"/>
                <w:szCs w:val="21"/>
                <w:highlight w:val="none"/>
              </w:rPr>
              <w:t>表</w:t>
            </w:r>
            <w:r>
              <w:rPr>
                <w:rFonts w:hint="eastAsia"/>
                <w:b/>
                <w:bCs/>
                <w:color w:val="auto"/>
                <w:sz w:val="21"/>
                <w:szCs w:val="21"/>
                <w:highlight w:val="none"/>
                <w:lang w:val="en-US" w:eastAsia="zh-CN"/>
              </w:rPr>
              <w:t>4-3 项目各污染物有组织排放信息及排放标准汇总表</w:t>
            </w:r>
          </w:p>
          <w:tbl>
            <w:tblPr>
              <w:tblStyle w:val="23"/>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637"/>
              <w:gridCol w:w="365"/>
              <w:gridCol w:w="387"/>
              <w:gridCol w:w="453"/>
              <w:gridCol w:w="463"/>
              <w:gridCol w:w="547"/>
              <w:gridCol w:w="568"/>
              <w:gridCol w:w="346"/>
              <w:gridCol w:w="652"/>
              <w:gridCol w:w="587"/>
              <w:gridCol w:w="703"/>
              <w:gridCol w:w="1426"/>
              <w:gridCol w:w="434"/>
            </w:tblGrid>
            <w:tr w14:paraId="679E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29" w:type="dxa"/>
                  <w:vMerge w:val="restart"/>
                  <w:noWrap w:val="0"/>
                  <w:vAlign w:val="center"/>
                </w:tcPr>
                <w:p w14:paraId="749D4E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污染源</w:t>
                  </w:r>
                </w:p>
              </w:tc>
              <w:tc>
                <w:tcPr>
                  <w:tcW w:w="637" w:type="dxa"/>
                  <w:vMerge w:val="restart"/>
                  <w:noWrap w:val="0"/>
                  <w:vAlign w:val="center"/>
                </w:tcPr>
                <w:p w14:paraId="4BC6BB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污染物</w:t>
                  </w:r>
                </w:p>
              </w:tc>
              <w:tc>
                <w:tcPr>
                  <w:tcW w:w="3129" w:type="dxa"/>
                  <w:gridSpan w:val="7"/>
                  <w:noWrap w:val="0"/>
                  <w:vAlign w:val="center"/>
                </w:tcPr>
                <w:p w14:paraId="20B559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排气筒</w:t>
                  </w:r>
                </w:p>
              </w:tc>
              <w:tc>
                <w:tcPr>
                  <w:tcW w:w="3368" w:type="dxa"/>
                  <w:gridSpan w:val="4"/>
                  <w:noWrap w:val="0"/>
                  <w:vAlign w:val="center"/>
                </w:tcPr>
                <w:p w14:paraId="597012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排放情况及执行标准</w:t>
                  </w:r>
                </w:p>
              </w:tc>
              <w:tc>
                <w:tcPr>
                  <w:tcW w:w="434" w:type="dxa"/>
                  <w:vMerge w:val="restart"/>
                  <w:noWrap w:val="0"/>
                  <w:vAlign w:val="center"/>
                </w:tcPr>
                <w:p w14:paraId="0B28FF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达标情况</w:t>
                  </w:r>
                </w:p>
              </w:tc>
            </w:tr>
            <w:tr w14:paraId="4039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429" w:type="dxa"/>
                  <w:vMerge w:val="continue"/>
                  <w:noWrap w:val="0"/>
                  <w:vAlign w:val="center"/>
                </w:tcPr>
                <w:p w14:paraId="08A51C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highlight w:val="none"/>
                      <w:vertAlign w:val="baseline"/>
                      <w:lang w:val="en-US" w:eastAsia="zh-CN"/>
                    </w:rPr>
                  </w:pPr>
                </w:p>
              </w:tc>
              <w:tc>
                <w:tcPr>
                  <w:tcW w:w="637" w:type="dxa"/>
                  <w:vMerge w:val="continue"/>
                  <w:noWrap w:val="0"/>
                  <w:vAlign w:val="center"/>
                </w:tcPr>
                <w:p w14:paraId="3FA2EC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highlight w:val="none"/>
                      <w:vertAlign w:val="baseline"/>
                      <w:lang w:val="en-US" w:eastAsia="zh-CN"/>
                    </w:rPr>
                  </w:pPr>
                </w:p>
              </w:tc>
              <w:tc>
                <w:tcPr>
                  <w:tcW w:w="365" w:type="dxa"/>
                  <w:vMerge w:val="restart"/>
                  <w:noWrap w:val="0"/>
                  <w:vAlign w:val="center"/>
                </w:tcPr>
                <w:p w14:paraId="1E345B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编号</w:t>
                  </w:r>
                </w:p>
              </w:tc>
              <w:tc>
                <w:tcPr>
                  <w:tcW w:w="387" w:type="dxa"/>
                  <w:vMerge w:val="restart"/>
                  <w:noWrap w:val="0"/>
                  <w:vAlign w:val="center"/>
                </w:tcPr>
                <w:p w14:paraId="146FAC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高度m</w:t>
                  </w:r>
                </w:p>
              </w:tc>
              <w:tc>
                <w:tcPr>
                  <w:tcW w:w="453" w:type="dxa"/>
                  <w:vMerge w:val="restart"/>
                  <w:noWrap w:val="0"/>
                  <w:vAlign w:val="center"/>
                </w:tcPr>
                <w:p w14:paraId="6D5891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内径m</w:t>
                  </w:r>
                </w:p>
              </w:tc>
              <w:tc>
                <w:tcPr>
                  <w:tcW w:w="463" w:type="dxa"/>
                  <w:vMerge w:val="restart"/>
                  <w:noWrap w:val="0"/>
                  <w:vAlign w:val="center"/>
                </w:tcPr>
                <w:p w14:paraId="6913CA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温度℃</w:t>
                  </w:r>
                </w:p>
              </w:tc>
              <w:tc>
                <w:tcPr>
                  <w:tcW w:w="1115" w:type="dxa"/>
                  <w:gridSpan w:val="2"/>
                  <w:noWrap w:val="0"/>
                  <w:vAlign w:val="center"/>
                </w:tcPr>
                <w:p w14:paraId="587C73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地理坐标</w:t>
                  </w:r>
                </w:p>
              </w:tc>
              <w:tc>
                <w:tcPr>
                  <w:tcW w:w="346" w:type="dxa"/>
                  <w:vMerge w:val="restart"/>
                  <w:noWrap w:val="0"/>
                  <w:vAlign w:val="center"/>
                </w:tcPr>
                <w:p w14:paraId="486B15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排放口类型</w:t>
                  </w:r>
                </w:p>
              </w:tc>
              <w:tc>
                <w:tcPr>
                  <w:tcW w:w="652" w:type="dxa"/>
                  <w:vMerge w:val="restart"/>
                  <w:noWrap w:val="0"/>
                  <w:vAlign w:val="center"/>
                </w:tcPr>
                <w:p w14:paraId="349C40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浓度mg/m</w:t>
                  </w:r>
                  <w:r>
                    <w:rPr>
                      <w:rFonts w:hint="eastAsia" w:ascii="Times New Roman" w:hAnsi="Times New Roman" w:eastAsia="宋体" w:cs="Times New Roman"/>
                      <w:b/>
                      <w:bCs/>
                      <w:color w:val="auto"/>
                      <w:sz w:val="18"/>
                      <w:szCs w:val="18"/>
                      <w:highlight w:val="none"/>
                      <w:vertAlign w:val="superscript"/>
                      <w:lang w:val="en-US" w:eastAsia="zh-CN"/>
                    </w:rPr>
                    <w:t>3</w:t>
                  </w:r>
                </w:p>
              </w:tc>
              <w:tc>
                <w:tcPr>
                  <w:tcW w:w="587" w:type="dxa"/>
                  <w:vMerge w:val="restart"/>
                  <w:noWrap w:val="0"/>
                  <w:vAlign w:val="center"/>
                </w:tcPr>
                <w:p w14:paraId="2051A9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速率kg/h</w:t>
                  </w:r>
                </w:p>
              </w:tc>
              <w:tc>
                <w:tcPr>
                  <w:tcW w:w="703" w:type="dxa"/>
                  <w:vMerge w:val="restart"/>
                  <w:noWrap w:val="0"/>
                  <w:vAlign w:val="center"/>
                </w:tcPr>
                <w:p w14:paraId="228EAE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排放量t/a</w:t>
                  </w:r>
                </w:p>
              </w:tc>
              <w:tc>
                <w:tcPr>
                  <w:tcW w:w="1426" w:type="dxa"/>
                  <w:vMerge w:val="restart"/>
                  <w:noWrap w:val="0"/>
                  <w:vAlign w:val="center"/>
                </w:tcPr>
                <w:p w14:paraId="097235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highlight w:val="none"/>
                      <w:vertAlign w:val="baseline"/>
                      <w:lang w:val="en-US" w:eastAsia="zh-CN"/>
                    </w:rPr>
                  </w:pPr>
                  <w:r>
                    <w:rPr>
                      <w:rFonts w:hint="eastAsia"/>
                      <w:b/>
                      <w:bCs/>
                      <w:color w:val="auto"/>
                      <w:sz w:val="18"/>
                      <w:szCs w:val="18"/>
                    </w:rPr>
                    <w:t>《锅炉大气污染物排放标准》（GB13271-2014）表2中新建燃煤锅炉大气污染物排放标准</w:t>
                  </w:r>
                  <w:r>
                    <w:rPr>
                      <w:rFonts w:hint="eastAsia"/>
                      <w:b/>
                      <w:bCs/>
                      <w:color w:val="auto"/>
                      <w:sz w:val="18"/>
                      <w:szCs w:val="18"/>
                      <w:lang w:val="en-US" w:eastAsia="zh-CN"/>
                    </w:rPr>
                    <w:t>限值（</w:t>
                  </w:r>
                  <w:r>
                    <w:rPr>
                      <w:rFonts w:hint="eastAsia" w:ascii="Times New Roman" w:hAnsi="Times New Roman" w:eastAsia="宋体" w:cs="Times New Roman"/>
                      <w:b/>
                      <w:bCs/>
                      <w:color w:val="auto"/>
                      <w:sz w:val="18"/>
                      <w:szCs w:val="18"/>
                      <w:highlight w:val="none"/>
                      <w:vertAlign w:val="baseline"/>
                      <w:lang w:val="en-US" w:eastAsia="zh-CN"/>
                    </w:rPr>
                    <w:t>mg/m</w:t>
                  </w:r>
                  <w:r>
                    <w:rPr>
                      <w:rFonts w:hint="eastAsia" w:ascii="Times New Roman" w:hAnsi="Times New Roman" w:eastAsia="宋体" w:cs="Times New Roman"/>
                      <w:b/>
                      <w:bCs/>
                      <w:color w:val="auto"/>
                      <w:sz w:val="18"/>
                      <w:szCs w:val="18"/>
                      <w:highlight w:val="none"/>
                      <w:vertAlign w:val="superscript"/>
                      <w:lang w:val="en-US" w:eastAsia="zh-CN"/>
                    </w:rPr>
                    <w:t>3</w:t>
                  </w:r>
                  <w:r>
                    <w:rPr>
                      <w:rFonts w:hint="eastAsia"/>
                      <w:b/>
                      <w:bCs/>
                      <w:color w:val="auto"/>
                      <w:sz w:val="18"/>
                      <w:szCs w:val="18"/>
                      <w:lang w:val="en-US" w:eastAsia="zh-CN"/>
                    </w:rPr>
                    <w:t>）</w:t>
                  </w:r>
                </w:p>
              </w:tc>
              <w:tc>
                <w:tcPr>
                  <w:tcW w:w="434" w:type="dxa"/>
                  <w:vMerge w:val="continue"/>
                  <w:noWrap w:val="0"/>
                  <w:vAlign w:val="center"/>
                </w:tcPr>
                <w:p w14:paraId="05E85E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p>
              </w:tc>
            </w:tr>
            <w:tr w14:paraId="0097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 w:hRule="atLeast"/>
                <w:jc w:val="center"/>
              </w:trPr>
              <w:tc>
                <w:tcPr>
                  <w:tcW w:w="429" w:type="dxa"/>
                  <w:vMerge w:val="continue"/>
                  <w:noWrap w:val="0"/>
                  <w:vAlign w:val="center"/>
                </w:tcPr>
                <w:p w14:paraId="5D99A3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highlight w:val="none"/>
                      <w:vertAlign w:val="baseline"/>
                      <w:lang w:val="en-US" w:eastAsia="zh-CN"/>
                    </w:rPr>
                  </w:pPr>
                </w:p>
              </w:tc>
              <w:tc>
                <w:tcPr>
                  <w:tcW w:w="637" w:type="dxa"/>
                  <w:vMerge w:val="continue"/>
                  <w:noWrap w:val="0"/>
                  <w:vAlign w:val="center"/>
                </w:tcPr>
                <w:p w14:paraId="5922BB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highlight w:val="none"/>
                      <w:vertAlign w:val="baseline"/>
                      <w:lang w:val="en-US" w:eastAsia="zh-CN"/>
                    </w:rPr>
                  </w:pPr>
                </w:p>
              </w:tc>
              <w:tc>
                <w:tcPr>
                  <w:tcW w:w="365" w:type="dxa"/>
                  <w:vMerge w:val="continue"/>
                  <w:noWrap w:val="0"/>
                  <w:vAlign w:val="center"/>
                </w:tcPr>
                <w:p w14:paraId="053CFF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highlight w:val="none"/>
                      <w:vertAlign w:val="baseline"/>
                      <w:lang w:val="en-US" w:eastAsia="zh-CN"/>
                    </w:rPr>
                  </w:pPr>
                </w:p>
              </w:tc>
              <w:tc>
                <w:tcPr>
                  <w:tcW w:w="387" w:type="dxa"/>
                  <w:vMerge w:val="continue"/>
                  <w:noWrap w:val="0"/>
                  <w:vAlign w:val="center"/>
                </w:tcPr>
                <w:p w14:paraId="233698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highlight w:val="none"/>
                      <w:vertAlign w:val="baseline"/>
                      <w:lang w:val="en-US" w:eastAsia="zh-CN"/>
                    </w:rPr>
                  </w:pPr>
                </w:p>
              </w:tc>
              <w:tc>
                <w:tcPr>
                  <w:tcW w:w="453" w:type="dxa"/>
                  <w:vMerge w:val="continue"/>
                  <w:noWrap w:val="0"/>
                  <w:vAlign w:val="center"/>
                </w:tcPr>
                <w:p w14:paraId="52030E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highlight w:val="none"/>
                      <w:vertAlign w:val="baseline"/>
                      <w:lang w:val="en-US" w:eastAsia="zh-CN"/>
                    </w:rPr>
                  </w:pPr>
                </w:p>
              </w:tc>
              <w:tc>
                <w:tcPr>
                  <w:tcW w:w="463" w:type="dxa"/>
                  <w:vMerge w:val="continue"/>
                  <w:noWrap w:val="0"/>
                  <w:vAlign w:val="center"/>
                </w:tcPr>
                <w:p w14:paraId="04D86D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highlight w:val="none"/>
                      <w:vertAlign w:val="baseline"/>
                      <w:lang w:val="en-US" w:eastAsia="zh-CN"/>
                    </w:rPr>
                  </w:pPr>
                </w:p>
              </w:tc>
              <w:tc>
                <w:tcPr>
                  <w:tcW w:w="547" w:type="dxa"/>
                  <w:noWrap w:val="0"/>
                  <w:vAlign w:val="center"/>
                </w:tcPr>
                <w:p w14:paraId="68BC39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东经</w:t>
                  </w:r>
                </w:p>
              </w:tc>
              <w:tc>
                <w:tcPr>
                  <w:tcW w:w="568" w:type="dxa"/>
                  <w:noWrap w:val="0"/>
                  <w:vAlign w:val="center"/>
                </w:tcPr>
                <w:p w14:paraId="3B444D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北纬</w:t>
                  </w:r>
                </w:p>
              </w:tc>
              <w:tc>
                <w:tcPr>
                  <w:tcW w:w="346" w:type="dxa"/>
                  <w:vMerge w:val="continue"/>
                  <w:noWrap w:val="0"/>
                  <w:vAlign w:val="center"/>
                </w:tcPr>
                <w:p w14:paraId="33A844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highlight w:val="none"/>
                      <w:vertAlign w:val="baseline"/>
                      <w:lang w:val="en-US" w:eastAsia="zh-CN"/>
                    </w:rPr>
                  </w:pPr>
                </w:p>
              </w:tc>
              <w:tc>
                <w:tcPr>
                  <w:tcW w:w="652" w:type="dxa"/>
                  <w:vMerge w:val="continue"/>
                  <w:noWrap w:val="0"/>
                  <w:vAlign w:val="center"/>
                </w:tcPr>
                <w:p w14:paraId="5BF079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highlight w:val="none"/>
                      <w:vertAlign w:val="baseline"/>
                      <w:lang w:val="en-US" w:eastAsia="zh-CN"/>
                    </w:rPr>
                  </w:pPr>
                </w:p>
              </w:tc>
              <w:tc>
                <w:tcPr>
                  <w:tcW w:w="587" w:type="dxa"/>
                  <w:vMerge w:val="continue"/>
                  <w:noWrap w:val="0"/>
                  <w:vAlign w:val="center"/>
                </w:tcPr>
                <w:p w14:paraId="434BA1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highlight w:val="none"/>
                      <w:vertAlign w:val="baseline"/>
                      <w:lang w:val="en-US" w:eastAsia="zh-CN"/>
                    </w:rPr>
                  </w:pPr>
                </w:p>
              </w:tc>
              <w:tc>
                <w:tcPr>
                  <w:tcW w:w="703" w:type="dxa"/>
                  <w:vMerge w:val="continue"/>
                  <w:noWrap w:val="0"/>
                  <w:vAlign w:val="center"/>
                </w:tcPr>
                <w:p w14:paraId="766666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highlight w:val="none"/>
                      <w:vertAlign w:val="baseline"/>
                      <w:lang w:val="en-US" w:eastAsia="zh-CN"/>
                    </w:rPr>
                  </w:pPr>
                </w:p>
              </w:tc>
              <w:tc>
                <w:tcPr>
                  <w:tcW w:w="1426" w:type="dxa"/>
                  <w:vMerge w:val="continue"/>
                  <w:noWrap w:val="0"/>
                  <w:vAlign w:val="center"/>
                </w:tcPr>
                <w:p w14:paraId="6234F3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highlight w:val="none"/>
                      <w:vertAlign w:val="baseline"/>
                      <w:lang w:val="en-US" w:eastAsia="zh-CN"/>
                    </w:rPr>
                  </w:pPr>
                </w:p>
              </w:tc>
              <w:tc>
                <w:tcPr>
                  <w:tcW w:w="434" w:type="dxa"/>
                  <w:vMerge w:val="continue"/>
                  <w:noWrap w:val="0"/>
                  <w:vAlign w:val="center"/>
                </w:tcPr>
                <w:p w14:paraId="60C05E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p>
              </w:tc>
            </w:tr>
            <w:tr w14:paraId="03D88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29" w:type="dxa"/>
                  <w:vMerge w:val="restart"/>
                  <w:noWrap w:val="0"/>
                  <w:vAlign w:val="center"/>
                </w:tcPr>
                <w:p w14:paraId="58FD26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生物质锅炉</w:t>
                  </w:r>
                </w:p>
              </w:tc>
              <w:tc>
                <w:tcPr>
                  <w:tcW w:w="637" w:type="dxa"/>
                  <w:noWrap w:val="0"/>
                  <w:vAlign w:val="center"/>
                </w:tcPr>
                <w:p w14:paraId="3F4AE1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颗粒物</w:t>
                  </w:r>
                </w:p>
              </w:tc>
              <w:tc>
                <w:tcPr>
                  <w:tcW w:w="365" w:type="dxa"/>
                  <w:vMerge w:val="restart"/>
                  <w:noWrap w:val="0"/>
                  <w:vAlign w:val="center"/>
                </w:tcPr>
                <w:p w14:paraId="759D3B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DA001</w:t>
                  </w:r>
                </w:p>
              </w:tc>
              <w:tc>
                <w:tcPr>
                  <w:tcW w:w="387" w:type="dxa"/>
                  <w:vMerge w:val="restart"/>
                  <w:noWrap w:val="0"/>
                  <w:vAlign w:val="center"/>
                </w:tcPr>
                <w:p w14:paraId="4B8273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30</w:t>
                  </w:r>
                </w:p>
              </w:tc>
              <w:tc>
                <w:tcPr>
                  <w:tcW w:w="453" w:type="dxa"/>
                  <w:vMerge w:val="restart"/>
                  <w:noWrap w:val="0"/>
                  <w:vAlign w:val="center"/>
                </w:tcPr>
                <w:p w14:paraId="26339D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0.3</w:t>
                  </w:r>
                </w:p>
              </w:tc>
              <w:tc>
                <w:tcPr>
                  <w:tcW w:w="463" w:type="dxa"/>
                  <w:vMerge w:val="restart"/>
                  <w:noWrap w:val="0"/>
                  <w:vAlign w:val="center"/>
                </w:tcPr>
                <w:p w14:paraId="0B798C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55</w:t>
                  </w:r>
                </w:p>
              </w:tc>
              <w:tc>
                <w:tcPr>
                  <w:tcW w:w="547" w:type="dxa"/>
                  <w:vMerge w:val="restart"/>
                  <w:noWrap w:val="0"/>
                  <w:vAlign w:val="center"/>
                </w:tcPr>
                <w:p w14:paraId="69FD9E5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101°57'43.116",</w:t>
                  </w:r>
                </w:p>
              </w:tc>
              <w:tc>
                <w:tcPr>
                  <w:tcW w:w="568" w:type="dxa"/>
                  <w:vMerge w:val="restart"/>
                  <w:noWrap w:val="0"/>
                  <w:vAlign w:val="center"/>
                </w:tcPr>
                <w:p w14:paraId="7C3049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23°41'13.169"</w:t>
                  </w:r>
                </w:p>
              </w:tc>
              <w:tc>
                <w:tcPr>
                  <w:tcW w:w="346" w:type="dxa"/>
                  <w:vMerge w:val="restart"/>
                  <w:noWrap w:val="0"/>
                  <w:vAlign w:val="center"/>
                </w:tcPr>
                <w:p w14:paraId="564B4A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一般排放口</w:t>
                  </w:r>
                </w:p>
              </w:tc>
              <w:tc>
                <w:tcPr>
                  <w:tcW w:w="652" w:type="dxa"/>
                  <w:noWrap w:val="0"/>
                  <w:vAlign w:val="center"/>
                </w:tcPr>
                <w:p w14:paraId="1354D8BB">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13.19 </w:t>
                  </w:r>
                </w:p>
              </w:tc>
              <w:tc>
                <w:tcPr>
                  <w:tcW w:w="587" w:type="dxa"/>
                  <w:noWrap w:val="0"/>
                  <w:vAlign w:val="center"/>
                </w:tcPr>
                <w:p w14:paraId="33EC7AC1">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0.048 </w:t>
                  </w:r>
                </w:p>
              </w:tc>
              <w:tc>
                <w:tcPr>
                  <w:tcW w:w="703" w:type="dxa"/>
                  <w:noWrap w:val="0"/>
                  <w:vAlign w:val="center"/>
                </w:tcPr>
                <w:p w14:paraId="25BABABF">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0.114 </w:t>
                  </w:r>
                </w:p>
              </w:tc>
              <w:tc>
                <w:tcPr>
                  <w:tcW w:w="1426" w:type="dxa"/>
                  <w:noWrap w:val="0"/>
                  <w:vAlign w:val="center"/>
                </w:tcPr>
                <w:p w14:paraId="56A721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50</w:t>
                  </w:r>
                </w:p>
              </w:tc>
              <w:tc>
                <w:tcPr>
                  <w:tcW w:w="434" w:type="dxa"/>
                  <w:noWrap w:val="0"/>
                  <w:vAlign w:val="center"/>
                </w:tcPr>
                <w:p w14:paraId="5597C5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达标</w:t>
                  </w:r>
                </w:p>
              </w:tc>
            </w:tr>
            <w:tr w14:paraId="3442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29" w:type="dxa"/>
                  <w:vMerge w:val="continue"/>
                  <w:noWrap w:val="0"/>
                  <w:vAlign w:val="center"/>
                </w:tcPr>
                <w:p w14:paraId="0BE656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637" w:type="dxa"/>
                  <w:noWrap w:val="0"/>
                  <w:vAlign w:val="center"/>
                </w:tcPr>
                <w:p w14:paraId="2F2E6E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b w:val="0"/>
                      <w:bCs w:val="0"/>
                      <w:color w:val="auto"/>
                      <w:sz w:val="18"/>
                      <w:szCs w:val="18"/>
                      <w:vertAlign w:val="baseline"/>
                      <w:lang w:val="en-US" w:eastAsia="zh-CN"/>
                    </w:rPr>
                    <w:t>SO</w:t>
                  </w:r>
                  <w:r>
                    <w:rPr>
                      <w:rFonts w:hint="default" w:ascii="Times New Roman" w:hAnsi="Times New Roman" w:eastAsia="宋体" w:cs="Times New Roman"/>
                      <w:b w:val="0"/>
                      <w:bCs w:val="0"/>
                      <w:color w:val="auto"/>
                      <w:sz w:val="18"/>
                      <w:szCs w:val="18"/>
                      <w:vertAlign w:val="subscript"/>
                      <w:lang w:val="en-US" w:eastAsia="zh-CN"/>
                    </w:rPr>
                    <w:t>2</w:t>
                  </w:r>
                </w:p>
              </w:tc>
              <w:tc>
                <w:tcPr>
                  <w:tcW w:w="365" w:type="dxa"/>
                  <w:vMerge w:val="continue"/>
                  <w:noWrap w:val="0"/>
                  <w:vAlign w:val="center"/>
                </w:tcPr>
                <w:p w14:paraId="553DD6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387" w:type="dxa"/>
                  <w:vMerge w:val="continue"/>
                  <w:noWrap w:val="0"/>
                  <w:vAlign w:val="center"/>
                </w:tcPr>
                <w:p w14:paraId="72980E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453" w:type="dxa"/>
                  <w:vMerge w:val="continue"/>
                  <w:noWrap w:val="0"/>
                  <w:vAlign w:val="center"/>
                </w:tcPr>
                <w:p w14:paraId="252897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463" w:type="dxa"/>
                  <w:vMerge w:val="continue"/>
                  <w:noWrap w:val="0"/>
                  <w:vAlign w:val="center"/>
                </w:tcPr>
                <w:p w14:paraId="12B949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547" w:type="dxa"/>
                  <w:vMerge w:val="continue"/>
                  <w:noWrap w:val="0"/>
                  <w:vAlign w:val="center"/>
                </w:tcPr>
                <w:p w14:paraId="75AE8C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568" w:type="dxa"/>
                  <w:vMerge w:val="continue"/>
                  <w:noWrap w:val="0"/>
                  <w:vAlign w:val="center"/>
                </w:tcPr>
                <w:p w14:paraId="5BA777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346" w:type="dxa"/>
                  <w:vMerge w:val="continue"/>
                  <w:noWrap w:val="0"/>
                  <w:vAlign w:val="center"/>
                </w:tcPr>
                <w:p w14:paraId="7E83B7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652" w:type="dxa"/>
                  <w:noWrap w:val="0"/>
                  <w:vAlign w:val="center"/>
                </w:tcPr>
                <w:p w14:paraId="3CC6D1A4">
                  <w:pPr>
                    <w:keepNext w:val="0"/>
                    <w:keepLines w:val="0"/>
                    <w:widowControl/>
                    <w:suppressLineNumbers w:val="0"/>
                    <w:jc w:val="center"/>
                    <w:textAlignment w:val="center"/>
                    <w:rPr>
                      <w:rFonts w:hint="eastAsia"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20.25 </w:t>
                  </w:r>
                </w:p>
              </w:tc>
              <w:tc>
                <w:tcPr>
                  <w:tcW w:w="587" w:type="dxa"/>
                  <w:noWrap w:val="0"/>
                  <w:vAlign w:val="center"/>
                </w:tcPr>
                <w:p w14:paraId="413D2C5F">
                  <w:pPr>
                    <w:keepNext w:val="0"/>
                    <w:keepLines w:val="0"/>
                    <w:widowControl/>
                    <w:suppressLineNumbers w:val="0"/>
                    <w:jc w:val="center"/>
                    <w:textAlignment w:val="center"/>
                    <w:rPr>
                      <w:rFonts w:hint="eastAsia"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0.073 </w:t>
                  </w:r>
                </w:p>
              </w:tc>
              <w:tc>
                <w:tcPr>
                  <w:tcW w:w="703" w:type="dxa"/>
                  <w:noWrap w:val="0"/>
                  <w:vAlign w:val="center"/>
                </w:tcPr>
                <w:p w14:paraId="6D786462">
                  <w:pPr>
                    <w:keepNext w:val="0"/>
                    <w:keepLines w:val="0"/>
                    <w:widowControl/>
                    <w:suppressLineNumbers w:val="0"/>
                    <w:jc w:val="center"/>
                    <w:textAlignment w:val="center"/>
                    <w:rPr>
                      <w:rFonts w:hint="eastAsia"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0.175 </w:t>
                  </w:r>
                </w:p>
              </w:tc>
              <w:tc>
                <w:tcPr>
                  <w:tcW w:w="1426" w:type="dxa"/>
                  <w:noWrap w:val="0"/>
                  <w:vAlign w:val="center"/>
                </w:tcPr>
                <w:p w14:paraId="57057C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300</w:t>
                  </w:r>
                </w:p>
              </w:tc>
              <w:tc>
                <w:tcPr>
                  <w:tcW w:w="434" w:type="dxa"/>
                  <w:noWrap w:val="0"/>
                  <w:vAlign w:val="center"/>
                </w:tcPr>
                <w:p w14:paraId="3E49CE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达标</w:t>
                  </w:r>
                </w:p>
              </w:tc>
            </w:tr>
            <w:tr w14:paraId="214D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29" w:type="dxa"/>
                  <w:vMerge w:val="continue"/>
                  <w:noWrap w:val="0"/>
                  <w:vAlign w:val="center"/>
                </w:tcPr>
                <w:p w14:paraId="04B405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637" w:type="dxa"/>
                  <w:noWrap w:val="0"/>
                  <w:vAlign w:val="center"/>
                </w:tcPr>
                <w:p w14:paraId="5A5AE9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NO</w:t>
                  </w:r>
                  <w:r>
                    <w:rPr>
                      <w:rFonts w:hint="default" w:ascii="Times New Roman" w:hAnsi="Times New Roman" w:eastAsia="宋体" w:cs="Times New Roman"/>
                      <w:b w:val="0"/>
                      <w:bCs w:val="0"/>
                      <w:color w:val="auto"/>
                      <w:sz w:val="18"/>
                      <w:szCs w:val="18"/>
                      <w:vertAlign w:val="subscript"/>
                      <w:lang w:val="en-US" w:eastAsia="zh-CN"/>
                    </w:rPr>
                    <w:t>X</w:t>
                  </w:r>
                </w:p>
              </w:tc>
              <w:tc>
                <w:tcPr>
                  <w:tcW w:w="365" w:type="dxa"/>
                  <w:vMerge w:val="continue"/>
                  <w:noWrap w:val="0"/>
                  <w:vAlign w:val="center"/>
                </w:tcPr>
                <w:p w14:paraId="265351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387" w:type="dxa"/>
                  <w:vMerge w:val="continue"/>
                  <w:noWrap w:val="0"/>
                  <w:vAlign w:val="center"/>
                </w:tcPr>
                <w:p w14:paraId="6F79AC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453" w:type="dxa"/>
                  <w:vMerge w:val="continue"/>
                  <w:noWrap w:val="0"/>
                  <w:vAlign w:val="center"/>
                </w:tcPr>
                <w:p w14:paraId="7FE288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463" w:type="dxa"/>
                  <w:vMerge w:val="continue"/>
                  <w:noWrap w:val="0"/>
                  <w:vAlign w:val="center"/>
                </w:tcPr>
                <w:p w14:paraId="59F14D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547" w:type="dxa"/>
                  <w:vMerge w:val="continue"/>
                  <w:noWrap w:val="0"/>
                  <w:vAlign w:val="center"/>
                </w:tcPr>
                <w:p w14:paraId="2D11FE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568" w:type="dxa"/>
                  <w:vMerge w:val="continue"/>
                  <w:noWrap w:val="0"/>
                  <w:vAlign w:val="center"/>
                </w:tcPr>
                <w:p w14:paraId="3AF7BA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346" w:type="dxa"/>
                  <w:vMerge w:val="continue"/>
                  <w:noWrap w:val="0"/>
                  <w:vAlign w:val="center"/>
                </w:tcPr>
                <w:p w14:paraId="1F453F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652" w:type="dxa"/>
                  <w:noWrap w:val="0"/>
                  <w:vAlign w:val="center"/>
                </w:tcPr>
                <w:p w14:paraId="3A060165">
                  <w:pPr>
                    <w:keepNext w:val="0"/>
                    <w:keepLines w:val="0"/>
                    <w:widowControl/>
                    <w:suppressLineNumbers w:val="0"/>
                    <w:jc w:val="center"/>
                    <w:textAlignment w:val="center"/>
                    <w:rPr>
                      <w:rFonts w:hint="eastAsia"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200 </w:t>
                  </w:r>
                </w:p>
              </w:tc>
              <w:tc>
                <w:tcPr>
                  <w:tcW w:w="587" w:type="dxa"/>
                  <w:noWrap w:val="0"/>
                  <w:vAlign w:val="center"/>
                </w:tcPr>
                <w:p w14:paraId="3287694B">
                  <w:pPr>
                    <w:keepNext w:val="0"/>
                    <w:keepLines w:val="0"/>
                    <w:widowControl/>
                    <w:suppressLineNumbers w:val="0"/>
                    <w:jc w:val="center"/>
                    <w:textAlignment w:val="center"/>
                    <w:rPr>
                      <w:rFonts w:hint="eastAsia"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0.72 </w:t>
                  </w:r>
                </w:p>
              </w:tc>
              <w:tc>
                <w:tcPr>
                  <w:tcW w:w="703" w:type="dxa"/>
                  <w:noWrap w:val="0"/>
                  <w:vAlign w:val="center"/>
                </w:tcPr>
                <w:p w14:paraId="697AAF51">
                  <w:pPr>
                    <w:keepNext w:val="0"/>
                    <w:keepLines w:val="0"/>
                    <w:widowControl/>
                    <w:suppressLineNumbers w:val="0"/>
                    <w:jc w:val="center"/>
                    <w:textAlignment w:val="center"/>
                    <w:rPr>
                      <w:rFonts w:hint="eastAsia"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1.728 </w:t>
                  </w:r>
                </w:p>
              </w:tc>
              <w:tc>
                <w:tcPr>
                  <w:tcW w:w="1426" w:type="dxa"/>
                  <w:noWrap w:val="0"/>
                  <w:vAlign w:val="center"/>
                </w:tcPr>
                <w:p w14:paraId="274970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300</w:t>
                  </w:r>
                </w:p>
              </w:tc>
              <w:tc>
                <w:tcPr>
                  <w:tcW w:w="434" w:type="dxa"/>
                  <w:noWrap w:val="0"/>
                  <w:vAlign w:val="center"/>
                </w:tcPr>
                <w:p w14:paraId="604F15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达标</w:t>
                  </w:r>
                </w:p>
              </w:tc>
            </w:tr>
          </w:tbl>
          <w:p w14:paraId="01184038">
            <w:pPr>
              <w:spacing w:line="240" w:lineRule="auto"/>
              <w:jc w:val="center"/>
              <w:rPr>
                <w:b/>
                <w:bCs/>
                <w:color w:val="auto"/>
                <w:sz w:val="21"/>
                <w:szCs w:val="21"/>
                <w:highlight w:val="none"/>
              </w:rPr>
            </w:pPr>
          </w:p>
          <w:p w14:paraId="1B1A20DF">
            <w:pPr>
              <w:spacing w:line="240" w:lineRule="auto"/>
              <w:jc w:val="center"/>
              <w:rPr>
                <w:rFonts w:hint="default"/>
                <w:b/>
                <w:bCs/>
                <w:color w:val="auto"/>
                <w:sz w:val="21"/>
                <w:szCs w:val="21"/>
                <w:highlight w:val="none"/>
                <w:lang w:val="en-US"/>
              </w:rPr>
            </w:pPr>
            <w:r>
              <w:rPr>
                <w:b/>
                <w:bCs/>
                <w:color w:val="auto"/>
                <w:sz w:val="21"/>
                <w:szCs w:val="21"/>
                <w:highlight w:val="none"/>
              </w:rPr>
              <w:t>表</w:t>
            </w:r>
            <w:r>
              <w:rPr>
                <w:rFonts w:hint="eastAsia"/>
                <w:b/>
                <w:bCs/>
                <w:color w:val="auto"/>
                <w:sz w:val="21"/>
                <w:szCs w:val="21"/>
                <w:highlight w:val="none"/>
                <w:lang w:val="en-US" w:eastAsia="zh-CN"/>
              </w:rPr>
              <w:t>4-4 技改项目大气污染物年排放量核算表</w:t>
            </w:r>
          </w:p>
          <w:tbl>
            <w:tblPr>
              <w:tblStyle w:val="23"/>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2"/>
              <w:gridCol w:w="2652"/>
              <w:gridCol w:w="2654"/>
            </w:tblGrid>
            <w:tr w14:paraId="06CA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652" w:type="dxa"/>
                  <w:noWrap w:val="0"/>
                  <w:vAlign w:val="center"/>
                </w:tcPr>
                <w:p w14:paraId="0606AA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排放形式</w:t>
                  </w:r>
                </w:p>
              </w:tc>
              <w:tc>
                <w:tcPr>
                  <w:tcW w:w="2652" w:type="dxa"/>
                  <w:noWrap w:val="0"/>
                  <w:vAlign w:val="center"/>
                </w:tcPr>
                <w:p w14:paraId="280777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污染物</w:t>
                  </w:r>
                </w:p>
              </w:tc>
              <w:tc>
                <w:tcPr>
                  <w:tcW w:w="2654" w:type="dxa"/>
                  <w:noWrap w:val="0"/>
                  <w:vAlign w:val="center"/>
                </w:tcPr>
                <w:p w14:paraId="6288CA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年排放量（t/a）</w:t>
                  </w:r>
                </w:p>
              </w:tc>
            </w:tr>
            <w:tr w14:paraId="4F88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652" w:type="dxa"/>
                  <w:vMerge w:val="restart"/>
                  <w:noWrap w:val="0"/>
                  <w:vAlign w:val="center"/>
                </w:tcPr>
                <w:p w14:paraId="51C62D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有组织</w:t>
                  </w:r>
                </w:p>
              </w:tc>
              <w:tc>
                <w:tcPr>
                  <w:tcW w:w="2652" w:type="dxa"/>
                  <w:noWrap w:val="0"/>
                  <w:vAlign w:val="center"/>
                </w:tcPr>
                <w:p w14:paraId="21B79B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olor w:val="auto"/>
                      <w:sz w:val="21"/>
                      <w:szCs w:val="21"/>
                      <w:lang w:val="en-US" w:eastAsia="zh-CN"/>
                    </w:rPr>
                    <w:t>颗粒物</w:t>
                  </w:r>
                </w:p>
              </w:tc>
              <w:tc>
                <w:tcPr>
                  <w:tcW w:w="2654" w:type="dxa"/>
                  <w:noWrap w:val="0"/>
                  <w:vAlign w:val="center"/>
                </w:tcPr>
                <w:p w14:paraId="630055E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0.114 </w:t>
                  </w:r>
                </w:p>
              </w:tc>
            </w:tr>
            <w:tr w14:paraId="74F9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652" w:type="dxa"/>
                  <w:vMerge w:val="continue"/>
                  <w:noWrap w:val="0"/>
                  <w:vAlign w:val="center"/>
                </w:tcPr>
                <w:p w14:paraId="4EC4BB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2652" w:type="dxa"/>
                  <w:noWrap w:val="0"/>
                  <w:vAlign w:val="center"/>
                </w:tcPr>
                <w:p w14:paraId="7EED85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SO</w:t>
                  </w:r>
                  <w:r>
                    <w:rPr>
                      <w:rFonts w:hint="eastAsia" w:ascii="Times New Roman" w:hAnsi="Times New Roman"/>
                      <w:color w:val="auto"/>
                      <w:sz w:val="21"/>
                      <w:szCs w:val="21"/>
                      <w:highlight w:val="none"/>
                      <w:vertAlign w:val="subscript"/>
                    </w:rPr>
                    <w:t>2</w:t>
                  </w:r>
                </w:p>
              </w:tc>
              <w:tc>
                <w:tcPr>
                  <w:tcW w:w="2654" w:type="dxa"/>
                  <w:noWrap w:val="0"/>
                  <w:vAlign w:val="center"/>
                </w:tcPr>
                <w:p w14:paraId="3FF1193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0.175 </w:t>
                  </w:r>
                </w:p>
              </w:tc>
            </w:tr>
            <w:tr w14:paraId="0F1F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652" w:type="dxa"/>
                  <w:vMerge w:val="continue"/>
                  <w:noWrap w:val="0"/>
                  <w:vAlign w:val="center"/>
                </w:tcPr>
                <w:p w14:paraId="35A564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2652" w:type="dxa"/>
                  <w:noWrap w:val="0"/>
                  <w:vAlign w:val="center"/>
                </w:tcPr>
                <w:p w14:paraId="4852EBD0">
                  <w:pPr>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olor w:val="auto"/>
                      <w:sz w:val="21"/>
                      <w:szCs w:val="21"/>
                    </w:rPr>
                    <w:t>NOx</w:t>
                  </w:r>
                </w:p>
              </w:tc>
              <w:tc>
                <w:tcPr>
                  <w:tcW w:w="2654" w:type="dxa"/>
                  <w:noWrap w:val="0"/>
                  <w:vAlign w:val="center"/>
                </w:tcPr>
                <w:p w14:paraId="37EE5A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1.728 </w:t>
                  </w:r>
                </w:p>
              </w:tc>
            </w:tr>
            <w:tr w14:paraId="22F8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2" w:type="dxa"/>
                  <w:noWrap w:val="0"/>
                  <w:vAlign w:val="center"/>
                </w:tcPr>
                <w:p w14:paraId="35F2D2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无组织</w:t>
                  </w:r>
                </w:p>
              </w:tc>
              <w:tc>
                <w:tcPr>
                  <w:tcW w:w="2652" w:type="dxa"/>
                  <w:noWrap w:val="0"/>
                  <w:vAlign w:val="center"/>
                </w:tcPr>
                <w:p w14:paraId="6E1506AF">
                  <w:pPr>
                    <w:jc w:val="center"/>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kern w:val="2"/>
                      <w:sz w:val="21"/>
                      <w:szCs w:val="21"/>
                      <w:highlight w:val="none"/>
                      <w:lang w:eastAsia="zh-CN"/>
                    </w:rPr>
                    <w:t>颗粒物</w:t>
                  </w:r>
                </w:p>
              </w:tc>
              <w:tc>
                <w:tcPr>
                  <w:tcW w:w="2654" w:type="dxa"/>
                  <w:noWrap w:val="0"/>
                  <w:vAlign w:val="center"/>
                </w:tcPr>
                <w:p w14:paraId="1457FF0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0.397</w:t>
                  </w:r>
                </w:p>
              </w:tc>
            </w:tr>
          </w:tbl>
          <w:p w14:paraId="33DA9DE5">
            <w:pPr>
              <w:spacing w:line="240" w:lineRule="auto"/>
              <w:ind w:firstLine="482" w:firstLineChars="200"/>
              <w:textAlignment w:val="center"/>
              <w:rPr>
                <w:rFonts w:hint="eastAsia" w:cs="Times New Roman"/>
                <w:b/>
                <w:bCs/>
                <w:color w:val="auto"/>
                <w:sz w:val="24"/>
                <w:szCs w:val="24"/>
                <w:highlight w:val="none"/>
                <w:lang w:val="en-US" w:eastAsia="zh-CN"/>
              </w:rPr>
            </w:pPr>
          </w:p>
          <w:p w14:paraId="282D1A6F">
            <w:pPr>
              <w:spacing w:line="240" w:lineRule="auto"/>
              <w:jc w:val="center"/>
              <w:rPr>
                <w:rFonts w:hint="default"/>
                <w:b/>
                <w:bCs/>
                <w:color w:val="auto"/>
                <w:sz w:val="21"/>
                <w:szCs w:val="21"/>
                <w:highlight w:val="none"/>
                <w:lang w:val="en-US"/>
              </w:rPr>
            </w:pPr>
            <w:r>
              <w:rPr>
                <w:b/>
                <w:bCs/>
                <w:color w:val="auto"/>
                <w:sz w:val="21"/>
                <w:szCs w:val="21"/>
                <w:highlight w:val="none"/>
              </w:rPr>
              <w:t>表</w:t>
            </w:r>
            <w:r>
              <w:rPr>
                <w:rFonts w:hint="eastAsia"/>
                <w:b/>
                <w:bCs/>
                <w:color w:val="auto"/>
                <w:sz w:val="21"/>
                <w:szCs w:val="21"/>
                <w:highlight w:val="none"/>
                <w:lang w:val="en-US" w:eastAsia="zh-CN"/>
              </w:rPr>
              <w:t>4-5 技改前后大气污染物年排放量对比情况一览表</w:t>
            </w:r>
          </w:p>
          <w:tbl>
            <w:tblPr>
              <w:tblStyle w:val="22"/>
              <w:tblW w:w="7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1607"/>
              <w:gridCol w:w="1420"/>
              <w:gridCol w:w="1846"/>
              <w:gridCol w:w="1677"/>
            </w:tblGrid>
            <w:tr w14:paraId="1B3D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409" w:type="dxa"/>
                  <w:vMerge w:val="restart"/>
                  <w:vAlign w:val="center"/>
                </w:tcPr>
                <w:p w14:paraId="5D62815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
                      <w:color w:val="auto"/>
                      <w:szCs w:val="21"/>
                      <w:highlight w:val="none"/>
                    </w:rPr>
                  </w:pPr>
                  <w:r>
                    <w:rPr>
                      <w:rFonts w:hint="eastAsia" w:ascii="Times New Roman" w:hAnsi="Times New Roman" w:eastAsia="宋体" w:cs="Times New Roman"/>
                      <w:b/>
                      <w:bCs/>
                      <w:color w:val="auto"/>
                      <w:sz w:val="21"/>
                      <w:szCs w:val="21"/>
                      <w:highlight w:val="none"/>
                      <w:vertAlign w:val="baseline"/>
                      <w:lang w:val="en-US" w:eastAsia="zh-CN"/>
                    </w:rPr>
                    <w:t>排放形式</w:t>
                  </w:r>
                </w:p>
              </w:tc>
              <w:tc>
                <w:tcPr>
                  <w:tcW w:w="1607" w:type="dxa"/>
                  <w:vMerge w:val="restart"/>
                  <w:vAlign w:val="center"/>
                </w:tcPr>
                <w:p w14:paraId="4FA283BA">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污染物名称</w:t>
                  </w:r>
                </w:p>
              </w:tc>
              <w:tc>
                <w:tcPr>
                  <w:tcW w:w="4943" w:type="dxa"/>
                  <w:gridSpan w:val="3"/>
                  <w:vAlign w:val="center"/>
                </w:tcPr>
                <w:p w14:paraId="07AA3B7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排放量（t/a）</w:t>
                  </w:r>
                </w:p>
              </w:tc>
            </w:tr>
            <w:tr w14:paraId="0C85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409" w:type="dxa"/>
                  <w:vMerge w:val="continue"/>
                  <w:vAlign w:val="center"/>
                </w:tcPr>
                <w:p w14:paraId="237ACFE0">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Cs w:val="21"/>
                      <w:highlight w:val="none"/>
                    </w:rPr>
                  </w:pPr>
                </w:p>
              </w:tc>
              <w:tc>
                <w:tcPr>
                  <w:tcW w:w="1607" w:type="dxa"/>
                  <w:vMerge w:val="continue"/>
                  <w:vAlign w:val="center"/>
                </w:tcPr>
                <w:p w14:paraId="6AC130C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Cs w:val="21"/>
                      <w:highlight w:val="none"/>
                    </w:rPr>
                  </w:pPr>
                </w:p>
              </w:tc>
              <w:tc>
                <w:tcPr>
                  <w:tcW w:w="1420" w:type="dxa"/>
                  <w:vAlign w:val="center"/>
                </w:tcPr>
                <w:p w14:paraId="59D07B6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
                      <w:color w:val="auto"/>
                      <w:szCs w:val="21"/>
                      <w:highlight w:val="none"/>
                      <w:lang w:val="en-US"/>
                    </w:rPr>
                  </w:pPr>
                  <w:r>
                    <w:rPr>
                      <w:rFonts w:hint="eastAsia" w:cs="Times New Roman"/>
                      <w:b/>
                      <w:color w:val="auto"/>
                      <w:szCs w:val="21"/>
                      <w:highlight w:val="none"/>
                      <w:lang w:val="en-US" w:eastAsia="zh-CN"/>
                    </w:rPr>
                    <w:t>现有工程</w:t>
                  </w:r>
                </w:p>
              </w:tc>
              <w:tc>
                <w:tcPr>
                  <w:tcW w:w="1846" w:type="dxa"/>
                  <w:vAlign w:val="center"/>
                </w:tcPr>
                <w:p w14:paraId="3347D6F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
                      <w:color w:val="auto"/>
                      <w:szCs w:val="21"/>
                      <w:highlight w:val="none"/>
                      <w:lang w:val="en-US"/>
                    </w:rPr>
                  </w:pPr>
                  <w:r>
                    <w:rPr>
                      <w:rFonts w:hint="eastAsia" w:cs="Times New Roman"/>
                      <w:b/>
                      <w:color w:val="auto"/>
                      <w:szCs w:val="21"/>
                      <w:highlight w:val="none"/>
                      <w:lang w:val="en-US" w:eastAsia="zh-CN"/>
                    </w:rPr>
                    <w:t>本次技改工程</w:t>
                  </w:r>
                </w:p>
              </w:tc>
              <w:tc>
                <w:tcPr>
                  <w:tcW w:w="1677" w:type="dxa"/>
                  <w:vAlign w:val="center"/>
                </w:tcPr>
                <w:p w14:paraId="1AFECDC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color w:val="auto"/>
                      <w:szCs w:val="21"/>
                      <w:highlight w:val="none"/>
                      <w:lang w:val="en-US" w:eastAsia="zh-CN"/>
                    </w:rPr>
                  </w:pPr>
                  <w:r>
                    <w:rPr>
                      <w:rFonts w:hint="eastAsia" w:cs="Times New Roman"/>
                      <w:b/>
                      <w:color w:val="auto"/>
                      <w:szCs w:val="21"/>
                      <w:highlight w:val="none"/>
                      <w:lang w:val="en-US" w:eastAsia="zh-CN"/>
                    </w:rPr>
                    <w:t>增减量</w:t>
                  </w:r>
                </w:p>
              </w:tc>
            </w:tr>
            <w:tr w14:paraId="45F0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9" w:type="dxa"/>
                  <w:vMerge w:val="restart"/>
                  <w:vAlign w:val="center"/>
                </w:tcPr>
                <w:p w14:paraId="4761AEA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有组织</w:t>
                  </w:r>
                </w:p>
              </w:tc>
              <w:tc>
                <w:tcPr>
                  <w:tcW w:w="1607" w:type="dxa"/>
                  <w:vAlign w:val="center"/>
                </w:tcPr>
                <w:p w14:paraId="31CF2B3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废气</w:t>
                  </w:r>
                  <w:r>
                    <w:rPr>
                      <w:rFonts w:hint="default" w:ascii="Times New Roman" w:hAnsi="Times New Roman" w:cs="Times New Roman"/>
                      <w:color w:val="auto"/>
                      <w:sz w:val="21"/>
                      <w:szCs w:val="21"/>
                      <w:highlight w:val="none"/>
                    </w:rPr>
                    <w:t>量</w:t>
                  </w:r>
                  <w:r>
                    <w:rPr>
                      <w:rFonts w:hint="eastAsia" w:cs="Times New Roman"/>
                      <w:color w:val="auto"/>
                      <w:sz w:val="21"/>
                      <w:szCs w:val="21"/>
                      <w:highlight w:val="none"/>
                      <w:lang w:val="en-US" w:eastAsia="zh-CN"/>
                    </w:rPr>
                    <w:t>万m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/a</w:t>
                  </w:r>
                </w:p>
              </w:tc>
              <w:tc>
                <w:tcPr>
                  <w:tcW w:w="1420" w:type="dxa"/>
                  <w:vAlign w:val="center"/>
                </w:tcPr>
                <w:p w14:paraId="7496D7FF">
                  <w:pPr>
                    <w:keepNext w:val="0"/>
                    <w:keepLines w:val="0"/>
                    <w:widowControl/>
                    <w:suppressLineNumbers w:val="0"/>
                    <w:spacing w:line="240" w:lineRule="auto"/>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109.76</w:t>
                  </w:r>
                </w:p>
              </w:tc>
              <w:tc>
                <w:tcPr>
                  <w:tcW w:w="1846" w:type="dxa"/>
                  <w:vAlign w:val="center"/>
                </w:tcPr>
                <w:p w14:paraId="6AE1C93F">
                  <w:pPr>
                    <w:keepNext w:val="0"/>
                    <w:keepLines w:val="0"/>
                    <w:widowControl/>
                    <w:suppressLineNumbers w:val="0"/>
                    <w:spacing w:line="240" w:lineRule="auto"/>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864</w:t>
                  </w:r>
                </w:p>
              </w:tc>
              <w:tc>
                <w:tcPr>
                  <w:tcW w:w="1677" w:type="dxa"/>
                  <w:vAlign w:val="center"/>
                </w:tcPr>
                <w:p w14:paraId="4D607F0A">
                  <w:pPr>
                    <w:keepNext w:val="0"/>
                    <w:keepLines w:val="0"/>
                    <w:widowControl/>
                    <w:suppressLineNumbers w:val="0"/>
                    <w:jc w:val="center"/>
                    <w:textAlignment w:val="center"/>
                    <w:rPr>
                      <w:rFonts w:hint="default"/>
                      <w:color w:val="auto"/>
                      <w:sz w:val="21"/>
                      <w:szCs w:val="21"/>
                      <w:lang w:val="en-US" w:eastAsia="zh-CN"/>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754.24</w:t>
                  </w:r>
                </w:p>
              </w:tc>
            </w:tr>
            <w:tr w14:paraId="3FBE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409" w:type="dxa"/>
                  <w:vMerge w:val="continue"/>
                  <w:vAlign w:val="center"/>
                </w:tcPr>
                <w:p w14:paraId="53AF542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Cs/>
                      <w:color w:val="auto"/>
                      <w:sz w:val="21"/>
                      <w:szCs w:val="21"/>
                      <w:highlight w:val="none"/>
                    </w:rPr>
                  </w:pPr>
                </w:p>
              </w:tc>
              <w:tc>
                <w:tcPr>
                  <w:tcW w:w="1607" w:type="dxa"/>
                  <w:vAlign w:val="center"/>
                </w:tcPr>
                <w:p w14:paraId="2C22B5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color w:val="auto"/>
                      <w:sz w:val="21"/>
                      <w:szCs w:val="21"/>
                      <w:lang w:val="en-US" w:eastAsia="zh-CN"/>
                    </w:rPr>
                    <w:t>颗粒物</w:t>
                  </w:r>
                </w:p>
              </w:tc>
              <w:tc>
                <w:tcPr>
                  <w:tcW w:w="1420" w:type="dxa"/>
                  <w:vAlign w:val="center"/>
                </w:tcPr>
                <w:p w14:paraId="7B5ED7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0.016</w:t>
                  </w:r>
                </w:p>
              </w:tc>
              <w:tc>
                <w:tcPr>
                  <w:tcW w:w="1846" w:type="dxa"/>
                  <w:vAlign w:val="center"/>
                </w:tcPr>
                <w:p w14:paraId="4BBF7B29">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0.114 </w:t>
                  </w:r>
                </w:p>
              </w:tc>
              <w:tc>
                <w:tcPr>
                  <w:tcW w:w="1677" w:type="dxa"/>
                  <w:vAlign w:val="center"/>
                </w:tcPr>
                <w:p w14:paraId="51F04B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0.098</w:t>
                  </w:r>
                </w:p>
              </w:tc>
            </w:tr>
            <w:tr w14:paraId="4DEE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409" w:type="dxa"/>
                  <w:vMerge w:val="continue"/>
                  <w:vAlign w:val="center"/>
                </w:tcPr>
                <w:p w14:paraId="1286535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1607" w:type="dxa"/>
                  <w:vAlign w:val="center"/>
                </w:tcPr>
                <w:p w14:paraId="21518E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color w:val="auto"/>
                      <w:sz w:val="21"/>
                      <w:szCs w:val="21"/>
                      <w:highlight w:val="none"/>
                    </w:rPr>
                    <w:t>SO</w:t>
                  </w:r>
                  <w:r>
                    <w:rPr>
                      <w:rFonts w:hint="eastAsia" w:ascii="Times New Roman" w:hAnsi="Times New Roman"/>
                      <w:color w:val="auto"/>
                      <w:sz w:val="21"/>
                      <w:szCs w:val="21"/>
                      <w:highlight w:val="none"/>
                      <w:vertAlign w:val="subscript"/>
                    </w:rPr>
                    <w:t>2</w:t>
                  </w:r>
                </w:p>
              </w:tc>
              <w:tc>
                <w:tcPr>
                  <w:tcW w:w="1420" w:type="dxa"/>
                  <w:vAlign w:val="center"/>
                </w:tcPr>
                <w:p w14:paraId="321888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0.020</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846" w:type="dxa"/>
                  <w:vAlign w:val="center"/>
                </w:tcPr>
                <w:p w14:paraId="31358B49">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0.175 </w:t>
                  </w:r>
                </w:p>
              </w:tc>
              <w:tc>
                <w:tcPr>
                  <w:tcW w:w="1677" w:type="dxa"/>
                  <w:vAlign w:val="center"/>
                </w:tcPr>
                <w:p w14:paraId="1AE8B4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0.155</w:t>
                  </w:r>
                </w:p>
              </w:tc>
            </w:tr>
            <w:tr w14:paraId="7FB0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409" w:type="dxa"/>
                  <w:vMerge w:val="continue"/>
                  <w:vAlign w:val="center"/>
                </w:tcPr>
                <w:p w14:paraId="1E211CA6">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p>
              </w:tc>
              <w:tc>
                <w:tcPr>
                  <w:tcW w:w="1607" w:type="dxa"/>
                  <w:vAlign w:val="center"/>
                </w:tcPr>
                <w:p w14:paraId="5A07869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olor w:val="auto"/>
                      <w:sz w:val="21"/>
                      <w:szCs w:val="21"/>
                    </w:rPr>
                    <w:t>NOx</w:t>
                  </w:r>
                </w:p>
              </w:tc>
              <w:tc>
                <w:tcPr>
                  <w:tcW w:w="1420" w:type="dxa"/>
                  <w:vAlign w:val="center"/>
                </w:tcPr>
                <w:p w14:paraId="4BC0BC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0.077</w:t>
                  </w:r>
                </w:p>
              </w:tc>
              <w:tc>
                <w:tcPr>
                  <w:tcW w:w="1846" w:type="dxa"/>
                  <w:vAlign w:val="center"/>
                </w:tcPr>
                <w:p w14:paraId="39771960">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1.728 </w:t>
                  </w:r>
                </w:p>
              </w:tc>
              <w:tc>
                <w:tcPr>
                  <w:tcW w:w="1677" w:type="dxa"/>
                  <w:vAlign w:val="center"/>
                </w:tcPr>
                <w:p w14:paraId="1812F7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1.651</w:t>
                  </w:r>
                </w:p>
              </w:tc>
            </w:tr>
          </w:tbl>
          <w:p w14:paraId="45120329">
            <w:pPr>
              <w:spacing w:line="360" w:lineRule="auto"/>
              <w:ind w:firstLine="482" w:firstLineChars="200"/>
              <w:textAlignment w:val="center"/>
              <w:rPr>
                <w:rFonts w:hint="default" w:ascii="Times New Roman" w:hAnsi="Times New Roman" w:eastAsia="宋体" w:cs="Times New Roman"/>
                <w:color w:val="auto"/>
                <w:sz w:val="24"/>
                <w:szCs w:val="24"/>
                <w:highlight w:val="none"/>
                <w:lang w:val="en-US" w:eastAsia="zh-CN"/>
              </w:rPr>
            </w:pPr>
            <w:r>
              <w:rPr>
                <w:rFonts w:hint="eastAsia"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rPr>
              <w:t>非正常工况排放情况</w:t>
            </w:r>
          </w:p>
          <w:p w14:paraId="18C7B8C6">
            <w:pPr>
              <w:pStyle w:val="63"/>
              <w:adjustRightInd w:val="0"/>
              <w:snapToGrid w:val="0"/>
              <w:spacing w:line="360" w:lineRule="auto"/>
              <w:rPr>
                <w:rFonts w:hint="default" w:ascii="Times New Roman" w:hAnsi="Times New Roman" w:cs="Times New Roman"/>
                <w:color w:val="auto"/>
              </w:rPr>
            </w:pPr>
            <w:r>
              <w:rPr>
                <w:rFonts w:hint="default" w:ascii="Times New Roman" w:hAnsi="Times New Roman" w:cs="Times New Roman"/>
                <w:color w:val="auto"/>
              </w:rPr>
              <w:t>本项目运行过程中发生的事故主要是除尘装置故障或停止工作，大量的烟气未经除尘就直排大气，造成短时间污染物浓度过高。本项目以除尘器装置发生故障作为非正常工况。</w:t>
            </w:r>
          </w:p>
          <w:p w14:paraId="08E667E1">
            <w:pPr>
              <w:pStyle w:val="63"/>
              <w:adjustRightInd w:val="0"/>
              <w:snapToGrid w:val="0"/>
              <w:spacing w:line="360" w:lineRule="auto"/>
              <w:rPr>
                <w:rFonts w:hint="default" w:ascii="Times New Roman" w:hAnsi="Times New Roman" w:cs="Times New Roman"/>
                <w:color w:val="auto"/>
              </w:rPr>
            </w:pPr>
            <w:r>
              <w:rPr>
                <w:rFonts w:hint="default" w:ascii="Times New Roman" w:hAnsi="Times New Roman" w:cs="Times New Roman"/>
                <w:color w:val="auto"/>
              </w:rPr>
              <w:t>本项目锅炉烟气采用</w:t>
            </w:r>
            <w:r>
              <w:rPr>
                <w:rFonts w:hint="eastAsia" w:cs="Times New Roman"/>
                <w:color w:val="auto"/>
                <w:lang w:eastAsia="zh-CN"/>
              </w:rPr>
              <w:t>“</w:t>
            </w:r>
            <w:r>
              <w:rPr>
                <w:rFonts w:hint="default" w:ascii="Times New Roman" w:hAnsi="Times New Roman" w:cs="Times New Roman"/>
                <w:color w:val="auto"/>
              </w:rPr>
              <w:t>多管旋风除尘</w:t>
            </w:r>
            <w:r>
              <w:rPr>
                <w:rFonts w:hint="eastAsia" w:cs="Times New Roman"/>
                <w:color w:val="auto"/>
                <w:lang w:val="en-US" w:eastAsia="zh-CN"/>
              </w:rPr>
              <w:t>器</w:t>
            </w:r>
            <w:r>
              <w:rPr>
                <w:rFonts w:hint="default" w:ascii="Times New Roman" w:hAnsi="Times New Roman" w:cs="Times New Roman"/>
                <w:color w:val="auto"/>
              </w:rPr>
              <w:t>+布袋除尘</w:t>
            </w:r>
            <w:r>
              <w:rPr>
                <w:rFonts w:hint="eastAsia" w:cs="Times New Roman"/>
                <w:color w:val="auto"/>
                <w:lang w:val="en-US" w:eastAsia="zh-CN"/>
              </w:rPr>
              <w:t>器</w:t>
            </w:r>
            <w:r>
              <w:rPr>
                <w:rFonts w:hint="eastAsia" w:cs="Times New Roman"/>
                <w:color w:val="auto"/>
                <w:lang w:eastAsia="zh-CN"/>
              </w:rPr>
              <w:t>”</w:t>
            </w:r>
            <w:r>
              <w:rPr>
                <w:rFonts w:hint="default" w:ascii="Times New Roman" w:hAnsi="Times New Roman" w:cs="Times New Roman"/>
                <w:color w:val="auto"/>
              </w:rPr>
              <w:t>，一个袋式除尘器由几十或上百条滤袋组成，袋收尘器中滤袋损坏会使除尘效率降低，从概率统计分析可知，除尘滤袋越多，单个滤袋损坏的几率越小，而几个滤袋同时损坏的几率更小，而所有滤袋同时损坏的几率几乎为零，另外考虑到对袋收尘器的维护检查，更换破损滤袋，袋收尘器事故性排放效率下降一般不会超过5%，出现更高比例的滤袋破损概率非常小。袋式除尘器对锅炉烟气中SO</w:t>
            </w:r>
            <w:r>
              <w:rPr>
                <w:rFonts w:hint="default" w:ascii="Times New Roman" w:hAnsi="Times New Roman" w:cs="Times New Roman"/>
                <w:color w:val="auto"/>
                <w:vertAlign w:val="subscript"/>
              </w:rPr>
              <w:t>2</w:t>
            </w:r>
            <w:r>
              <w:rPr>
                <w:rFonts w:hint="default" w:ascii="Times New Roman" w:hAnsi="Times New Roman" w:cs="Times New Roman"/>
                <w:color w:val="auto"/>
              </w:rPr>
              <w:t>、NOx无去除作用，排放浓度及排放量维持正常水平。所有除尘系统同时出现故障不运行的概率几乎为零。</w:t>
            </w:r>
          </w:p>
          <w:p w14:paraId="5FAAF72D">
            <w:pPr>
              <w:pStyle w:val="63"/>
              <w:adjustRightInd w:val="0"/>
              <w:snapToGrid w:val="0"/>
              <w:spacing w:line="360" w:lineRule="auto"/>
              <w:rPr>
                <w:rFonts w:hint="default" w:ascii="Times New Roman" w:hAnsi="Times New Roman" w:cs="Times New Roman"/>
                <w:color w:val="auto"/>
              </w:rPr>
            </w:pPr>
            <w:r>
              <w:rPr>
                <w:rFonts w:hint="default" w:ascii="Times New Roman" w:hAnsi="Times New Roman" w:cs="Times New Roman"/>
                <w:color w:val="auto"/>
              </w:rPr>
              <w:t>本次评价主要以除尘器除尘效率降低至95%作为非正常排放考虑，则污染源非正常排放统计见下表。</w:t>
            </w:r>
          </w:p>
          <w:p w14:paraId="4680D1A1">
            <w:pPr>
              <w:pStyle w:val="63"/>
              <w:adjustRightInd w:val="0"/>
              <w:snapToGrid w:val="0"/>
              <w:spacing w:line="360" w:lineRule="auto"/>
              <w:rPr>
                <w:rFonts w:hint="default" w:ascii="Times New Roman" w:hAnsi="Times New Roman" w:cs="Times New Roman"/>
                <w:color w:val="auto"/>
                <w:szCs w:val="21"/>
              </w:rPr>
            </w:pPr>
            <w:r>
              <w:rPr>
                <w:rFonts w:hint="default" w:ascii="Times New Roman" w:hAnsi="Times New Roman" w:cs="Times New Roman"/>
                <w:color w:val="auto"/>
              </w:rPr>
              <w:t>非正常情况下排放情况见下表。</w:t>
            </w:r>
          </w:p>
          <w:p w14:paraId="2B6A0EA5">
            <w:pPr>
              <w:widowControl/>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szCs w:val="21"/>
              </w:rPr>
              <w:t>表4-</w:t>
            </w:r>
            <w:r>
              <w:rPr>
                <w:rFonts w:hint="eastAsia" w:cs="Times New Roman"/>
                <w:b/>
                <w:bCs/>
                <w:color w:val="auto"/>
                <w:szCs w:val="21"/>
                <w:lang w:val="en-US" w:eastAsia="zh-CN"/>
              </w:rPr>
              <w:t>6</w:t>
            </w:r>
            <w:r>
              <w:rPr>
                <w:rFonts w:hint="default" w:ascii="Times New Roman" w:hAnsi="Times New Roman" w:cs="Times New Roman"/>
                <w:b/>
                <w:bCs/>
                <w:color w:val="auto"/>
                <w:szCs w:val="21"/>
              </w:rPr>
              <w:t xml:space="preserve"> 项目</w:t>
            </w:r>
            <w:r>
              <w:rPr>
                <w:rFonts w:hint="default" w:ascii="Times New Roman" w:hAnsi="Times New Roman" w:cs="Times New Roman"/>
                <w:b/>
                <w:bCs/>
                <w:color w:val="auto"/>
                <w:kern w:val="0"/>
                <w:szCs w:val="21"/>
              </w:rPr>
              <w:t>非正常工况下污染物排放情况一览表</w:t>
            </w:r>
          </w:p>
          <w:tbl>
            <w:tblPr>
              <w:tblStyle w:val="23"/>
              <w:tblW w:w="7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045"/>
              <w:gridCol w:w="674"/>
              <w:gridCol w:w="1360"/>
              <w:gridCol w:w="1232"/>
              <w:gridCol w:w="989"/>
              <w:gridCol w:w="719"/>
              <w:gridCol w:w="1141"/>
            </w:tblGrid>
            <w:tr w14:paraId="118A6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37" w:type="dxa"/>
                  <w:noWrap w:val="0"/>
                  <w:vAlign w:val="center"/>
                </w:tcPr>
                <w:p w14:paraId="104CBAE8">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污染源</w:t>
                  </w:r>
                </w:p>
              </w:tc>
              <w:tc>
                <w:tcPr>
                  <w:tcW w:w="1045" w:type="dxa"/>
                  <w:noWrap w:val="0"/>
                  <w:vAlign w:val="center"/>
                </w:tcPr>
                <w:p w14:paraId="71D95265">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非正常排放原因</w:t>
                  </w:r>
                </w:p>
              </w:tc>
              <w:tc>
                <w:tcPr>
                  <w:tcW w:w="674" w:type="dxa"/>
                  <w:noWrap w:val="0"/>
                  <w:vAlign w:val="center"/>
                </w:tcPr>
                <w:p w14:paraId="7B4D9650">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污染物</w:t>
                  </w:r>
                </w:p>
              </w:tc>
              <w:tc>
                <w:tcPr>
                  <w:tcW w:w="1360" w:type="dxa"/>
                  <w:noWrap w:val="0"/>
                  <w:vAlign w:val="center"/>
                </w:tcPr>
                <w:p w14:paraId="2051C817">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非正常排放浓度（mg/m</w:t>
                  </w:r>
                  <w:r>
                    <w:rPr>
                      <w:rFonts w:hint="eastAsia"/>
                      <w:b/>
                      <w:bCs/>
                      <w:color w:val="auto"/>
                      <w:sz w:val="21"/>
                      <w:szCs w:val="21"/>
                      <w:vertAlign w:val="superscript"/>
                      <w:lang w:val="en-US" w:eastAsia="zh-CN"/>
                    </w:rPr>
                    <w:t>3</w:t>
                  </w:r>
                  <w:r>
                    <w:rPr>
                      <w:rFonts w:hint="eastAsia"/>
                      <w:b/>
                      <w:bCs/>
                      <w:color w:val="auto"/>
                      <w:sz w:val="21"/>
                      <w:szCs w:val="21"/>
                      <w:vertAlign w:val="baseline"/>
                      <w:lang w:val="en-US" w:eastAsia="zh-CN"/>
                    </w:rPr>
                    <w:t>）</w:t>
                  </w:r>
                </w:p>
              </w:tc>
              <w:tc>
                <w:tcPr>
                  <w:tcW w:w="1232" w:type="dxa"/>
                  <w:noWrap w:val="0"/>
                  <w:vAlign w:val="center"/>
                </w:tcPr>
                <w:p w14:paraId="3001171F">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非正常排放速率（kg/h）</w:t>
                  </w:r>
                </w:p>
              </w:tc>
              <w:tc>
                <w:tcPr>
                  <w:tcW w:w="989" w:type="dxa"/>
                  <w:noWrap w:val="0"/>
                  <w:vAlign w:val="center"/>
                </w:tcPr>
                <w:p w14:paraId="2500E479">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单次持续时间（h）</w:t>
                  </w:r>
                </w:p>
              </w:tc>
              <w:tc>
                <w:tcPr>
                  <w:tcW w:w="719" w:type="dxa"/>
                  <w:noWrap w:val="0"/>
                  <w:vAlign w:val="center"/>
                </w:tcPr>
                <w:p w14:paraId="5FA96BD9">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年发生频次</w:t>
                  </w:r>
                </w:p>
              </w:tc>
              <w:tc>
                <w:tcPr>
                  <w:tcW w:w="1141" w:type="dxa"/>
                  <w:noWrap w:val="0"/>
                  <w:vAlign w:val="center"/>
                </w:tcPr>
                <w:p w14:paraId="17D2C565">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应对措施</w:t>
                  </w:r>
                </w:p>
              </w:tc>
            </w:tr>
            <w:tr w14:paraId="7603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837" w:type="dxa"/>
                  <w:noWrap w:val="0"/>
                  <w:vAlign w:val="center"/>
                </w:tcPr>
                <w:p w14:paraId="21BFE8B8">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DA001</w:t>
                  </w:r>
                </w:p>
              </w:tc>
              <w:tc>
                <w:tcPr>
                  <w:tcW w:w="1045" w:type="dxa"/>
                  <w:noWrap w:val="0"/>
                  <w:vAlign w:val="center"/>
                </w:tcPr>
                <w:p w14:paraId="5E5FAA5B">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b w:val="0"/>
                      <w:bCs w:val="0"/>
                      <w:color w:val="auto"/>
                      <w:sz w:val="21"/>
                      <w:szCs w:val="21"/>
                      <w:vertAlign w:val="baseline"/>
                      <w:lang w:val="en-US" w:eastAsia="zh-CN"/>
                    </w:rPr>
                  </w:pPr>
                  <w:r>
                    <w:rPr>
                      <w:color w:val="auto"/>
                      <w:sz w:val="21"/>
                      <w:szCs w:val="21"/>
                    </w:rPr>
                    <w:t>除尘设施</w:t>
                  </w:r>
                  <w:r>
                    <w:rPr>
                      <w:rFonts w:hint="eastAsia"/>
                      <w:color w:val="auto"/>
                      <w:sz w:val="21"/>
                      <w:szCs w:val="21"/>
                      <w:lang w:val="en-US" w:eastAsia="zh-CN"/>
                    </w:rPr>
                    <w:t>效率</w:t>
                  </w:r>
                  <w:r>
                    <w:rPr>
                      <w:color w:val="auto"/>
                      <w:sz w:val="21"/>
                      <w:szCs w:val="21"/>
                    </w:rPr>
                    <w:t>下降至</w:t>
                  </w:r>
                  <w:r>
                    <w:rPr>
                      <w:rFonts w:hint="eastAsia"/>
                      <w:color w:val="auto"/>
                      <w:sz w:val="21"/>
                      <w:szCs w:val="21"/>
                      <w:lang w:val="en-US" w:eastAsia="zh-CN"/>
                    </w:rPr>
                    <w:t>95</w:t>
                  </w:r>
                  <w:r>
                    <w:rPr>
                      <w:color w:val="auto"/>
                      <w:sz w:val="21"/>
                      <w:szCs w:val="21"/>
                    </w:rPr>
                    <w:t>%</w:t>
                  </w:r>
                </w:p>
              </w:tc>
              <w:tc>
                <w:tcPr>
                  <w:tcW w:w="674" w:type="dxa"/>
                  <w:noWrap w:val="0"/>
                  <w:vAlign w:val="center"/>
                </w:tcPr>
                <w:p w14:paraId="1382DC47">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颗粒物</w:t>
                  </w:r>
                </w:p>
              </w:tc>
              <w:tc>
                <w:tcPr>
                  <w:tcW w:w="1360" w:type="dxa"/>
                  <w:noWrap w:val="0"/>
                  <w:vAlign w:val="center"/>
                </w:tcPr>
                <w:p w14:paraId="2A6583F4">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65.97</w:t>
                  </w:r>
                </w:p>
              </w:tc>
              <w:tc>
                <w:tcPr>
                  <w:tcW w:w="1232" w:type="dxa"/>
                  <w:noWrap w:val="0"/>
                  <w:vAlign w:val="center"/>
                </w:tcPr>
                <w:p w14:paraId="26D556D6">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0.238</w:t>
                  </w:r>
                </w:p>
              </w:tc>
              <w:tc>
                <w:tcPr>
                  <w:tcW w:w="989" w:type="dxa"/>
                  <w:noWrap w:val="0"/>
                  <w:vAlign w:val="center"/>
                </w:tcPr>
                <w:p w14:paraId="6AF129A9">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w:t>
                  </w:r>
                </w:p>
              </w:tc>
              <w:tc>
                <w:tcPr>
                  <w:tcW w:w="719" w:type="dxa"/>
                  <w:noWrap w:val="0"/>
                  <w:vAlign w:val="center"/>
                </w:tcPr>
                <w:p w14:paraId="451DA459">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1次/年</w:t>
                  </w:r>
                </w:p>
              </w:tc>
              <w:tc>
                <w:tcPr>
                  <w:tcW w:w="1141" w:type="dxa"/>
                  <w:noWrap w:val="0"/>
                  <w:vAlign w:val="center"/>
                </w:tcPr>
                <w:p w14:paraId="3ADB5EEF">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暂时停止生产，停机检修；定期对废气处理设施进行检修和更换</w:t>
                  </w:r>
                </w:p>
              </w:tc>
            </w:tr>
          </w:tbl>
          <w:p w14:paraId="12F638F6">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b w:val="0"/>
                <w:bCs w:val="0"/>
                <w:color w:val="auto"/>
                <w:sz w:val="24"/>
                <w:szCs w:val="24"/>
                <w:lang w:val="en-US" w:eastAsia="zh-CN"/>
              </w:rPr>
            </w:pPr>
            <w:r>
              <w:rPr>
                <w:rFonts w:hint="eastAsia"/>
                <w:b w:val="0"/>
                <w:bCs w:val="0"/>
                <w:color w:val="auto"/>
                <w:sz w:val="24"/>
                <w:szCs w:val="24"/>
                <w:lang w:val="en-US" w:eastAsia="zh-CN"/>
              </w:rPr>
              <w:t>由上表可知，项目废气处理设施出现故障时，颗粒物排放速率及排放浓度均有所增加，颗粒物排放浓度超过《锅炉大气污染物排放标准》（GB13271-2014）表2中新建燃煤锅炉大气污染物排放限值，建设单位应定期对环保设施进行检修，并建立台账管理制度，保证去除效果，当出现设备故障时，应及时停止生产，并对废气治理设备进行检修。</w:t>
            </w:r>
          </w:p>
          <w:p w14:paraId="3866CC1E">
            <w:pPr>
              <w:adjustRightInd w:val="0"/>
              <w:snapToGrid w:val="0"/>
              <w:spacing w:line="360" w:lineRule="auto"/>
              <w:ind w:firstLine="482" w:firstLineChars="200"/>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lang w:val="en-US" w:eastAsia="zh-CN"/>
              </w:rPr>
              <w:t>、</w:t>
            </w:r>
            <w:r>
              <w:rPr>
                <w:rFonts w:hint="eastAsia" w:ascii="Times New Roman" w:hAnsi="Times New Roman" w:eastAsia="宋体" w:cs="Times New Roman"/>
                <w:b/>
                <w:color w:val="auto"/>
                <w:sz w:val="24"/>
                <w:lang w:val="en-US" w:eastAsia="zh-CN"/>
              </w:rPr>
              <w:t>大气影响分析</w:t>
            </w:r>
          </w:p>
          <w:p w14:paraId="3004AA55">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有组织废气环境影响分析</w:t>
            </w:r>
          </w:p>
          <w:p w14:paraId="3B746876">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color w:val="auto"/>
                <w:sz w:val="24"/>
                <w:szCs w:val="24"/>
              </w:rPr>
              <w:t>项目生物质锅炉</w:t>
            </w:r>
            <w:r>
              <w:rPr>
                <w:rFonts w:hint="eastAsia" w:ascii="Times New Roman" w:hAnsi="Times New Roman" w:cs="Times New Roman"/>
                <w:color w:val="auto"/>
                <w:sz w:val="24"/>
                <w:szCs w:val="24"/>
                <w:lang w:val="en-US" w:eastAsia="zh-CN"/>
              </w:rPr>
              <w:t>采用低氮燃烧技术，锅炉</w:t>
            </w:r>
            <w:r>
              <w:rPr>
                <w:rFonts w:hint="default" w:ascii="Times New Roman" w:hAnsi="Times New Roman" w:cs="Times New Roman"/>
                <w:color w:val="auto"/>
                <w:sz w:val="24"/>
                <w:szCs w:val="24"/>
              </w:rPr>
              <w:t>燃烧</w:t>
            </w:r>
            <w:r>
              <w:rPr>
                <w:rFonts w:hint="eastAsia" w:ascii="Times New Roman" w:hAnsi="Times New Roman" w:cs="Times New Roman"/>
                <w:color w:val="auto"/>
                <w:sz w:val="24"/>
                <w:szCs w:val="24"/>
                <w:lang w:val="en-US" w:eastAsia="zh-CN"/>
              </w:rPr>
              <w:t>废气</w:t>
            </w:r>
            <w:r>
              <w:rPr>
                <w:rFonts w:hint="default" w:ascii="Times New Roman" w:hAnsi="Times New Roman" w:cs="Times New Roman"/>
                <w:color w:val="auto"/>
                <w:sz w:val="24"/>
                <w:szCs w:val="24"/>
              </w:rPr>
              <w:t>经“多管旋风除尘器+布袋除尘器”处理后，通过1根</w:t>
            </w:r>
            <w:r>
              <w:rPr>
                <w:rFonts w:hint="eastAsia" w:ascii="Times New Roman" w:hAnsi="Times New Roman" w:cs="Times New Roman"/>
                <w:color w:val="auto"/>
                <w:sz w:val="24"/>
                <w:szCs w:val="24"/>
                <w:lang w:val="en-US" w:eastAsia="zh-CN"/>
              </w:rPr>
              <w:t>30</w:t>
            </w:r>
            <w:r>
              <w:rPr>
                <w:rFonts w:hint="default" w:ascii="Times New Roman" w:hAnsi="Times New Roman" w:cs="Times New Roman"/>
                <w:color w:val="auto"/>
                <w:sz w:val="24"/>
                <w:szCs w:val="24"/>
              </w:rPr>
              <w:t>m高的排气筒</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DA001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排放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各污染物的排放浓度能满足《锅炉大气污染物排放标准》（GB13271-2014）中新建燃煤锅炉大气污染物排放标准限值</w:t>
            </w:r>
            <w:r>
              <w:rPr>
                <w:rFonts w:hint="default" w:ascii="Times New Roman" w:hAnsi="Times New Roman" w:cs="Times New Roman"/>
                <w:color w:val="auto"/>
                <w:sz w:val="24"/>
                <w:szCs w:val="24"/>
                <w:lang w:eastAsia="zh-CN"/>
              </w:rPr>
              <w:t>，</w:t>
            </w:r>
            <w:r>
              <w:rPr>
                <w:rFonts w:hint="default" w:ascii="Times New Roman" w:hAnsi="Times New Roman" w:cs="Times New Roman"/>
                <w:b w:val="0"/>
                <w:bCs w:val="0"/>
                <w:color w:val="auto"/>
                <w:sz w:val="24"/>
                <w:szCs w:val="24"/>
                <w:lang w:val="en-US" w:eastAsia="zh-CN"/>
              </w:rPr>
              <w:t>对周围环境影响较小。</w:t>
            </w:r>
          </w:p>
          <w:p w14:paraId="54ADA95C">
            <w:pPr>
              <w:adjustRightInd w:val="0"/>
              <w:snapToGrid w:val="0"/>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eastAsia="zh-CN"/>
              </w:rPr>
              <w:t>（</w:t>
            </w:r>
            <w:r>
              <w:rPr>
                <w:rFonts w:hint="eastAsia" w:cs="Times New Roman"/>
                <w:b/>
                <w:bCs/>
                <w:color w:val="auto"/>
                <w:sz w:val="24"/>
                <w:lang w:val="en-US" w:eastAsia="zh-CN"/>
              </w:rPr>
              <w:t>2</w:t>
            </w:r>
            <w:r>
              <w:rPr>
                <w:rFonts w:hint="eastAsia" w:cs="Times New Roman"/>
                <w:b/>
                <w:bCs/>
                <w:color w:val="auto"/>
                <w:sz w:val="24"/>
                <w:lang w:eastAsia="zh-CN"/>
              </w:rPr>
              <w:t>）</w:t>
            </w:r>
            <w:r>
              <w:rPr>
                <w:rFonts w:hint="eastAsia" w:cs="Times New Roman"/>
                <w:b/>
                <w:bCs/>
                <w:color w:val="auto"/>
                <w:sz w:val="24"/>
                <w:lang w:val="en-US" w:eastAsia="zh-CN"/>
              </w:rPr>
              <w:t>无组织废气环境影响分析</w:t>
            </w:r>
          </w:p>
          <w:p w14:paraId="6618A726">
            <w:pPr>
              <w:spacing w:line="360" w:lineRule="auto"/>
              <w:ind w:firstLine="480" w:firstLineChars="200"/>
              <w:textAlignment w:val="center"/>
              <w:rPr>
                <w:rFonts w:hint="default" w:ascii="Times New Roman" w:hAnsi="Times New Roman" w:eastAsia="宋体" w:cs="Times New Roman"/>
                <w:b w:val="0"/>
                <w:bCs w:val="0"/>
                <w:color w:val="auto"/>
                <w:sz w:val="24"/>
                <w:lang w:val="en-US" w:eastAsia="zh-CN"/>
              </w:rPr>
            </w:pPr>
            <w:r>
              <w:rPr>
                <w:rFonts w:hint="default" w:ascii="Times New Roman" w:hAnsi="Times New Roman" w:cs="Times New Roman"/>
                <w:b w:val="0"/>
                <w:bCs/>
                <w:color w:val="auto"/>
                <w:sz w:val="24"/>
                <w:szCs w:val="24"/>
                <w:lang w:val="en-US" w:eastAsia="zh-CN"/>
              </w:rPr>
              <w:t>项目</w:t>
            </w:r>
            <w:r>
              <w:rPr>
                <w:rFonts w:hint="eastAsia" w:cs="Times New Roman"/>
                <w:b w:val="0"/>
                <w:bCs w:val="0"/>
                <w:color w:val="auto"/>
                <w:sz w:val="24"/>
                <w:lang w:val="en-US" w:eastAsia="zh-CN"/>
              </w:rPr>
              <w:t>生物质锅炉炉渣清灰时间较短，粉尘产生量较小</w:t>
            </w:r>
            <w:r>
              <w:rPr>
                <w:rFonts w:hint="default" w:ascii="Times New Roman" w:hAnsi="Times New Roman" w:cs="Times New Roman"/>
                <w:color w:val="auto"/>
                <w:sz w:val="24"/>
                <w:szCs w:val="24"/>
                <w:lang w:val="en-US" w:eastAsia="zh-CN"/>
              </w:rPr>
              <w:t>；</w:t>
            </w:r>
            <w:r>
              <w:rPr>
                <w:rFonts w:hint="default" w:ascii="Times New Roman" w:hAnsi="Times New Roman" w:cs="Times New Roman"/>
                <w:b w:val="0"/>
                <w:bCs/>
                <w:color w:val="auto"/>
                <w:sz w:val="24"/>
                <w:szCs w:val="24"/>
                <w:lang w:val="en-US" w:eastAsia="zh-CN"/>
              </w:rPr>
              <w:t>项目废果、废果皮等均进行日产日清，同时加强车间内的保洁，异味的产生量较小，经大气稀释扩散后呈无组织排放；项目一体化污水处理站位于室外，运营过程产生废气较少，经稀释扩散后呈无组织排放。因此，项目无组织排放的粉尘、生产车间异味及一体化污水处理站废气经如上措施后对周边环境的影响较小。</w:t>
            </w:r>
          </w:p>
          <w:p w14:paraId="6BCCE6E7">
            <w:pPr>
              <w:numPr>
                <w:ilvl w:val="0"/>
                <w:numId w:val="4"/>
              </w:numPr>
              <w:adjustRightInd w:val="0"/>
              <w:snapToGrid w:val="0"/>
              <w:spacing w:line="360" w:lineRule="auto"/>
              <w:ind w:firstLine="442" w:firstLineChars="200"/>
              <w:rPr>
                <w:rFonts w:hint="default" w:ascii="Times New Roman" w:hAnsi="Times New Roman" w:cs="Times New Roman"/>
                <w:b/>
                <w:color w:val="auto"/>
                <w:spacing w:val="-10"/>
                <w:sz w:val="24"/>
                <w:szCs w:val="24"/>
              </w:rPr>
            </w:pPr>
            <w:r>
              <w:rPr>
                <w:rFonts w:hint="default" w:ascii="Times New Roman" w:hAnsi="Times New Roman" w:cs="Times New Roman"/>
                <w:b/>
                <w:color w:val="auto"/>
                <w:spacing w:val="-10"/>
                <w:sz w:val="24"/>
                <w:szCs w:val="24"/>
              </w:rPr>
              <w:t>排气筒设置合理性分析</w:t>
            </w:r>
          </w:p>
          <w:p w14:paraId="0BD8C02D">
            <w:pPr>
              <w:spacing w:line="360" w:lineRule="auto"/>
              <w:ind w:firstLine="480" w:firstLineChars="200"/>
              <w:textAlignment w:val="center"/>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根据《锅炉大气污染物排放标准》（GB13271-2014）</w:t>
            </w:r>
            <w:r>
              <w:rPr>
                <w:rFonts w:hint="eastAsia" w:cs="Times New Roman"/>
                <w:b w:val="0"/>
                <w:bCs/>
                <w:color w:val="auto"/>
                <w:sz w:val="24"/>
                <w:szCs w:val="24"/>
                <w:lang w:val="en-US" w:eastAsia="zh-CN"/>
              </w:rPr>
              <w:t>中4.5“每个新建燃煤锅炉房只能设一根烟囱，烟囱高度应根据锅炉房装机总容量，按表4规定执行，燃油、燃气锅炉烟囱不低于8米，锅炉烟囱的具体高度按批复的环境影响评价文件确定。新建锅炉房的烟囱周围半径200m距离内有建筑物时，其烟囱应高出最高建筑物3米以上”。本项目设置1台2.2t/h生物质锅炉，根据</w:t>
            </w:r>
            <w:r>
              <w:rPr>
                <w:rFonts w:hint="default" w:ascii="Times New Roman" w:hAnsi="Times New Roman" w:cs="Times New Roman"/>
                <w:b w:val="0"/>
                <w:bCs/>
                <w:color w:val="auto"/>
                <w:sz w:val="24"/>
                <w:szCs w:val="24"/>
                <w:lang w:val="en-US" w:eastAsia="zh-CN"/>
              </w:rPr>
              <w:t>《锅炉大气污染物排放标准》（GB13271-2014）</w:t>
            </w:r>
            <w:r>
              <w:rPr>
                <w:rFonts w:hint="eastAsia" w:cs="Times New Roman"/>
                <w:b w:val="0"/>
                <w:bCs/>
                <w:color w:val="auto"/>
                <w:sz w:val="24"/>
                <w:szCs w:val="24"/>
                <w:lang w:val="en-US" w:eastAsia="zh-CN"/>
              </w:rPr>
              <w:t>表4要求，烟囱最低允许高度为30m。</w:t>
            </w:r>
            <w:r>
              <w:rPr>
                <w:rFonts w:hint="default" w:ascii="Times New Roman" w:hAnsi="Times New Roman" w:cs="Times New Roman"/>
                <w:b w:val="0"/>
                <w:bCs/>
                <w:color w:val="auto"/>
                <w:sz w:val="24"/>
                <w:szCs w:val="24"/>
                <w:lang w:val="en-US" w:eastAsia="zh-CN"/>
              </w:rPr>
              <w:t>项目</w:t>
            </w:r>
            <w:r>
              <w:rPr>
                <w:rFonts w:hint="eastAsia" w:cs="Times New Roman"/>
                <w:b w:val="0"/>
                <w:bCs/>
                <w:color w:val="auto"/>
                <w:sz w:val="24"/>
                <w:szCs w:val="24"/>
                <w:lang w:val="en-US" w:eastAsia="zh-CN"/>
              </w:rPr>
              <w:t>锅炉烟囱高度设计为30m，</w:t>
            </w:r>
            <w:r>
              <w:rPr>
                <w:rFonts w:hint="default" w:ascii="Times New Roman" w:hAnsi="Times New Roman" w:cs="Times New Roman"/>
                <w:b w:val="0"/>
                <w:bCs/>
                <w:color w:val="auto"/>
                <w:sz w:val="24"/>
                <w:szCs w:val="24"/>
                <w:lang w:val="en-US" w:eastAsia="zh-CN"/>
              </w:rPr>
              <w:t>锅炉排放口周围20</w:t>
            </w:r>
            <w:r>
              <w:rPr>
                <w:rFonts w:hint="default" w:ascii="Times New Roman" w:hAnsi="Times New Roman" w:cs="Times New Roman"/>
                <w:b w:val="0"/>
                <w:bCs/>
                <w:color w:val="auto"/>
                <w:sz w:val="24"/>
                <w:szCs w:val="24"/>
                <w:highlight w:val="none"/>
                <w:lang w:val="en-US" w:eastAsia="zh-CN"/>
              </w:rPr>
              <w:t>0m</w:t>
            </w:r>
            <w:r>
              <w:rPr>
                <w:rFonts w:hint="eastAsia" w:cs="Times New Roman"/>
                <w:b w:val="0"/>
                <w:bCs/>
                <w:color w:val="auto"/>
                <w:sz w:val="24"/>
                <w:szCs w:val="24"/>
                <w:highlight w:val="none"/>
                <w:lang w:val="en-US" w:eastAsia="zh-CN"/>
              </w:rPr>
              <w:t>范围最高建筑物为园区办公楼，高度约为15m，本项目排气筒高于该建筑物3m以上，</w:t>
            </w:r>
            <w:r>
              <w:rPr>
                <w:rFonts w:hint="default" w:ascii="Times New Roman" w:hAnsi="Times New Roman" w:cs="Times New Roman"/>
                <w:b w:val="0"/>
                <w:bCs/>
                <w:color w:val="auto"/>
                <w:sz w:val="24"/>
                <w:szCs w:val="24"/>
                <w:highlight w:val="none"/>
                <w:lang w:val="en-US" w:eastAsia="zh-CN"/>
              </w:rPr>
              <w:t>符合《锅炉大气污染物排放标准》（GB13271-2014）</w:t>
            </w:r>
            <w:r>
              <w:rPr>
                <w:rFonts w:hint="eastAsia" w:cs="Times New Roman"/>
                <w:b w:val="0"/>
                <w:bCs/>
                <w:color w:val="auto"/>
                <w:sz w:val="24"/>
                <w:szCs w:val="24"/>
                <w:highlight w:val="none"/>
                <w:lang w:val="en-US" w:eastAsia="zh-CN"/>
              </w:rPr>
              <w:t>相关要求</w:t>
            </w:r>
            <w:r>
              <w:rPr>
                <w:rFonts w:hint="default" w:ascii="Times New Roman" w:hAnsi="Times New Roman" w:cs="Times New Roman"/>
                <w:b w:val="0"/>
                <w:bCs/>
                <w:color w:val="auto"/>
                <w:sz w:val="24"/>
                <w:szCs w:val="24"/>
                <w:highlight w:val="none"/>
                <w:lang w:val="en-US" w:eastAsia="zh-CN"/>
              </w:rPr>
              <w:t>。因此，本</w:t>
            </w:r>
            <w:r>
              <w:rPr>
                <w:rFonts w:hint="default" w:ascii="Times New Roman" w:hAnsi="Times New Roman" w:cs="Times New Roman"/>
                <w:b w:val="0"/>
                <w:bCs/>
                <w:color w:val="auto"/>
                <w:sz w:val="24"/>
                <w:szCs w:val="24"/>
                <w:lang w:val="en-US" w:eastAsia="zh-CN"/>
              </w:rPr>
              <w:t>项目锅炉排放口高度设置合理。</w:t>
            </w:r>
          </w:p>
          <w:p w14:paraId="59C47B9C">
            <w:pPr>
              <w:adjustRightInd w:val="0"/>
              <w:snapToGrid w:val="0"/>
              <w:spacing w:line="360" w:lineRule="auto"/>
              <w:ind w:firstLine="442" w:firstLineChars="200"/>
              <w:rPr>
                <w:rFonts w:hint="default" w:ascii="Times New Roman" w:hAnsi="Times New Roman" w:cs="Times New Roman"/>
                <w:b/>
                <w:color w:val="auto"/>
                <w:spacing w:val="-10"/>
                <w:sz w:val="24"/>
              </w:rPr>
            </w:pPr>
            <w:r>
              <w:rPr>
                <w:rFonts w:hint="default" w:ascii="Times New Roman" w:hAnsi="Times New Roman" w:cs="Times New Roman"/>
                <w:b/>
                <w:color w:val="auto"/>
                <w:spacing w:val="-10"/>
                <w:sz w:val="24"/>
              </w:rPr>
              <w:t>5、废气污染治理设施技术可行性分析</w:t>
            </w:r>
          </w:p>
          <w:p w14:paraId="7D4E9F54">
            <w:pPr>
              <w:spacing w:line="360" w:lineRule="auto"/>
              <w:ind w:firstLine="480" w:firstLineChars="200"/>
              <w:textAlignment w:val="center"/>
              <w:rPr>
                <w:rFonts w:hint="default" w:ascii="Times New Roman" w:hAnsi="Times New Roman" w:cs="Times New Roman"/>
                <w:b/>
                <w:bCs/>
                <w:color w:val="auto"/>
                <w:szCs w:val="21"/>
              </w:rPr>
            </w:pPr>
            <w:r>
              <w:rPr>
                <w:rFonts w:hint="default" w:ascii="Times New Roman" w:hAnsi="Times New Roman" w:cs="Times New Roman"/>
                <w:color w:val="auto"/>
                <w:sz w:val="24"/>
              </w:rPr>
              <w:t>本项目</w:t>
            </w:r>
            <w:r>
              <w:rPr>
                <w:rFonts w:hint="default" w:ascii="Times New Roman" w:hAnsi="Times New Roman" w:cs="Times New Roman"/>
                <w:color w:val="auto"/>
                <w:sz w:val="24"/>
                <w:lang w:val="en-US" w:eastAsia="zh-CN"/>
              </w:rPr>
              <w:t>生物质锅炉</w:t>
            </w:r>
            <w:r>
              <w:rPr>
                <w:rFonts w:hint="default" w:ascii="Times New Roman" w:hAnsi="Times New Roman" w:cs="Times New Roman"/>
                <w:color w:val="auto"/>
                <w:sz w:val="24"/>
              </w:rPr>
              <w:t>废气处理措施与</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排污许可证申请与核发技术规范 锅炉</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HJ953-2018</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中相关要求对照情况见下表。</w:t>
            </w:r>
          </w:p>
          <w:p w14:paraId="54AAF858">
            <w:pPr>
              <w:widowControl/>
              <w:jc w:val="center"/>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rPr>
              <w:t>表4-</w:t>
            </w:r>
            <w:r>
              <w:rPr>
                <w:rFonts w:hint="eastAsia" w:cs="Times New Roman"/>
                <w:b/>
                <w:bCs/>
                <w:color w:val="auto"/>
                <w:szCs w:val="21"/>
                <w:lang w:val="en-US" w:eastAsia="zh-CN"/>
              </w:rPr>
              <w:t>7</w:t>
            </w:r>
            <w:r>
              <w:rPr>
                <w:rFonts w:hint="default" w:ascii="Times New Roman" w:hAnsi="Times New Roman" w:cs="Times New Roman"/>
                <w:b/>
                <w:bCs/>
                <w:color w:val="auto"/>
                <w:szCs w:val="21"/>
              </w:rPr>
              <w:t xml:space="preserve"> </w:t>
            </w:r>
            <w:r>
              <w:rPr>
                <w:rFonts w:hint="default" w:ascii="Times New Roman" w:hAnsi="Times New Roman" w:cs="Times New Roman"/>
                <w:b/>
                <w:bCs/>
                <w:color w:val="auto"/>
                <w:szCs w:val="21"/>
                <w:lang w:val="en-US" w:eastAsia="zh-CN"/>
              </w:rPr>
              <w:t>锅炉烟气污染防治可行技术</w:t>
            </w:r>
          </w:p>
          <w:tbl>
            <w:tblPr>
              <w:tblStyle w:val="23"/>
              <w:tblW w:w="79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064"/>
              <w:gridCol w:w="2202"/>
              <w:gridCol w:w="1398"/>
              <w:gridCol w:w="1254"/>
              <w:gridCol w:w="1326"/>
            </w:tblGrid>
            <w:tr w14:paraId="30D6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gridSpan w:val="2"/>
                  <w:noWrap w:val="0"/>
                  <w:vAlign w:val="center"/>
                </w:tcPr>
                <w:p w14:paraId="58427790">
                  <w:pPr>
                    <w:tabs>
                      <w:tab w:val="left" w:pos="2395"/>
                    </w:tabs>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燃料类型</w:t>
                  </w:r>
                </w:p>
              </w:tc>
              <w:tc>
                <w:tcPr>
                  <w:tcW w:w="2202" w:type="dxa"/>
                  <w:noWrap w:val="0"/>
                  <w:vAlign w:val="center"/>
                </w:tcPr>
                <w:p w14:paraId="1C19F7C8">
                  <w:pPr>
                    <w:tabs>
                      <w:tab w:val="left" w:pos="2395"/>
                    </w:tabs>
                    <w:spacing w:line="240" w:lineRule="auto"/>
                    <w:jc w:val="center"/>
                    <w:rPr>
                      <w:rFonts w:hint="default" w:ascii="Times New Roman" w:hAnsi="Times New Roman" w:cs="Times New Roman"/>
                      <w:b/>
                      <w:bCs/>
                      <w:color w:val="auto"/>
                      <w:sz w:val="21"/>
                      <w:szCs w:val="21"/>
                      <w:vertAlign w:val="baseline"/>
                    </w:rPr>
                  </w:pPr>
                  <w:r>
                    <w:rPr>
                      <w:rFonts w:hint="default" w:ascii="Times New Roman" w:hAnsi="Times New Roman" w:cs="Times New Roman"/>
                      <w:b/>
                      <w:bCs/>
                      <w:color w:val="auto"/>
                      <w:sz w:val="21"/>
                      <w:szCs w:val="21"/>
                      <w:vertAlign w:val="baseline"/>
                      <w:lang w:val="en-US" w:eastAsia="zh-CN"/>
                    </w:rPr>
                    <w:t>燃煤</w:t>
                  </w:r>
                </w:p>
              </w:tc>
              <w:tc>
                <w:tcPr>
                  <w:tcW w:w="1398" w:type="dxa"/>
                  <w:noWrap w:val="0"/>
                  <w:vAlign w:val="center"/>
                </w:tcPr>
                <w:p w14:paraId="5CF78A3A">
                  <w:pPr>
                    <w:tabs>
                      <w:tab w:val="left" w:pos="2395"/>
                    </w:tabs>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生物质</w:t>
                  </w:r>
                </w:p>
              </w:tc>
              <w:tc>
                <w:tcPr>
                  <w:tcW w:w="1254" w:type="dxa"/>
                  <w:noWrap w:val="0"/>
                  <w:vAlign w:val="center"/>
                </w:tcPr>
                <w:p w14:paraId="5F3949C1">
                  <w:pPr>
                    <w:tabs>
                      <w:tab w:val="left" w:pos="2395"/>
                    </w:tabs>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燃气</w:t>
                  </w:r>
                </w:p>
              </w:tc>
              <w:tc>
                <w:tcPr>
                  <w:tcW w:w="1326" w:type="dxa"/>
                  <w:noWrap w:val="0"/>
                  <w:vAlign w:val="center"/>
                </w:tcPr>
                <w:p w14:paraId="7B5993D6">
                  <w:pPr>
                    <w:tabs>
                      <w:tab w:val="left" w:pos="2395"/>
                    </w:tabs>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燃油</w:t>
                  </w:r>
                </w:p>
              </w:tc>
            </w:tr>
            <w:tr w14:paraId="4CBD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gridSpan w:val="2"/>
                  <w:noWrap w:val="0"/>
                  <w:vAlign w:val="center"/>
                </w:tcPr>
                <w:p w14:paraId="601902A8">
                  <w:pPr>
                    <w:tabs>
                      <w:tab w:val="left" w:pos="2395"/>
                    </w:tabs>
                    <w:spacing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炉型</w:t>
                  </w:r>
                </w:p>
              </w:tc>
              <w:tc>
                <w:tcPr>
                  <w:tcW w:w="2202" w:type="dxa"/>
                  <w:noWrap w:val="0"/>
                  <w:vAlign w:val="center"/>
                </w:tcPr>
                <w:p w14:paraId="28D2F2A3">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层燃炉、流化床炉、</w:t>
                  </w:r>
                </w:p>
                <w:p w14:paraId="538FCAEF">
                  <w:pPr>
                    <w:tabs>
                      <w:tab w:val="left" w:pos="2395"/>
                    </w:tabs>
                    <w:spacing w:line="240" w:lineRule="auto"/>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室燃炉</w:t>
                  </w:r>
                </w:p>
              </w:tc>
              <w:tc>
                <w:tcPr>
                  <w:tcW w:w="1398" w:type="dxa"/>
                  <w:noWrap w:val="0"/>
                  <w:vAlign w:val="center"/>
                </w:tcPr>
                <w:p w14:paraId="305E19DE">
                  <w:pPr>
                    <w:spacing w:beforeLines="0" w:afterLines="0"/>
                    <w:jc w:val="left"/>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层燃炉、流化床炉、室燃炉</w:t>
                  </w:r>
                </w:p>
              </w:tc>
              <w:tc>
                <w:tcPr>
                  <w:tcW w:w="1254" w:type="dxa"/>
                  <w:noWrap w:val="0"/>
                  <w:vAlign w:val="center"/>
                </w:tcPr>
                <w:p w14:paraId="3226C454">
                  <w:pPr>
                    <w:spacing w:beforeLines="0" w:afterLines="0"/>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室燃炉</w:t>
                  </w:r>
                </w:p>
              </w:tc>
              <w:tc>
                <w:tcPr>
                  <w:tcW w:w="1326" w:type="dxa"/>
                  <w:noWrap w:val="0"/>
                  <w:vAlign w:val="center"/>
                </w:tcPr>
                <w:p w14:paraId="58197D2F">
                  <w:pPr>
                    <w:spacing w:beforeLines="0" w:afterLines="0"/>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室燃炉</w:t>
                  </w:r>
                </w:p>
              </w:tc>
            </w:tr>
            <w:tr w14:paraId="0166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restart"/>
                  <w:noWrap w:val="0"/>
                  <w:vAlign w:val="center"/>
                </w:tcPr>
                <w:p w14:paraId="2D1F3D57">
                  <w:pPr>
                    <w:tabs>
                      <w:tab w:val="left" w:pos="2395"/>
                    </w:tabs>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二氧化硫</w:t>
                  </w:r>
                </w:p>
              </w:tc>
              <w:tc>
                <w:tcPr>
                  <w:tcW w:w="1064" w:type="dxa"/>
                  <w:noWrap w:val="0"/>
                  <w:vAlign w:val="center"/>
                </w:tcPr>
                <w:p w14:paraId="15551D7E">
                  <w:pPr>
                    <w:tabs>
                      <w:tab w:val="left" w:pos="2395"/>
                    </w:tabs>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一般地区</w:t>
                  </w:r>
                </w:p>
              </w:tc>
              <w:tc>
                <w:tcPr>
                  <w:tcW w:w="2202" w:type="dxa"/>
                  <w:noWrap w:val="0"/>
                  <w:vAlign w:val="center"/>
                </w:tcPr>
                <w:p w14:paraId="17DCF128">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燃用低硫煤、干法</w:t>
                  </w:r>
                  <w:r>
                    <w:rPr>
                      <w:rFonts w:hint="default" w:ascii="Times New Roman" w:hAnsi="Times New Roman" w:eastAsia="TimesNewRomanPSMT" w:cs="Times New Roman"/>
                      <w:color w:val="auto"/>
                      <w:sz w:val="21"/>
                      <w:szCs w:val="21"/>
                    </w:rPr>
                    <w:t>/</w:t>
                  </w:r>
                  <w:r>
                    <w:rPr>
                      <w:rFonts w:hint="default" w:ascii="Times New Roman" w:hAnsi="Times New Roman" w:eastAsia="宋体" w:cs="Times New Roman"/>
                      <w:color w:val="auto"/>
                      <w:sz w:val="21"/>
                      <w:szCs w:val="21"/>
                    </w:rPr>
                    <w:t>半</w:t>
                  </w:r>
                </w:p>
                <w:p w14:paraId="087EF615">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干法脱硫技术、湿法</w:t>
                  </w:r>
                </w:p>
                <w:p w14:paraId="37892C13">
                  <w:pPr>
                    <w:tabs>
                      <w:tab w:val="left" w:pos="2395"/>
                    </w:tabs>
                    <w:spacing w:line="240" w:lineRule="auto"/>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脱硫技术</w:t>
                  </w:r>
                </w:p>
              </w:tc>
              <w:tc>
                <w:tcPr>
                  <w:tcW w:w="1398" w:type="dxa"/>
                  <w:noWrap w:val="0"/>
                  <w:vAlign w:val="center"/>
                </w:tcPr>
                <w:p w14:paraId="335992B9">
                  <w:pPr>
                    <w:tabs>
                      <w:tab w:val="left" w:pos="2395"/>
                    </w:tabs>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254" w:type="dxa"/>
                  <w:noWrap w:val="0"/>
                  <w:vAlign w:val="center"/>
                </w:tcPr>
                <w:p w14:paraId="6345DEFD">
                  <w:pPr>
                    <w:tabs>
                      <w:tab w:val="left" w:pos="2395"/>
                    </w:tabs>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326" w:type="dxa"/>
                  <w:noWrap w:val="0"/>
                  <w:vAlign w:val="center"/>
                </w:tcPr>
                <w:p w14:paraId="4E41880F">
                  <w:pPr>
                    <w:spacing w:beforeLines="0" w:afterLines="0"/>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燃用低硫油、湿法脱硫技术</w:t>
                  </w:r>
                </w:p>
              </w:tc>
            </w:tr>
            <w:tr w14:paraId="6FEC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noWrap w:val="0"/>
                  <w:vAlign w:val="center"/>
                </w:tcPr>
                <w:p w14:paraId="69FC1C94">
                  <w:pPr>
                    <w:tabs>
                      <w:tab w:val="left" w:pos="2395"/>
                    </w:tabs>
                    <w:spacing w:line="240" w:lineRule="auto"/>
                    <w:jc w:val="center"/>
                    <w:rPr>
                      <w:rFonts w:hint="default" w:ascii="Times New Roman" w:hAnsi="Times New Roman" w:cs="Times New Roman"/>
                      <w:color w:val="auto"/>
                      <w:sz w:val="21"/>
                      <w:szCs w:val="21"/>
                      <w:vertAlign w:val="baseline"/>
                    </w:rPr>
                  </w:pPr>
                </w:p>
              </w:tc>
              <w:tc>
                <w:tcPr>
                  <w:tcW w:w="1064" w:type="dxa"/>
                  <w:noWrap w:val="0"/>
                  <w:vAlign w:val="center"/>
                </w:tcPr>
                <w:p w14:paraId="3E6F9758">
                  <w:pPr>
                    <w:tabs>
                      <w:tab w:val="left" w:pos="2395"/>
                    </w:tabs>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重点地区</w:t>
                  </w:r>
                </w:p>
              </w:tc>
              <w:tc>
                <w:tcPr>
                  <w:tcW w:w="2202" w:type="dxa"/>
                  <w:noWrap w:val="0"/>
                  <w:vAlign w:val="center"/>
                </w:tcPr>
                <w:p w14:paraId="63DBFC96">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燃用低硫煤</w:t>
                  </w:r>
                  <w:r>
                    <w:rPr>
                      <w:rFonts w:hint="default" w:ascii="Times New Roman" w:hAnsi="Times New Roman" w:eastAsia="TimesNewRomanPSMT" w:cs="Times New Roman"/>
                      <w:color w:val="auto"/>
                      <w:sz w:val="21"/>
                      <w:szCs w:val="21"/>
                    </w:rPr>
                    <w:t>+</w:t>
                  </w:r>
                  <w:r>
                    <w:rPr>
                      <w:rFonts w:hint="default" w:ascii="Times New Roman" w:hAnsi="Times New Roman" w:eastAsia="宋体" w:cs="Times New Roman"/>
                      <w:color w:val="auto"/>
                      <w:sz w:val="21"/>
                      <w:szCs w:val="21"/>
                    </w:rPr>
                    <w:t>干法</w:t>
                  </w:r>
                  <w:r>
                    <w:rPr>
                      <w:rFonts w:hint="default" w:ascii="Times New Roman" w:hAnsi="Times New Roman" w:eastAsia="TimesNewRomanPSMT" w:cs="Times New Roman"/>
                      <w:color w:val="auto"/>
                      <w:sz w:val="21"/>
                      <w:szCs w:val="21"/>
                    </w:rPr>
                    <w:t>/</w:t>
                  </w:r>
                  <w:r>
                    <w:rPr>
                      <w:rFonts w:hint="default" w:ascii="Times New Roman" w:hAnsi="Times New Roman" w:eastAsia="宋体" w:cs="Times New Roman"/>
                      <w:color w:val="auto"/>
                      <w:sz w:val="21"/>
                      <w:szCs w:val="21"/>
                    </w:rPr>
                    <w:t>半</w:t>
                  </w:r>
                </w:p>
                <w:p w14:paraId="09C7F24C">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干法脱硫技术、燃用</w:t>
                  </w:r>
                </w:p>
                <w:p w14:paraId="68D05ADA">
                  <w:pPr>
                    <w:tabs>
                      <w:tab w:val="left" w:pos="2395"/>
                    </w:tabs>
                    <w:spacing w:line="240" w:lineRule="auto"/>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低硫煤</w:t>
                  </w:r>
                  <w:r>
                    <w:rPr>
                      <w:rFonts w:hint="default" w:ascii="Times New Roman" w:hAnsi="Times New Roman" w:eastAsia="TimesNewRomanPSMT" w:cs="Times New Roman"/>
                      <w:color w:val="auto"/>
                      <w:sz w:val="21"/>
                      <w:szCs w:val="21"/>
                    </w:rPr>
                    <w:t>+</w:t>
                  </w:r>
                  <w:r>
                    <w:rPr>
                      <w:rFonts w:hint="default" w:ascii="Times New Roman" w:hAnsi="Times New Roman" w:eastAsia="宋体" w:cs="Times New Roman"/>
                      <w:color w:val="auto"/>
                      <w:sz w:val="21"/>
                      <w:szCs w:val="21"/>
                    </w:rPr>
                    <w:t>湿法脱硫技术</w:t>
                  </w:r>
                </w:p>
              </w:tc>
              <w:tc>
                <w:tcPr>
                  <w:tcW w:w="1398" w:type="dxa"/>
                  <w:noWrap w:val="0"/>
                  <w:vAlign w:val="center"/>
                </w:tcPr>
                <w:p w14:paraId="01F39E49">
                  <w:pPr>
                    <w:tabs>
                      <w:tab w:val="left" w:pos="2395"/>
                    </w:tabs>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254" w:type="dxa"/>
                  <w:noWrap w:val="0"/>
                  <w:vAlign w:val="center"/>
                </w:tcPr>
                <w:p w14:paraId="6D4172BD">
                  <w:pPr>
                    <w:tabs>
                      <w:tab w:val="left" w:pos="2395"/>
                    </w:tabs>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326" w:type="dxa"/>
                  <w:noWrap w:val="0"/>
                  <w:vAlign w:val="center"/>
                </w:tcPr>
                <w:p w14:paraId="52381F45">
                  <w:pPr>
                    <w:spacing w:beforeLines="0" w:afterLines="0"/>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燃用低硫油、燃用低硫油</w:t>
                  </w:r>
                  <w:r>
                    <w:rPr>
                      <w:rFonts w:hint="default" w:ascii="Times New Roman" w:hAnsi="Times New Roman" w:eastAsia="TimesNewRomanPSMT" w:cs="Times New Roman"/>
                      <w:color w:val="auto"/>
                      <w:sz w:val="21"/>
                      <w:szCs w:val="21"/>
                    </w:rPr>
                    <w:t>+</w:t>
                  </w:r>
                  <w:r>
                    <w:rPr>
                      <w:rFonts w:hint="default" w:ascii="Times New Roman" w:hAnsi="Times New Roman" w:eastAsia="宋体" w:cs="Times New Roman"/>
                      <w:color w:val="auto"/>
                      <w:sz w:val="21"/>
                      <w:szCs w:val="21"/>
                    </w:rPr>
                    <w:t>湿法脱硫技术</w:t>
                  </w:r>
                </w:p>
              </w:tc>
            </w:tr>
            <w:tr w14:paraId="763DB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restart"/>
                  <w:noWrap w:val="0"/>
                  <w:vAlign w:val="center"/>
                </w:tcPr>
                <w:p w14:paraId="047F739F">
                  <w:pPr>
                    <w:tabs>
                      <w:tab w:val="left" w:pos="2395"/>
                    </w:tabs>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氮氧化物</w:t>
                  </w:r>
                </w:p>
              </w:tc>
              <w:tc>
                <w:tcPr>
                  <w:tcW w:w="1064" w:type="dxa"/>
                  <w:noWrap w:val="0"/>
                  <w:vAlign w:val="center"/>
                </w:tcPr>
                <w:p w14:paraId="6D8B18E6">
                  <w:pPr>
                    <w:tabs>
                      <w:tab w:val="left" w:pos="2395"/>
                    </w:tabs>
                    <w:spacing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一般地区</w:t>
                  </w:r>
                </w:p>
              </w:tc>
              <w:tc>
                <w:tcPr>
                  <w:tcW w:w="3600" w:type="dxa"/>
                  <w:gridSpan w:val="2"/>
                  <w:noWrap w:val="0"/>
                  <w:vAlign w:val="center"/>
                </w:tcPr>
                <w:p w14:paraId="38CA23FF">
                  <w:pPr>
                    <w:spacing w:beforeLines="0" w:afterLines="0"/>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低氮燃烧技术、低氮燃烧</w:t>
                  </w:r>
                  <w:r>
                    <w:rPr>
                      <w:rFonts w:hint="default" w:ascii="Times New Roman" w:hAnsi="Times New Roman" w:eastAsia="TimesNewRomanPSMT" w:cs="Times New Roman"/>
                      <w:color w:val="auto"/>
                      <w:sz w:val="21"/>
                      <w:szCs w:val="21"/>
                    </w:rPr>
                    <w:t>+SNCR</w:t>
                  </w:r>
                  <w:r>
                    <w:rPr>
                      <w:rFonts w:hint="default" w:ascii="Times New Roman" w:hAnsi="Times New Roman" w:eastAsia="宋体" w:cs="Times New Roman"/>
                      <w:color w:val="auto"/>
                      <w:sz w:val="21"/>
                      <w:szCs w:val="21"/>
                    </w:rPr>
                    <w:t>脱硝技术、低氮燃烧</w:t>
                  </w:r>
                  <w:r>
                    <w:rPr>
                      <w:rFonts w:hint="default" w:ascii="Times New Roman" w:hAnsi="Times New Roman" w:eastAsia="TimesNewRomanPSMT" w:cs="Times New Roman"/>
                      <w:color w:val="auto"/>
                      <w:sz w:val="21"/>
                      <w:szCs w:val="21"/>
                    </w:rPr>
                    <w:t>+SCR</w:t>
                  </w:r>
                  <w:r>
                    <w:rPr>
                      <w:rFonts w:hint="default" w:ascii="Times New Roman" w:hAnsi="Times New Roman" w:eastAsia="宋体" w:cs="Times New Roman"/>
                      <w:color w:val="auto"/>
                      <w:sz w:val="21"/>
                      <w:szCs w:val="21"/>
                    </w:rPr>
                    <w:t>脱硝技术、低氮燃烧</w:t>
                  </w:r>
                  <w:r>
                    <w:rPr>
                      <w:rFonts w:hint="default" w:ascii="Times New Roman" w:hAnsi="Times New Roman" w:eastAsia="TimesNewRomanPSMT" w:cs="Times New Roman"/>
                      <w:color w:val="auto"/>
                      <w:sz w:val="21"/>
                      <w:szCs w:val="21"/>
                    </w:rPr>
                    <w:t>+</w:t>
                  </w:r>
                  <w:r>
                    <w:rPr>
                      <w:rFonts w:hint="default" w:ascii="Times New Roman" w:hAnsi="Times New Roman" w:eastAsia="宋体" w:cs="Times New Roman"/>
                      <w:color w:val="auto"/>
                      <w:sz w:val="21"/>
                      <w:szCs w:val="21"/>
                    </w:rPr>
                    <w:t>（</w:t>
                  </w:r>
                  <w:r>
                    <w:rPr>
                      <w:rFonts w:hint="default" w:ascii="Times New Roman" w:hAnsi="Times New Roman" w:eastAsia="TimesNewRomanPSMT" w:cs="Times New Roman"/>
                      <w:color w:val="auto"/>
                      <w:sz w:val="21"/>
                      <w:szCs w:val="21"/>
                    </w:rPr>
                    <w:t>SNCR-SCR</w:t>
                  </w:r>
                  <w:r>
                    <w:rPr>
                      <w:rFonts w:hint="default" w:ascii="Times New Roman" w:hAnsi="Times New Roman" w:eastAsia="宋体" w:cs="Times New Roman"/>
                      <w:color w:val="auto"/>
                      <w:sz w:val="21"/>
                      <w:szCs w:val="21"/>
                    </w:rPr>
                    <w:t>联合）脱硝技术、</w:t>
                  </w:r>
                  <w:r>
                    <w:rPr>
                      <w:rFonts w:hint="default" w:ascii="Times New Roman" w:hAnsi="Times New Roman" w:eastAsia="TimesNewRomanPSMT" w:cs="Times New Roman"/>
                      <w:color w:val="auto"/>
                      <w:sz w:val="21"/>
                      <w:szCs w:val="21"/>
                    </w:rPr>
                    <w:t>SNCR</w:t>
                  </w:r>
                  <w:r>
                    <w:rPr>
                      <w:rFonts w:hint="default" w:ascii="Times New Roman" w:hAnsi="Times New Roman" w:eastAsia="宋体" w:cs="Times New Roman"/>
                      <w:color w:val="auto"/>
                      <w:sz w:val="21"/>
                      <w:szCs w:val="21"/>
                    </w:rPr>
                    <w:t>脱硝技术、</w:t>
                  </w:r>
                  <w:r>
                    <w:rPr>
                      <w:rFonts w:hint="default" w:ascii="Times New Roman" w:hAnsi="Times New Roman" w:eastAsia="TimesNewRomanPSMT" w:cs="Times New Roman"/>
                      <w:color w:val="auto"/>
                      <w:sz w:val="21"/>
                      <w:szCs w:val="21"/>
                    </w:rPr>
                    <w:t>SCR</w:t>
                  </w:r>
                  <w:r>
                    <w:rPr>
                      <w:rFonts w:hint="default" w:ascii="Times New Roman" w:hAnsi="Times New Roman" w:eastAsia="宋体" w:cs="Times New Roman"/>
                      <w:color w:val="auto"/>
                      <w:sz w:val="21"/>
                      <w:szCs w:val="21"/>
                    </w:rPr>
                    <w:t>脱硝技术、</w:t>
                  </w:r>
                  <w:r>
                    <w:rPr>
                      <w:rFonts w:hint="default" w:ascii="Times New Roman" w:hAnsi="Times New Roman" w:eastAsia="TimesNewRomanPSMT" w:cs="Times New Roman"/>
                      <w:color w:val="auto"/>
                      <w:sz w:val="21"/>
                      <w:szCs w:val="21"/>
                    </w:rPr>
                    <w:t>SNCR-SCR</w:t>
                  </w:r>
                  <w:r>
                    <w:rPr>
                      <w:rFonts w:hint="default" w:ascii="Times New Roman" w:hAnsi="Times New Roman" w:eastAsia="宋体" w:cs="Times New Roman"/>
                      <w:color w:val="auto"/>
                      <w:sz w:val="21"/>
                      <w:szCs w:val="21"/>
                    </w:rPr>
                    <w:t>联合脱硝技术</w:t>
                  </w:r>
                </w:p>
              </w:tc>
              <w:tc>
                <w:tcPr>
                  <w:tcW w:w="2580" w:type="dxa"/>
                  <w:gridSpan w:val="2"/>
                  <w:noWrap w:val="0"/>
                  <w:vAlign w:val="center"/>
                </w:tcPr>
                <w:p w14:paraId="1744E76D">
                  <w:pPr>
                    <w:spacing w:beforeLines="0" w:afterLines="0"/>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低氮燃烧技术、低氮燃烧</w:t>
                  </w:r>
                  <w:r>
                    <w:rPr>
                      <w:rFonts w:hint="default" w:ascii="Times New Roman" w:hAnsi="Times New Roman" w:eastAsia="TimesNewRomanPSMT" w:cs="Times New Roman"/>
                      <w:color w:val="auto"/>
                      <w:sz w:val="21"/>
                      <w:szCs w:val="21"/>
                    </w:rPr>
                    <w:t xml:space="preserve">+SCR </w:t>
                  </w:r>
                  <w:r>
                    <w:rPr>
                      <w:rFonts w:hint="default" w:ascii="Times New Roman" w:hAnsi="Times New Roman" w:eastAsia="宋体" w:cs="Times New Roman"/>
                      <w:color w:val="auto"/>
                      <w:sz w:val="21"/>
                      <w:szCs w:val="21"/>
                    </w:rPr>
                    <w:t>脱硝技术</w:t>
                  </w:r>
                </w:p>
              </w:tc>
            </w:tr>
            <w:tr w14:paraId="101C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noWrap w:val="0"/>
                  <w:vAlign w:val="center"/>
                </w:tcPr>
                <w:p w14:paraId="71575F21">
                  <w:pPr>
                    <w:tabs>
                      <w:tab w:val="left" w:pos="2395"/>
                    </w:tabs>
                    <w:spacing w:line="240" w:lineRule="auto"/>
                    <w:jc w:val="center"/>
                    <w:rPr>
                      <w:rFonts w:hint="default" w:ascii="Times New Roman" w:hAnsi="Times New Roman" w:cs="Times New Roman"/>
                      <w:color w:val="auto"/>
                      <w:sz w:val="21"/>
                      <w:szCs w:val="21"/>
                      <w:vertAlign w:val="baseline"/>
                    </w:rPr>
                  </w:pPr>
                </w:p>
              </w:tc>
              <w:tc>
                <w:tcPr>
                  <w:tcW w:w="1064" w:type="dxa"/>
                  <w:noWrap w:val="0"/>
                  <w:vAlign w:val="center"/>
                </w:tcPr>
                <w:p w14:paraId="7ECA28CF">
                  <w:pPr>
                    <w:tabs>
                      <w:tab w:val="left" w:pos="2395"/>
                    </w:tabs>
                    <w:spacing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重点地区</w:t>
                  </w:r>
                </w:p>
              </w:tc>
              <w:tc>
                <w:tcPr>
                  <w:tcW w:w="3600" w:type="dxa"/>
                  <w:gridSpan w:val="2"/>
                  <w:noWrap w:val="0"/>
                  <w:vAlign w:val="center"/>
                </w:tcPr>
                <w:p w14:paraId="3C291D30">
                  <w:pPr>
                    <w:spacing w:beforeLines="0" w:afterLines="0"/>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低氮燃烧</w:t>
                  </w:r>
                  <w:r>
                    <w:rPr>
                      <w:rFonts w:hint="default" w:ascii="Times New Roman" w:hAnsi="Times New Roman" w:eastAsia="TimesNewRomanPSMT" w:cs="Times New Roman"/>
                      <w:color w:val="auto"/>
                      <w:sz w:val="21"/>
                      <w:szCs w:val="21"/>
                    </w:rPr>
                    <w:t>+SNCR</w:t>
                  </w:r>
                  <w:r>
                    <w:rPr>
                      <w:rFonts w:hint="default" w:ascii="Times New Roman" w:hAnsi="Times New Roman" w:eastAsia="宋体" w:cs="Times New Roman"/>
                      <w:color w:val="auto"/>
                      <w:sz w:val="21"/>
                      <w:szCs w:val="21"/>
                    </w:rPr>
                    <w:t>脱硝技术、低氮燃烧</w:t>
                  </w:r>
                  <w:r>
                    <w:rPr>
                      <w:rFonts w:hint="default" w:ascii="Times New Roman" w:hAnsi="Times New Roman" w:eastAsia="TimesNewRomanPSMT" w:cs="Times New Roman"/>
                      <w:color w:val="auto"/>
                      <w:sz w:val="21"/>
                      <w:szCs w:val="21"/>
                    </w:rPr>
                    <w:t>+SCR</w:t>
                  </w:r>
                  <w:r>
                    <w:rPr>
                      <w:rFonts w:hint="default" w:ascii="Times New Roman" w:hAnsi="Times New Roman" w:eastAsia="宋体" w:cs="Times New Roman"/>
                      <w:color w:val="auto"/>
                      <w:sz w:val="21"/>
                      <w:szCs w:val="21"/>
                    </w:rPr>
                    <w:t>脱硝技术、低氮燃烧</w:t>
                  </w:r>
                  <w:r>
                    <w:rPr>
                      <w:rFonts w:hint="default" w:ascii="Times New Roman" w:hAnsi="Times New Roman" w:eastAsia="TimesNewRomanPSMT" w:cs="Times New Roman"/>
                      <w:color w:val="auto"/>
                      <w:sz w:val="21"/>
                      <w:szCs w:val="21"/>
                    </w:rPr>
                    <w:t>+</w:t>
                  </w:r>
                  <w:r>
                    <w:rPr>
                      <w:rFonts w:hint="default" w:ascii="Times New Roman" w:hAnsi="Times New Roman" w:eastAsia="宋体" w:cs="Times New Roman"/>
                      <w:color w:val="auto"/>
                      <w:sz w:val="21"/>
                      <w:szCs w:val="21"/>
                    </w:rPr>
                    <w:t>（</w:t>
                  </w:r>
                  <w:r>
                    <w:rPr>
                      <w:rFonts w:hint="default" w:ascii="Times New Roman" w:hAnsi="Times New Roman" w:eastAsia="TimesNewRomanPSMT" w:cs="Times New Roman"/>
                      <w:color w:val="auto"/>
                      <w:sz w:val="21"/>
                      <w:szCs w:val="21"/>
                    </w:rPr>
                    <w:t>SNCR-SCR</w:t>
                  </w:r>
                  <w:r>
                    <w:rPr>
                      <w:rFonts w:hint="default" w:ascii="Times New Roman" w:hAnsi="Times New Roman" w:eastAsia="宋体" w:cs="Times New Roman"/>
                      <w:color w:val="auto"/>
                      <w:sz w:val="21"/>
                      <w:szCs w:val="21"/>
                    </w:rPr>
                    <w:t>联合）脱硝技术、</w:t>
                  </w:r>
                  <w:r>
                    <w:rPr>
                      <w:rFonts w:hint="default" w:ascii="Times New Roman" w:hAnsi="Times New Roman" w:eastAsia="TimesNewRomanPSMT" w:cs="Times New Roman"/>
                      <w:color w:val="auto"/>
                      <w:sz w:val="21"/>
                      <w:szCs w:val="21"/>
                    </w:rPr>
                    <w:t>SNCR</w:t>
                  </w:r>
                  <w:r>
                    <w:rPr>
                      <w:rFonts w:hint="default" w:ascii="Times New Roman" w:hAnsi="Times New Roman" w:eastAsia="宋体" w:cs="Times New Roman"/>
                      <w:color w:val="auto"/>
                      <w:sz w:val="21"/>
                      <w:szCs w:val="21"/>
                    </w:rPr>
                    <w:t>脱硝技术、</w:t>
                  </w:r>
                  <w:r>
                    <w:rPr>
                      <w:rFonts w:hint="default" w:ascii="Times New Roman" w:hAnsi="Times New Roman" w:eastAsia="TimesNewRomanPSMT" w:cs="Times New Roman"/>
                      <w:color w:val="auto"/>
                      <w:sz w:val="21"/>
                      <w:szCs w:val="21"/>
                    </w:rPr>
                    <w:t>SCR</w:t>
                  </w:r>
                  <w:r>
                    <w:rPr>
                      <w:rFonts w:hint="default" w:ascii="Times New Roman" w:hAnsi="Times New Roman" w:eastAsia="宋体" w:cs="Times New Roman"/>
                      <w:color w:val="auto"/>
                      <w:sz w:val="21"/>
                      <w:szCs w:val="21"/>
                    </w:rPr>
                    <w:t>脱硝技术、</w:t>
                  </w:r>
                  <w:r>
                    <w:rPr>
                      <w:rFonts w:hint="default" w:ascii="Times New Roman" w:hAnsi="Times New Roman" w:eastAsia="TimesNewRomanPSMT" w:cs="Times New Roman"/>
                      <w:color w:val="auto"/>
                      <w:sz w:val="21"/>
                      <w:szCs w:val="21"/>
                    </w:rPr>
                    <w:t>SNCR-SCR</w:t>
                  </w:r>
                  <w:r>
                    <w:rPr>
                      <w:rFonts w:hint="default" w:ascii="Times New Roman" w:hAnsi="Times New Roman" w:eastAsia="宋体" w:cs="Times New Roman"/>
                      <w:color w:val="auto"/>
                      <w:sz w:val="21"/>
                      <w:szCs w:val="21"/>
                    </w:rPr>
                    <w:t>联合脱硝技术</w:t>
                  </w:r>
                </w:p>
              </w:tc>
              <w:tc>
                <w:tcPr>
                  <w:tcW w:w="2580" w:type="dxa"/>
                  <w:gridSpan w:val="2"/>
                  <w:noWrap w:val="0"/>
                  <w:vAlign w:val="center"/>
                </w:tcPr>
                <w:p w14:paraId="20E9903B">
                  <w:pPr>
                    <w:spacing w:beforeLines="0" w:afterLines="0"/>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低氮燃烧技术、低氮燃烧</w:t>
                  </w:r>
                  <w:r>
                    <w:rPr>
                      <w:rFonts w:hint="default" w:ascii="Times New Roman" w:hAnsi="Times New Roman" w:eastAsia="TimesNewRomanPSMT" w:cs="Times New Roman"/>
                      <w:color w:val="auto"/>
                      <w:sz w:val="21"/>
                      <w:szCs w:val="21"/>
                    </w:rPr>
                    <w:t xml:space="preserve">+SCR </w:t>
                  </w:r>
                  <w:r>
                    <w:rPr>
                      <w:rFonts w:hint="default" w:ascii="Times New Roman" w:hAnsi="Times New Roman" w:eastAsia="宋体" w:cs="Times New Roman"/>
                      <w:color w:val="auto"/>
                      <w:sz w:val="21"/>
                      <w:szCs w:val="21"/>
                    </w:rPr>
                    <w:t>脱硝技术</w:t>
                  </w:r>
                </w:p>
              </w:tc>
            </w:tr>
            <w:tr w14:paraId="09E5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restart"/>
                  <w:noWrap w:val="0"/>
                  <w:vAlign w:val="center"/>
                </w:tcPr>
                <w:p w14:paraId="72AE6991">
                  <w:pPr>
                    <w:tabs>
                      <w:tab w:val="left" w:pos="2395"/>
                    </w:tabs>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颗粒物</w:t>
                  </w:r>
                </w:p>
              </w:tc>
              <w:tc>
                <w:tcPr>
                  <w:tcW w:w="1064" w:type="dxa"/>
                  <w:noWrap w:val="0"/>
                  <w:vAlign w:val="center"/>
                </w:tcPr>
                <w:p w14:paraId="3B37F641">
                  <w:pPr>
                    <w:tabs>
                      <w:tab w:val="left" w:pos="2395"/>
                    </w:tabs>
                    <w:spacing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一般地区</w:t>
                  </w:r>
                </w:p>
              </w:tc>
              <w:tc>
                <w:tcPr>
                  <w:tcW w:w="2202" w:type="dxa"/>
                  <w:vMerge w:val="restart"/>
                  <w:noWrap w:val="0"/>
                  <w:vAlign w:val="center"/>
                </w:tcPr>
                <w:p w14:paraId="78905C74">
                  <w:pPr>
                    <w:spacing w:beforeLines="0" w:afterLines="0"/>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袋式除尘技术、电除尘技术、</w:t>
                  </w:r>
                  <w:r>
                    <w:rPr>
                      <w:rFonts w:hint="default" w:ascii="Times New Roman" w:hAnsi="Times New Roman" w:eastAsia="宋体" w:cs="Times New Roman"/>
                      <w:b w:val="0"/>
                      <w:bCs w:val="0"/>
                      <w:color w:val="auto"/>
                      <w:sz w:val="21"/>
                      <w:szCs w:val="21"/>
                    </w:rPr>
                    <w:t>电袋复合除尘技术、湿式电除尘技术</w:t>
                  </w:r>
                </w:p>
              </w:tc>
              <w:tc>
                <w:tcPr>
                  <w:tcW w:w="1398" w:type="dxa"/>
                  <w:vMerge w:val="restart"/>
                  <w:noWrap w:val="0"/>
                  <w:vAlign w:val="center"/>
                </w:tcPr>
                <w:p w14:paraId="3FFBC253">
                  <w:pPr>
                    <w:spacing w:beforeLines="0" w:afterLines="0"/>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旋风除尘和袋式除尘组合技术</w:t>
                  </w:r>
                </w:p>
              </w:tc>
              <w:tc>
                <w:tcPr>
                  <w:tcW w:w="1254" w:type="dxa"/>
                  <w:vMerge w:val="restart"/>
                  <w:noWrap w:val="0"/>
                  <w:vAlign w:val="center"/>
                </w:tcPr>
                <w:p w14:paraId="6A84942D">
                  <w:pPr>
                    <w:tabs>
                      <w:tab w:val="left" w:pos="2395"/>
                    </w:tabs>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326" w:type="dxa"/>
                  <w:vMerge w:val="restart"/>
                  <w:noWrap w:val="0"/>
                  <w:vAlign w:val="center"/>
                </w:tcPr>
                <w:p w14:paraId="7958EAA2">
                  <w:pPr>
                    <w:tabs>
                      <w:tab w:val="left" w:pos="2395"/>
                    </w:tabs>
                    <w:spacing w:line="240" w:lineRule="auto"/>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袋式除尘技术</w:t>
                  </w:r>
                </w:p>
              </w:tc>
            </w:tr>
            <w:tr w14:paraId="2F25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noWrap w:val="0"/>
                  <w:vAlign w:val="center"/>
                </w:tcPr>
                <w:p w14:paraId="3324D847">
                  <w:pPr>
                    <w:tabs>
                      <w:tab w:val="left" w:pos="2395"/>
                    </w:tabs>
                    <w:spacing w:line="240" w:lineRule="auto"/>
                    <w:jc w:val="center"/>
                    <w:rPr>
                      <w:rFonts w:hint="default" w:ascii="Times New Roman" w:hAnsi="Times New Roman" w:cs="Times New Roman"/>
                      <w:color w:val="auto"/>
                      <w:sz w:val="21"/>
                      <w:szCs w:val="21"/>
                      <w:vertAlign w:val="baseline"/>
                    </w:rPr>
                  </w:pPr>
                </w:p>
              </w:tc>
              <w:tc>
                <w:tcPr>
                  <w:tcW w:w="1064" w:type="dxa"/>
                  <w:noWrap w:val="0"/>
                  <w:vAlign w:val="center"/>
                </w:tcPr>
                <w:p w14:paraId="6152B51C">
                  <w:pPr>
                    <w:tabs>
                      <w:tab w:val="left" w:pos="2395"/>
                    </w:tabs>
                    <w:spacing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重点地区</w:t>
                  </w:r>
                </w:p>
              </w:tc>
              <w:tc>
                <w:tcPr>
                  <w:tcW w:w="2202" w:type="dxa"/>
                  <w:vMerge w:val="continue"/>
                  <w:noWrap w:val="0"/>
                  <w:vAlign w:val="center"/>
                </w:tcPr>
                <w:p w14:paraId="149CF82C">
                  <w:pPr>
                    <w:tabs>
                      <w:tab w:val="left" w:pos="2395"/>
                    </w:tabs>
                    <w:spacing w:line="240" w:lineRule="auto"/>
                    <w:jc w:val="center"/>
                    <w:rPr>
                      <w:rFonts w:hint="default" w:ascii="Times New Roman" w:hAnsi="Times New Roman" w:cs="Times New Roman"/>
                      <w:color w:val="auto"/>
                      <w:sz w:val="21"/>
                      <w:szCs w:val="21"/>
                      <w:vertAlign w:val="baseline"/>
                    </w:rPr>
                  </w:pPr>
                </w:p>
              </w:tc>
              <w:tc>
                <w:tcPr>
                  <w:tcW w:w="1398" w:type="dxa"/>
                  <w:vMerge w:val="continue"/>
                  <w:noWrap w:val="0"/>
                  <w:vAlign w:val="center"/>
                </w:tcPr>
                <w:p w14:paraId="60D000EA">
                  <w:pPr>
                    <w:tabs>
                      <w:tab w:val="left" w:pos="2395"/>
                    </w:tabs>
                    <w:spacing w:line="240" w:lineRule="auto"/>
                    <w:jc w:val="center"/>
                    <w:rPr>
                      <w:rFonts w:hint="default" w:ascii="Times New Roman" w:hAnsi="Times New Roman" w:cs="Times New Roman"/>
                      <w:color w:val="auto"/>
                      <w:sz w:val="21"/>
                      <w:szCs w:val="21"/>
                      <w:vertAlign w:val="baseline"/>
                    </w:rPr>
                  </w:pPr>
                </w:p>
              </w:tc>
              <w:tc>
                <w:tcPr>
                  <w:tcW w:w="1254" w:type="dxa"/>
                  <w:vMerge w:val="continue"/>
                  <w:noWrap w:val="0"/>
                  <w:vAlign w:val="center"/>
                </w:tcPr>
                <w:p w14:paraId="67FA4324">
                  <w:pPr>
                    <w:tabs>
                      <w:tab w:val="left" w:pos="2395"/>
                    </w:tabs>
                    <w:spacing w:line="240" w:lineRule="auto"/>
                    <w:jc w:val="center"/>
                    <w:rPr>
                      <w:rFonts w:hint="default" w:ascii="Times New Roman" w:hAnsi="Times New Roman" w:cs="Times New Roman"/>
                      <w:color w:val="auto"/>
                      <w:sz w:val="21"/>
                      <w:szCs w:val="21"/>
                      <w:vertAlign w:val="baseline"/>
                    </w:rPr>
                  </w:pPr>
                </w:p>
              </w:tc>
              <w:tc>
                <w:tcPr>
                  <w:tcW w:w="1326" w:type="dxa"/>
                  <w:vMerge w:val="continue"/>
                  <w:noWrap w:val="0"/>
                  <w:vAlign w:val="center"/>
                </w:tcPr>
                <w:p w14:paraId="121EE684">
                  <w:pPr>
                    <w:tabs>
                      <w:tab w:val="left" w:pos="2395"/>
                    </w:tabs>
                    <w:spacing w:line="240" w:lineRule="auto"/>
                    <w:jc w:val="center"/>
                    <w:rPr>
                      <w:rFonts w:hint="default" w:ascii="Times New Roman" w:hAnsi="Times New Roman" w:cs="Times New Roman"/>
                      <w:color w:val="auto"/>
                      <w:sz w:val="21"/>
                      <w:szCs w:val="21"/>
                      <w:vertAlign w:val="baseline"/>
                    </w:rPr>
                  </w:pPr>
                </w:p>
              </w:tc>
            </w:tr>
            <w:tr w14:paraId="5603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gridSpan w:val="2"/>
                  <w:noWrap w:val="0"/>
                  <w:vAlign w:val="center"/>
                </w:tcPr>
                <w:p w14:paraId="1F046155">
                  <w:pPr>
                    <w:tabs>
                      <w:tab w:val="left" w:pos="2395"/>
                    </w:tabs>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汞及其化合物</w:t>
                  </w:r>
                </w:p>
              </w:tc>
              <w:tc>
                <w:tcPr>
                  <w:tcW w:w="3600" w:type="dxa"/>
                  <w:gridSpan w:val="2"/>
                  <w:noWrap w:val="0"/>
                  <w:vAlign w:val="center"/>
                </w:tcPr>
                <w:p w14:paraId="476F991B">
                  <w:pPr>
                    <w:spacing w:beforeLines="0" w:afterLines="0"/>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协同控制</w:t>
                  </w:r>
                  <w:r>
                    <w:rPr>
                      <w:rFonts w:hint="default" w:ascii="Times New Roman" w:hAnsi="Times New Roman" w:eastAsia="宋体" w:cs="Times New Roman"/>
                      <w:color w:val="auto"/>
                      <w:sz w:val="21"/>
                      <w:szCs w:val="21"/>
                      <w:vertAlign w:val="superscript"/>
                      <w:lang w:val="en-US" w:eastAsia="zh-CN"/>
                    </w:rPr>
                    <w:t>a</w:t>
                  </w:r>
                  <w:r>
                    <w:rPr>
                      <w:rFonts w:hint="default" w:ascii="Times New Roman" w:hAnsi="Times New Roman" w:eastAsia="宋体" w:cs="Times New Roman"/>
                      <w:color w:val="auto"/>
                      <w:sz w:val="21"/>
                      <w:szCs w:val="21"/>
                    </w:rPr>
                    <w:t>，若采用协同控制技术仍未实现达标排放，可采用炉内添加卤化物或烟道喷入活性炭吸附剂等技术</w:t>
                  </w:r>
                </w:p>
              </w:tc>
              <w:tc>
                <w:tcPr>
                  <w:tcW w:w="2580" w:type="dxa"/>
                  <w:gridSpan w:val="2"/>
                  <w:noWrap w:val="0"/>
                  <w:vAlign w:val="center"/>
                </w:tcPr>
                <w:p w14:paraId="6ED040B0">
                  <w:pPr>
                    <w:tabs>
                      <w:tab w:val="left" w:pos="2395"/>
                    </w:tabs>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14:paraId="5A48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4" w:type="dxa"/>
                  <w:gridSpan w:val="6"/>
                  <w:noWrap w:val="0"/>
                  <w:vAlign w:val="center"/>
                </w:tcPr>
                <w:p w14:paraId="067C0FE5">
                  <w:pPr>
                    <w:tabs>
                      <w:tab w:val="left" w:pos="2395"/>
                    </w:tabs>
                    <w:spacing w:line="240" w:lineRule="auto"/>
                    <w:jc w:val="left"/>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注：a.表中协同控制是指现有的脱硫、脱硝、除尘等污染防治设施在对其设计目标污</w:t>
                  </w:r>
                </w:p>
                <w:p w14:paraId="04681382">
                  <w:pPr>
                    <w:tabs>
                      <w:tab w:val="left" w:pos="2395"/>
                    </w:tabs>
                    <w:spacing w:line="240" w:lineRule="auto"/>
                    <w:jc w:val="left"/>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染物控制的同时兼顾对汞及其化合物的控制。</w:t>
                  </w:r>
                </w:p>
              </w:tc>
            </w:tr>
          </w:tbl>
          <w:p w14:paraId="2087430A">
            <w:pPr>
              <w:tabs>
                <w:tab w:val="left" w:pos="2395"/>
              </w:tabs>
              <w:spacing w:line="360" w:lineRule="auto"/>
              <w:ind w:firstLine="480" w:firstLineChars="200"/>
              <w:rPr>
                <w:rFonts w:hint="default" w:ascii="Times New Roman" w:hAnsi="Times New Roman" w:cs="Times New Roman"/>
                <w:color w:val="auto"/>
                <w:sz w:val="24"/>
                <w:szCs w:val="21"/>
              </w:rPr>
            </w:pPr>
            <w:r>
              <w:rPr>
                <w:rFonts w:hint="eastAsia"/>
                <w:color w:val="auto"/>
                <w:sz w:val="24"/>
                <w:szCs w:val="24"/>
                <w:lang w:eastAsia="zh-CN" w:bidi="ar"/>
              </w:rPr>
              <w:t>项目</w:t>
            </w:r>
            <w:r>
              <w:rPr>
                <w:rFonts w:hint="eastAsia"/>
                <w:color w:val="auto"/>
                <w:sz w:val="24"/>
                <w:szCs w:val="24"/>
                <w:lang w:val="en-US" w:eastAsia="zh-CN" w:bidi="ar"/>
              </w:rPr>
              <w:t>生物质</w:t>
            </w:r>
            <w:r>
              <w:rPr>
                <w:rFonts w:hint="eastAsia"/>
                <w:color w:val="auto"/>
                <w:sz w:val="24"/>
                <w:szCs w:val="24"/>
                <w:lang w:eastAsia="zh-CN" w:bidi="ar"/>
              </w:rPr>
              <w:t>锅炉</w:t>
            </w:r>
            <w:r>
              <w:rPr>
                <w:rFonts w:hint="eastAsia"/>
                <w:color w:val="auto"/>
                <w:sz w:val="24"/>
                <w:szCs w:val="24"/>
                <w:lang w:val="en-US" w:eastAsia="zh-CN" w:bidi="ar"/>
              </w:rPr>
              <w:t>为层燃炉，采用低氮燃烧技术，锅炉燃烧</w:t>
            </w:r>
            <w:r>
              <w:rPr>
                <w:rFonts w:hint="eastAsia"/>
                <w:color w:val="auto"/>
                <w:sz w:val="24"/>
                <w:szCs w:val="24"/>
                <w:lang w:eastAsia="zh-CN" w:bidi="ar"/>
              </w:rPr>
              <w:t>废气经“</w:t>
            </w:r>
            <w:r>
              <w:rPr>
                <w:rFonts w:hint="default" w:ascii="Times New Roman" w:hAnsi="Times New Roman" w:cs="Times New Roman"/>
                <w:color w:val="auto"/>
                <w:sz w:val="24"/>
                <w:szCs w:val="24"/>
              </w:rPr>
              <w:t>多管旋风除尘器+布袋除尘器</w:t>
            </w:r>
            <w:r>
              <w:rPr>
                <w:rFonts w:hint="eastAsia"/>
                <w:color w:val="auto"/>
                <w:sz w:val="24"/>
                <w:szCs w:val="24"/>
                <w:lang w:eastAsia="zh-CN" w:bidi="ar"/>
              </w:rPr>
              <w:t>”处理后，通过1根高</w:t>
            </w:r>
            <w:r>
              <w:rPr>
                <w:rFonts w:hint="eastAsia"/>
                <w:color w:val="auto"/>
                <w:sz w:val="24"/>
                <w:szCs w:val="24"/>
                <w:lang w:val="en-US" w:eastAsia="zh-CN" w:bidi="ar"/>
              </w:rPr>
              <w:t>30</w:t>
            </w:r>
            <w:r>
              <w:rPr>
                <w:rFonts w:hint="eastAsia"/>
                <w:color w:val="auto"/>
                <w:sz w:val="24"/>
                <w:szCs w:val="24"/>
                <w:lang w:eastAsia="zh-CN" w:bidi="ar"/>
              </w:rPr>
              <w:t>m的排气筒（DA001）排放。符合《排污许可申请与核发技术规范 锅炉》（HJ953-2018）中表7 锅炉烟气污染物防治可行技术要求，技术可行。</w:t>
            </w:r>
          </w:p>
          <w:p w14:paraId="20F5F901">
            <w:pPr>
              <w:adjustRightInd w:val="0"/>
              <w:snapToGrid w:val="0"/>
              <w:spacing w:line="360" w:lineRule="auto"/>
              <w:ind w:firstLine="442" w:firstLineChars="200"/>
              <w:rPr>
                <w:rFonts w:hint="default" w:ascii="Times New Roman" w:hAnsi="Times New Roman" w:cs="Times New Roman"/>
                <w:b/>
                <w:color w:val="auto"/>
                <w:spacing w:val="-10"/>
                <w:sz w:val="24"/>
              </w:rPr>
            </w:pPr>
            <w:r>
              <w:rPr>
                <w:rFonts w:hint="default" w:ascii="Times New Roman" w:hAnsi="Times New Roman" w:cs="Times New Roman"/>
                <w:b/>
                <w:color w:val="auto"/>
                <w:spacing w:val="-10"/>
                <w:sz w:val="24"/>
              </w:rPr>
              <w:t>6、大气污染源监测要求</w:t>
            </w:r>
          </w:p>
          <w:p w14:paraId="4B80D6A5">
            <w:pPr>
              <w:spacing w:line="360" w:lineRule="auto"/>
              <w:ind w:firstLine="480" w:firstLineChars="200"/>
              <w:textAlignment w:val="center"/>
              <w:rPr>
                <w:rFonts w:hint="default" w:ascii="Times New Roman" w:hAnsi="Times New Roman" w:cs="Times New Roman"/>
                <w:b/>
                <w:color w:val="auto"/>
                <w:szCs w:val="21"/>
                <w:lang w:bidi="ar"/>
              </w:rPr>
            </w:pPr>
            <w:r>
              <w:rPr>
                <w:rFonts w:hint="default" w:ascii="Times New Roman" w:hAnsi="Times New Roman" w:cs="Times New Roman"/>
                <w:color w:val="auto"/>
                <w:sz w:val="24"/>
                <w:lang w:val="en-US" w:eastAsia="zh-CN"/>
              </w:rPr>
              <w:t>依据</w:t>
            </w:r>
            <w:r>
              <w:rPr>
                <w:rFonts w:hint="default" w:ascii="Times New Roman" w:hAnsi="Times New Roman" w:cs="Times New Roman"/>
                <w:color w:val="auto"/>
                <w:sz w:val="24"/>
                <w:lang w:eastAsia="zh-CN"/>
              </w:rPr>
              <w:t>《排污单位自行监测技术指南 酒、饮料制造》（HJ 1085-2020）</w:t>
            </w:r>
            <w:r>
              <w:rPr>
                <w:rFonts w:hint="default" w:ascii="Times New Roman" w:hAnsi="Times New Roman" w:cs="Times New Roman"/>
                <w:color w:val="auto"/>
                <w:sz w:val="24"/>
                <w:lang w:val="en-US" w:eastAsia="zh-CN"/>
              </w:rPr>
              <w:t>及</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排污单位自行监测技术指南 火力发电及锅炉</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HJ820-2017</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进行监测。项目自行监测计划如下</w:t>
            </w:r>
            <w:r>
              <w:rPr>
                <w:rFonts w:hint="eastAsia" w:cs="Times New Roman"/>
                <w:color w:val="auto"/>
                <w:sz w:val="24"/>
                <w:lang w:eastAsia="zh-CN"/>
              </w:rPr>
              <w:t>：</w:t>
            </w:r>
          </w:p>
          <w:p w14:paraId="515D47DC">
            <w:pPr>
              <w:adjustRightInd w:val="0"/>
              <w:snapToGrid w:val="0"/>
              <w:jc w:val="center"/>
              <w:rPr>
                <w:rFonts w:hint="default" w:ascii="Times New Roman" w:hAnsi="Times New Roman" w:cs="Times New Roman"/>
                <w:b/>
                <w:color w:val="auto"/>
                <w:szCs w:val="21"/>
                <w:lang w:bidi="ar"/>
              </w:rPr>
            </w:pPr>
            <w:r>
              <w:rPr>
                <w:rFonts w:hint="default" w:ascii="Times New Roman" w:hAnsi="Times New Roman" w:cs="Times New Roman"/>
                <w:b/>
                <w:color w:val="auto"/>
                <w:szCs w:val="21"/>
                <w:lang w:bidi="ar"/>
              </w:rPr>
              <w:t>表4-</w:t>
            </w:r>
            <w:r>
              <w:rPr>
                <w:rFonts w:hint="eastAsia" w:cs="Times New Roman"/>
                <w:b/>
                <w:color w:val="auto"/>
                <w:szCs w:val="21"/>
                <w:lang w:val="en-US" w:eastAsia="zh-CN" w:bidi="ar"/>
              </w:rPr>
              <w:t>8</w:t>
            </w:r>
            <w:r>
              <w:rPr>
                <w:rFonts w:hint="default" w:ascii="Times New Roman" w:hAnsi="Times New Roman" w:cs="Times New Roman"/>
                <w:b/>
                <w:color w:val="auto"/>
                <w:szCs w:val="21"/>
                <w:lang w:bidi="ar"/>
              </w:rPr>
              <w:t xml:space="preserve">  废气自行监测计划一览表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569"/>
              <w:gridCol w:w="1269"/>
              <w:gridCol w:w="3686"/>
            </w:tblGrid>
            <w:tr w14:paraId="1791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pct"/>
                  <w:noWrap w:val="0"/>
                  <w:vAlign w:val="center"/>
                </w:tcPr>
                <w:p w14:paraId="6BF5275B">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监测点位</w:t>
                  </w:r>
                </w:p>
              </w:tc>
              <w:tc>
                <w:tcPr>
                  <w:tcW w:w="970" w:type="pct"/>
                  <w:noWrap w:val="0"/>
                  <w:vAlign w:val="center"/>
                </w:tcPr>
                <w:p w14:paraId="71FAABEF">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监测因子</w:t>
                  </w:r>
                </w:p>
              </w:tc>
              <w:tc>
                <w:tcPr>
                  <w:tcW w:w="784" w:type="pct"/>
                  <w:noWrap w:val="0"/>
                  <w:vAlign w:val="center"/>
                </w:tcPr>
                <w:p w14:paraId="734B8E5D">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监测频次</w:t>
                  </w:r>
                </w:p>
              </w:tc>
              <w:tc>
                <w:tcPr>
                  <w:tcW w:w="2280" w:type="pct"/>
                  <w:noWrap w:val="0"/>
                  <w:vAlign w:val="center"/>
                </w:tcPr>
                <w:p w14:paraId="37DD1406">
                  <w:pPr>
                    <w:jc w:val="center"/>
                    <w:rPr>
                      <w:rFonts w:hint="default" w:ascii="Times New Roman" w:hAnsi="Times New Roman" w:cs="Times New Roman"/>
                      <w:b/>
                      <w:bCs/>
                      <w:color w:val="auto"/>
                      <w:kern w:val="13"/>
                      <w:szCs w:val="21"/>
                    </w:rPr>
                  </w:pPr>
                  <w:r>
                    <w:rPr>
                      <w:rFonts w:hint="default" w:ascii="Times New Roman" w:hAnsi="Times New Roman" w:cs="Times New Roman"/>
                      <w:b/>
                      <w:bCs/>
                      <w:color w:val="auto"/>
                      <w:kern w:val="13"/>
                      <w:szCs w:val="21"/>
                    </w:rPr>
                    <w:t>排放标准</w:t>
                  </w:r>
                </w:p>
              </w:tc>
            </w:tr>
            <w:tr w14:paraId="39A2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pct"/>
                  <w:noWrap w:val="0"/>
                  <w:vAlign w:val="center"/>
                </w:tcPr>
                <w:p w14:paraId="7B6C1791">
                  <w:pPr>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lang w:val="en-US" w:eastAsia="zh-CN"/>
                    </w:rPr>
                    <w:t>生物质锅炉废气排放口</w:t>
                  </w:r>
                  <w:r>
                    <w:rPr>
                      <w:rFonts w:hint="default" w:ascii="Times New Roman" w:hAnsi="Times New Roman" w:cs="Times New Roman"/>
                      <w:b w:val="0"/>
                      <w:bCs w:val="0"/>
                      <w:color w:val="auto"/>
                      <w:szCs w:val="21"/>
                    </w:rPr>
                    <w:t>（DA001）</w:t>
                  </w:r>
                </w:p>
              </w:tc>
              <w:tc>
                <w:tcPr>
                  <w:tcW w:w="970" w:type="pct"/>
                  <w:noWrap w:val="0"/>
                  <w:vAlign w:val="center"/>
                </w:tcPr>
                <w:p w14:paraId="64EA5029">
                  <w:pPr>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颗粒物、</w:t>
                  </w:r>
                  <w:r>
                    <w:rPr>
                      <w:rFonts w:hint="default" w:ascii="Times New Roman" w:hAnsi="Times New Roman" w:cs="Times New Roman"/>
                      <w:b w:val="0"/>
                      <w:bCs w:val="0"/>
                      <w:color w:val="auto"/>
                      <w:szCs w:val="21"/>
                    </w:rPr>
                    <w:t>SO</w:t>
                  </w:r>
                  <w:r>
                    <w:rPr>
                      <w:rFonts w:hint="default" w:ascii="Times New Roman" w:hAnsi="Times New Roman" w:cs="Times New Roman"/>
                      <w:b w:val="0"/>
                      <w:bCs w:val="0"/>
                      <w:color w:val="auto"/>
                      <w:szCs w:val="21"/>
                      <w:vertAlign w:val="subscript"/>
                    </w:rPr>
                    <w:t>2</w:t>
                  </w:r>
                  <w:r>
                    <w:rPr>
                      <w:rFonts w:hint="default" w:ascii="Times New Roman" w:hAnsi="Times New Roman" w:cs="Times New Roman"/>
                      <w:b w:val="0"/>
                      <w:bCs w:val="0"/>
                      <w:color w:val="auto"/>
                      <w:szCs w:val="21"/>
                    </w:rPr>
                    <w:t>、NOx</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lang w:val="en-US" w:eastAsia="zh-CN"/>
                    </w:rPr>
                    <w:t>林格曼黑度</w:t>
                  </w:r>
                </w:p>
              </w:tc>
              <w:tc>
                <w:tcPr>
                  <w:tcW w:w="784" w:type="pct"/>
                  <w:noWrap w:val="0"/>
                  <w:vAlign w:val="center"/>
                </w:tcPr>
                <w:p w14:paraId="748FBE2C">
                  <w:pPr>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1次/月</w:t>
                  </w:r>
                </w:p>
              </w:tc>
              <w:tc>
                <w:tcPr>
                  <w:tcW w:w="2280" w:type="pct"/>
                  <w:noWrap w:val="0"/>
                  <w:vAlign w:val="center"/>
                </w:tcPr>
                <w:p w14:paraId="49A7EC93">
                  <w:pPr>
                    <w:jc w:val="center"/>
                    <w:rPr>
                      <w:rFonts w:hint="default" w:ascii="Times New Roman" w:hAnsi="Times New Roman" w:cs="Times New Roman"/>
                      <w:b w:val="0"/>
                      <w:bCs w:val="0"/>
                      <w:color w:val="auto"/>
                      <w:kern w:val="13"/>
                      <w:szCs w:val="21"/>
                    </w:rPr>
                  </w:pPr>
                  <w:r>
                    <w:rPr>
                      <w:rFonts w:hint="default" w:ascii="Times New Roman" w:hAnsi="Times New Roman" w:cs="Times New Roman"/>
                      <w:b w:val="0"/>
                      <w:bCs w:val="0"/>
                      <w:color w:val="auto"/>
                      <w:sz w:val="21"/>
                      <w:szCs w:val="21"/>
                    </w:rPr>
                    <w:t>《锅炉大气污染物排放标准》</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GB13271-2014</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表2 中燃煤锅炉大气污染物排放浓度限值</w:t>
                  </w:r>
                </w:p>
              </w:tc>
            </w:tr>
            <w:tr w14:paraId="095A4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pct"/>
                  <w:vMerge w:val="restart"/>
                  <w:noWrap w:val="0"/>
                  <w:vAlign w:val="center"/>
                </w:tcPr>
                <w:p w14:paraId="72EDA9DF">
                  <w:pPr>
                    <w:adjustRightInd w:val="0"/>
                    <w:snapToGrid w:val="0"/>
                    <w:jc w:val="center"/>
                    <w:textAlignment w:val="baseline"/>
                    <w:rPr>
                      <w:rFonts w:hint="default" w:ascii="Times New Roman" w:hAnsi="Times New Roman" w:cs="Times New Roman"/>
                      <w:bCs/>
                      <w:color w:val="auto"/>
                      <w:szCs w:val="21"/>
                    </w:rPr>
                  </w:pPr>
                  <w:r>
                    <w:rPr>
                      <w:rFonts w:hint="default" w:ascii="Times New Roman" w:hAnsi="Times New Roman" w:cs="Times New Roman"/>
                      <w:color w:val="auto"/>
                      <w:szCs w:val="21"/>
                    </w:rPr>
                    <w:t>厂界</w:t>
                  </w:r>
                  <w:r>
                    <w:rPr>
                      <w:rFonts w:hint="default" w:ascii="Times New Roman" w:hAnsi="Times New Roman" w:cs="Times New Roman"/>
                      <w:color w:val="auto"/>
                      <w:szCs w:val="21"/>
                      <w:lang w:val="en-US" w:eastAsia="zh-CN"/>
                    </w:rPr>
                    <w:t>无组织废气</w:t>
                  </w:r>
                </w:p>
              </w:tc>
              <w:tc>
                <w:tcPr>
                  <w:tcW w:w="970" w:type="pct"/>
                  <w:noWrap w:val="0"/>
                  <w:vAlign w:val="center"/>
                </w:tcPr>
                <w:p w14:paraId="0D8A617F">
                  <w:pPr>
                    <w:adjustRightInd w:val="0"/>
                    <w:snapToGrid w:val="0"/>
                    <w:jc w:val="center"/>
                    <w:textAlignment w:val="baseline"/>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lang w:val="en-US" w:eastAsia="zh-CN"/>
                    </w:rPr>
                    <w:t>臭气浓度</w:t>
                  </w:r>
                </w:p>
              </w:tc>
              <w:tc>
                <w:tcPr>
                  <w:tcW w:w="784" w:type="pct"/>
                  <w:noWrap w:val="0"/>
                  <w:vAlign w:val="center"/>
                </w:tcPr>
                <w:p w14:paraId="1A892535">
                  <w:pPr>
                    <w:jc w:val="center"/>
                    <w:rPr>
                      <w:rFonts w:hint="default" w:ascii="Times New Roman" w:hAnsi="Times New Roman" w:cs="Times New Roman"/>
                      <w:bCs/>
                      <w:color w:val="auto"/>
                      <w:szCs w:val="21"/>
                    </w:rPr>
                  </w:pPr>
                  <w:r>
                    <w:rPr>
                      <w:rFonts w:hint="default" w:ascii="Times New Roman" w:hAnsi="Times New Roman" w:cs="Times New Roman"/>
                      <w:bCs/>
                      <w:color w:val="auto"/>
                      <w:kern w:val="13"/>
                      <w:szCs w:val="21"/>
                    </w:rPr>
                    <w:t>1次/半年</w:t>
                  </w:r>
                </w:p>
              </w:tc>
              <w:tc>
                <w:tcPr>
                  <w:tcW w:w="2280" w:type="pct"/>
                  <w:noWrap w:val="0"/>
                  <w:vAlign w:val="center"/>
                </w:tcPr>
                <w:p w14:paraId="4F899602">
                  <w:pPr>
                    <w:jc w:val="center"/>
                    <w:rPr>
                      <w:rFonts w:hint="default" w:ascii="Times New Roman" w:hAnsi="Times New Roman" w:cs="Times New Roman"/>
                      <w:bCs/>
                      <w:color w:val="auto"/>
                      <w:kern w:val="13"/>
                      <w:szCs w:val="21"/>
                    </w:rPr>
                  </w:pPr>
                  <w:r>
                    <w:rPr>
                      <w:rFonts w:hint="default" w:ascii="Times New Roman" w:hAnsi="Times New Roman" w:cs="Times New Roman"/>
                      <w:color w:val="auto"/>
                      <w:sz w:val="21"/>
                      <w:szCs w:val="21"/>
                    </w:rPr>
                    <w:t>《恶臭污染物排放标准》（GB14554-93）表1的二级标准</w:t>
                  </w:r>
                </w:p>
              </w:tc>
            </w:tr>
            <w:tr w14:paraId="1719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pct"/>
                  <w:vMerge w:val="continue"/>
                  <w:noWrap w:val="0"/>
                  <w:vAlign w:val="center"/>
                </w:tcPr>
                <w:p w14:paraId="3E3E4B5D">
                  <w:pPr>
                    <w:adjustRightInd w:val="0"/>
                    <w:snapToGrid w:val="0"/>
                    <w:jc w:val="center"/>
                    <w:textAlignment w:val="baseline"/>
                    <w:rPr>
                      <w:rFonts w:hint="default" w:ascii="Times New Roman" w:hAnsi="Times New Roman" w:cs="Times New Roman"/>
                      <w:color w:val="auto"/>
                      <w:szCs w:val="21"/>
                    </w:rPr>
                  </w:pPr>
                </w:p>
              </w:tc>
              <w:tc>
                <w:tcPr>
                  <w:tcW w:w="970" w:type="pct"/>
                  <w:noWrap w:val="0"/>
                  <w:vAlign w:val="center"/>
                </w:tcPr>
                <w:p w14:paraId="23EEFD52">
                  <w:pPr>
                    <w:adjustRightInd w:val="0"/>
                    <w:snapToGrid w:val="0"/>
                    <w:jc w:val="center"/>
                    <w:textAlignment w:val="baseline"/>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颗粒物</w:t>
                  </w:r>
                </w:p>
              </w:tc>
              <w:tc>
                <w:tcPr>
                  <w:tcW w:w="784" w:type="pct"/>
                  <w:noWrap w:val="0"/>
                  <w:vAlign w:val="center"/>
                </w:tcPr>
                <w:p w14:paraId="00A02821">
                  <w:pPr>
                    <w:jc w:val="center"/>
                    <w:rPr>
                      <w:rFonts w:hint="default" w:ascii="Times New Roman" w:hAnsi="Times New Roman" w:eastAsia="宋体" w:cs="Times New Roman"/>
                      <w:bCs/>
                      <w:color w:val="auto"/>
                      <w:kern w:val="13"/>
                      <w:szCs w:val="21"/>
                      <w:lang w:val="en-US" w:eastAsia="zh-CN"/>
                    </w:rPr>
                  </w:pPr>
                  <w:r>
                    <w:rPr>
                      <w:rFonts w:hint="default" w:ascii="Times New Roman" w:hAnsi="Times New Roman" w:cs="Times New Roman"/>
                      <w:bCs/>
                      <w:color w:val="auto"/>
                      <w:kern w:val="13"/>
                      <w:szCs w:val="21"/>
                      <w:lang w:val="en-US" w:eastAsia="zh-CN"/>
                    </w:rPr>
                    <w:t>1次/半年</w:t>
                  </w:r>
                </w:p>
              </w:tc>
              <w:tc>
                <w:tcPr>
                  <w:tcW w:w="2280" w:type="pct"/>
                  <w:noWrap w:val="0"/>
                  <w:vAlign w:val="center"/>
                </w:tcPr>
                <w:p w14:paraId="1F512684">
                  <w:pPr>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《大气污染物综合排放标准》（GB16297-1996）表2中无组织排放浓度要求</w:t>
                  </w:r>
                </w:p>
              </w:tc>
            </w:tr>
            <w:tr w14:paraId="0119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pct"/>
                  <w:vMerge w:val="continue"/>
                  <w:noWrap w:val="0"/>
                  <w:vAlign w:val="center"/>
                </w:tcPr>
                <w:p w14:paraId="6EA99D64">
                  <w:pPr>
                    <w:adjustRightInd w:val="0"/>
                    <w:snapToGrid w:val="0"/>
                    <w:jc w:val="center"/>
                    <w:textAlignment w:val="baseline"/>
                    <w:rPr>
                      <w:rFonts w:hint="default" w:ascii="Times New Roman" w:hAnsi="Times New Roman" w:cs="Times New Roman"/>
                      <w:color w:val="auto"/>
                      <w:szCs w:val="21"/>
                    </w:rPr>
                  </w:pPr>
                </w:p>
              </w:tc>
              <w:tc>
                <w:tcPr>
                  <w:tcW w:w="970" w:type="pct"/>
                  <w:noWrap w:val="0"/>
                  <w:vAlign w:val="center"/>
                </w:tcPr>
                <w:p w14:paraId="178A6E3F">
                  <w:pPr>
                    <w:adjustRightInd w:val="0"/>
                    <w:snapToGrid w:val="0"/>
                    <w:jc w:val="center"/>
                    <w:textAlignment w:val="baseline"/>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硫化氢、氨</w:t>
                  </w:r>
                </w:p>
              </w:tc>
              <w:tc>
                <w:tcPr>
                  <w:tcW w:w="784" w:type="pct"/>
                  <w:noWrap w:val="0"/>
                  <w:vAlign w:val="center"/>
                </w:tcPr>
                <w:p w14:paraId="3E4322B2">
                  <w:pPr>
                    <w:jc w:val="center"/>
                    <w:rPr>
                      <w:rFonts w:hint="default" w:ascii="Times New Roman" w:hAnsi="Times New Roman" w:cs="Times New Roman"/>
                      <w:bCs/>
                      <w:color w:val="auto"/>
                      <w:kern w:val="13"/>
                      <w:szCs w:val="21"/>
                      <w:lang w:val="en-US" w:eastAsia="zh-CN"/>
                    </w:rPr>
                  </w:pPr>
                  <w:r>
                    <w:rPr>
                      <w:rFonts w:hint="default" w:ascii="Times New Roman" w:hAnsi="Times New Roman" w:cs="Times New Roman"/>
                      <w:bCs/>
                      <w:color w:val="auto"/>
                      <w:kern w:val="13"/>
                      <w:szCs w:val="21"/>
                      <w:lang w:val="en-US" w:eastAsia="zh-CN"/>
                    </w:rPr>
                    <w:t>1次/半年</w:t>
                  </w:r>
                </w:p>
              </w:tc>
              <w:tc>
                <w:tcPr>
                  <w:tcW w:w="2280" w:type="pct"/>
                  <w:noWrap w:val="0"/>
                  <w:vAlign w:val="center"/>
                </w:tcPr>
                <w:p w14:paraId="24B8540F">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color w:val="auto"/>
                      <w:sz w:val="21"/>
                      <w:szCs w:val="21"/>
                    </w:rPr>
                    <w:t>《恶臭污染物排放标准》（GB14554-93）表1的二级标准</w:t>
                  </w:r>
                </w:p>
              </w:tc>
            </w:tr>
          </w:tbl>
          <w:p w14:paraId="2554A2C8">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二、</w:t>
            </w:r>
            <w:r>
              <w:rPr>
                <w:rFonts w:hint="default" w:ascii="Times New Roman" w:hAnsi="Times New Roman" w:cs="Times New Roman"/>
                <w:b/>
                <w:bCs/>
                <w:color w:val="auto"/>
                <w:sz w:val="24"/>
              </w:rPr>
              <w:t>废水</w:t>
            </w:r>
          </w:p>
          <w:p w14:paraId="3D901400">
            <w:pPr>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val="en-US" w:eastAsia="zh-CN"/>
              </w:rPr>
              <w:t>本次技改后厂区</w:t>
            </w:r>
            <w:r>
              <w:rPr>
                <w:rFonts w:hint="default" w:ascii="Times New Roman" w:hAnsi="Times New Roman" w:cs="Times New Roman"/>
                <w:color w:val="auto"/>
                <w:sz w:val="24"/>
                <w:lang w:val="en-US" w:eastAsia="zh-CN"/>
              </w:rPr>
              <w:t>产生的废水</w:t>
            </w:r>
            <w:r>
              <w:rPr>
                <w:rFonts w:hint="default" w:ascii="Times New Roman" w:hAnsi="Times New Roman" w:cs="Times New Roman"/>
                <w:color w:val="auto"/>
                <w:sz w:val="24"/>
              </w:rPr>
              <w:t>主要为</w:t>
            </w:r>
            <w:r>
              <w:rPr>
                <w:rFonts w:hint="default" w:ascii="Times New Roman" w:hAnsi="Times New Roman" w:cs="Times New Roman"/>
                <w:color w:val="auto"/>
                <w:sz w:val="24"/>
                <w:lang w:val="en-US" w:eastAsia="zh-CN"/>
              </w:rPr>
              <w:t>纯水制备系统浓水及反冲洗废水、水果清洗废水、CIP清洗系统废水、化验室废水、生产车间地面清洗废水、锅炉排水、生活污水等。</w:t>
            </w:r>
          </w:p>
          <w:p w14:paraId="10D2632A">
            <w:pPr>
              <w:spacing w:line="360" w:lineRule="auto"/>
              <w:ind w:firstLine="482"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b/>
                <w:bCs/>
                <w:color w:val="auto"/>
                <w:sz w:val="24"/>
                <w:lang w:val="en-US" w:eastAsia="zh-CN"/>
              </w:rPr>
              <w:t>1、源强核算</w:t>
            </w:r>
          </w:p>
          <w:p w14:paraId="0DFE8438">
            <w:pPr>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bCs/>
                <w:color w:val="auto"/>
                <w:sz w:val="24"/>
              </w:rPr>
              <w:t>纯水</w:t>
            </w:r>
            <w:r>
              <w:rPr>
                <w:rFonts w:hint="default" w:ascii="Times New Roman" w:hAnsi="Times New Roman" w:cs="Times New Roman"/>
                <w:b/>
                <w:bCs/>
                <w:color w:val="auto"/>
                <w:sz w:val="24"/>
                <w:lang w:val="en-US" w:eastAsia="zh-CN"/>
              </w:rPr>
              <w:t>制备</w:t>
            </w:r>
            <w:r>
              <w:rPr>
                <w:rFonts w:hint="default" w:ascii="Times New Roman" w:hAnsi="Times New Roman" w:cs="Times New Roman"/>
                <w:b/>
                <w:bCs/>
                <w:color w:val="auto"/>
                <w:sz w:val="24"/>
              </w:rPr>
              <w:t>系统</w:t>
            </w:r>
            <w:r>
              <w:rPr>
                <w:rFonts w:hint="default" w:ascii="Times New Roman" w:hAnsi="Times New Roman" w:cs="Times New Roman"/>
                <w:b/>
                <w:bCs/>
                <w:color w:val="auto"/>
                <w:sz w:val="24"/>
                <w:lang w:val="en-US" w:eastAsia="zh-CN"/>
              </w:rPr>
              <w:t>浓水</w:t>
            </w:r>
            <w:r>
              <w:rPr>
                <w:rFonts w:hint="eastAsia" w:cs="Times New Roman"/>
                <w:b/>
                <w:bCs/>
                <w:color w:val="auto"/>
                <w:sz w:val="24"/>
                <w:lang w:val="en-US" w:eastAsia="zh-CN"/>
              </w:rPr>
              <w:t>（W1）</w:t>
            </w:r>
            <w:r>
              <w:rPr>
                <w:rFonts w:hint="default" w:ascii="Times New Roman" w:hAnsi="Times New Roman" w:cs="Times New Roman"/>
                <w:b/>
                <w:bCs/>
                <w:color w:val="auto"/>
                <w:sz w:val="24"/>
                <w:lang w:val="en-US" w:eastAsia="zh-CN"/>
              </w:rPr>
              <w:t>：</w:t>
            </w:r>
            <w:r>
              <w:rPr>
                <w:rFonts w:hint="default" w:ascii="Times New Roman" w:hAnsi="Times New Roman" w:cs="Times New Roman"/>
                <w:b w:val="0"/>
                <w:bCs w:val="0"/>
                <w:color w:val="auto"/>
                <w:sz w:val="24"/>
                <w:lang w:val="en-US" w:eastAsia="zh-CN"/>
              </w:rPr>
              <w:t>根据水平衡，本项目纯水制备系统浓水的产生量为</w:t>
            </w:r>
            <w:r>
              <w:rPr>
                <w:rFonts w:hint="eastAsia" w:cs="Times New Roman"/>
                <w:color w:val="auto"/>
                <w:kern w:val="0"/>
                <w:sz w:val="24"/>
                <w:szCs w:val="24"/>
                <w:highlight w:val="none"/>
                <w:lang w:val="en-US" w:eastAsia="zh-CN" w:bidi="ar"/>
              </w:rPr>
              <w:t>7.51</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d，1502</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/a</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cs="Times New Roman"/>
                <w:b w:val="0"/>
                <w:bCs/>
                <w:color w:val="auto"/>
                <w:sz w:val="24"/>
                <w:szCs w:val="24"/>
                <w:lang w:val="en-US" w:eastAsia="zh-CN"/>
              </w:rPr>
              <w:t>主要污染物为</w:t>
            </w:r>
            <w:r>
              <w:rPr>
                <w:rFonts w:hint="eastAsia" w:cs="Times New Roman"/>
                <w:color w:val="auto"/>
                <w:sz w:val="24"/>
                <w:lang w:val="en-US" w:eastAsia="zh-CN"/>
              </w:rPr>
              <w:t>SS、溶解性总固体</w:t>
            </w:r>
            <w:r>
              <w:rPr>
                <w:rFonts w:hint="default" w:ascii="Times New Roman" w:hAnsi="Times New Roman" w:cs="Times New Roman"/>
                <w:color w:val="auto"/>
                <w:spacing w:val="-2"/>
                <w:sz w:val="24"/>
                <w:szCs w:val="24"/>
                <w:lang w:val="en-US" w:eastAsia="zh-CN"/>
              </w:rPr>
              <w:t>等</w:t>
            </w:r>
            <w:r>
              <w:rPr>
                <w:rFonts w:hint="eastAsia" w:cs="Times New Roman"/>
                <w:color w:val="auto"/>
                <w:spacing w:val="-2"/>
                <w:sz w:val="24"/>
                <w:szCs w:val="24"/>
                <w:lang w:val="en-US" w:eastAsia="zh-CN"/>
              </w:rPr>
              <w:t>，属于低浓度废水</w:t>
            </w:r>
            <w:r>
              <w:rPr>
                <w:rFonts w:hint="default" w:ascii="Times New Roman" w:hAnsi="Times New Roman" w:cs="Times New Roman"/>
                <w:color w:val="auto"/>
                <w:sz w:val="24"/>
                <w:szCs w:val="24"/>
                <w:lang w:eastAsia="zh-CN"/>
              </w:rPr>
              <w:t>。</w:t>
            </w:r>
          </w:p>
          <w:p w14:paraId="2FF8171E">
            <w:pPr>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bCs/>
                <w:color w:val="auto"/>
                <w:sz w:val="24"/>
              </w:rPr>
              <w:t>纯水制备系统反冲洗</w:t>
            </w:r>
            <w:r>
              <w:rPr>
                <w:rFonts w:hint="default" w:ascii="Times New Roman" w:hAnsi="Times New Roman" w:cs="Times New Roman"/>
                <w:b/>
                <w:bCs/>
                <w:color w:val="auto"/>
                <w:sz w:val="24"/>
                <w:lang w:val="en-US" w:eastAsia="zh-CN"/>
              </w:rPr>
              <w:t>废水</w:t>
            </w:r>
            <w:r>
              <w:rPr>
                <w:rFonts w:hint="eastAsia" w:cs="Times New Roman"/>
                <w:b/>
                <w:bCs/>
                <w:color w:val="auto"/>
                <w:sz w:val="24"/>
                <w:lang w:val="en-US" w:eastAsia="zh-CN"/>
              </w:rPr>
              <w:t>（W2）</w:t>
            </w:r>
            <w:r>
              <w:rPr>
                <w:rFonts w:hint="default" w:ascii="Times New Roman" w:hAnsi="Times New Roman" w:cs="Times New Roman"/>
                <w:b/>
                <w:bCs/>
                <w:color w:val="auto"/>
                <w:sz w:val="24"/>
                <w:lang w:val="en-US" w:eastAsia="zh-CN"/>
              </w:rPr>
              <w:t>：</w:t>
            </w:r>
            <w:r>
              <w:rPr>
                <w:rFonts w:hint="default" w:ascii="Times New Roman" w:hAnsi="Times New Roman" w:cs="Times New Roman"/>
                <w:b w:val="0"/>
                <w:bCs w:val="0"/>
                <w:color w:val="auto"/>
                <w:sz w:val="24"/>
                <w:lang w:val="en-US" w:eastAsia="zh-CN"/>
              </w:rPr>
              <w:t>根据水平衡，纯水制备系统</w:t>
            </w:r>
            <w:r>
              <w:rPr>
                <w:rFonts w:hint="default" w:ascii="Times New Roman" w:hAnsi="Times New Roman" w:cs="Times New Roman"/>
                <w:b w:val="0"/>
                <w:bCs w:val="0"/>
                <w:color w:val="auto"/>
                <w:sz w:val="24"/>
              </w:rPr>
              <w:t>反冲洗</w:t>
            </w:r>
            <w:r>
              <w:rPr>
                <w:rFonts w:hint="default" w:ascii="Times New Roman" w:hAnsi="Times New Roman" w:cs="Times New Roman"/>
                <w:b w:val="0"/>
                <w:bCs w:val="0"/>
                <w:color w:val="auto"/>
                <w:sz w:val="24"/>
                <w:lang w:val="en-US" w:eastAsia="zh-CN"/>
              </w:rPr>
              <w:t>废水产生量为</w:t>
            </w:r>
            <w:r>
              <w:rPr>
                <w:rFonts w:hint="default" w:ascii="Times New Roman" w:hAnsi="Times New Roman" w:cs="Times New Roman"/>
                <w:b w:val="0"/>
                <w:bCs w:val="0"/>
                <w:color w:val="auto"/>
                <w:sz w:val="24"/>
                <w:szCs w:val="24"/>
                <w:lang w:val="en-US" w:eastAsia="zh-CN"/>
              </w:rPr>
              <w:t>0.8</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/d</w:t>
            </w:r>
            <w:r>
              <w:rPr>
                <w:rFonts w:hint="default" w:ascii="Times New Roman" w:hAnsi="Times New Roman" w:cs="Times New Roman"/>
                <w:b w:val="0"/>
                <w:bCs w:val="0"/>
                <w:color w:val="auto"/>
                <w:sz w:val="24"/>
                <w:szCs w:val="24"/>
                <w:lang w:val="en-US" w:eastAsia="zh-CN"/>
              </w:rPr>
              <w:t>，160</w:t>
            </w:r>
            <w:r>
              <w:rPr>
                <w:rFonts w:hint="default" w:ascii="Times New Roman" w:hAnsi="Times New Roman" w:cs="Times New Roman"/>
                <w:b w:val="0"/>
                <w:bCs w:val="0"/>
                <w:color w:val="auto"/>
                <w:sz w:val="24"/>
                <w:lang w:val="en-US" w:eastAsia="zh-CN"/>
              </w:rPr>
              <w:t>m</w:t>
            </w:r>
            <w:r>
              <w:rPr>
                <w:rFonts w:hint="default" w:ascii="Times New Roman" w:hAnsi="Times New Roman" w:cs="Times New Roman"/>
                <w:b w:val="0"/>
                <w:bCs w:val="0"/>
                <w:color w:val="auto"/>
                <w:sz w:val="24"/>
                <w:vertAlign w:val="superscript"/>
                <w:lang w:val="en-US" w:eastAsia="zh-CN"/>
              </w:rPr>
              <w:t>3</w:t>
            </w:r>
            <w:r>
              <w:rPr>
                <w:rFonts w:hint="default" w:ascii="Times New Roman" w:hAnsi="Times New Roman" w:cs="Times New Roman"/>
                <w:b w:val="0"/>
                <w:bCs w:val="0"/>
                <w:color w:val="auto"/>
                <w:sz w:val="24"/>
                <w:lang w:val="en-US" w:eastAsia="zh-CN"/>
              </w:rPr>
              <w:t>/a，</w:t>
            </w:r>
            <w:r>
              <w:rPr>
                <w:rFonts w:hint="default" w:ascii="Times New Roman" w:hAnsi="Times New Roman" w:cs="Times New Roman"/>
                <w:b w:val="0"/>
                <w:bCs w:val="0"/>
                <w:color w:val="auto"/>
                <w:sz w:val="24"/>
                <w:szCs w:val="24"/>
                <w:lang w:val="en-US" w:eastAsia="zh-CN"/>
              </w:rPr>
              <w:t>主要污染物为</w:t>
            </w:r>
            <w:r>
              <w:rPr>
                <w:rFonts w:hint="eastAsia" w:cs="Times New Roman"/>
                <w:color w:val="auto"/>
                <w:sz w:val="24"/>
                <w:lang w:val="en-US" w:eastAsia="zh-CN"/>
              </w:rPr>
              <w:t>SS</w:t>
            </w:r>
            <w:r>
              <w:rPr>
                <w:rFonts w:hint="default" w:ascii="Times New Roman" w:hAnsi="Times New Roman" w:cs="Times New Roman"/>
                <w:color w:val="auto"/>
                <w:sz w:val="24"/>
                <w:szCs w:val="24"/>
                <w:lang w:val="en-US" w:eastAsia="zh-CN"/>
              </w:rPr>
              <w:t>等</w:t>
            </w:r>
            <w:r>
              <w:rPr>
                <w:rFonts w:hint="default" w:ascii="Times New Roman" w:hAnsi="Times New Roman" w:cs="Times New Roman"/>
                <w:b w:val="0"/>
                <w:bCs w:val="0"/>
                <w:color w:val="auto"/>
                <w:sz w:val="24"/>
                <w:lang w:eastAsia="zh-CN"/>
              </w:rPr>
              <w:t>。</w:t>
            </w:r>
            <w:r>
              <w:rPr>
                <w:rFonts w:hint="eastAsia" w:cs="Times New Roman"/>
                <w:color w:val="auto"/>
                <w:spacing w:val="-2"/>
                <w:sz w:val="24"/>
                <w:szCs w:val="24"/>
                <w:lang w:val="en-US" w:eastAsia="zh-CN"/>
              </w:rPr>
              <w:t>属于低浓度废水</w:t>
            </w:r>
            <w:r>
              <w:rPr>
                <w:rFonts w:hint="default" w:ascii="Times New Roman" w:hAnsi="Times New Roman" w:cs="Times New Roman"/>
                <w:color w:val="auto"/>
                <w:sz w:val="24"/>
                <w:szCs w:val="24"/>
                <w:lang w:eastAsia="zh-CN"/>
              </w:rPr>
              <w:t>。</w:t>
            </w:r>
          </w:p>
          <w:p w14:paraId="2543FC05">
            <w:pPr>
              <w:spacing w:line="360" w:lineRule="auto"/>
              <w:ind w:firstLine="482"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b/>
                <w:bCs/>
                <w:color w:val="auto"/>
                <w:sz w:val="24"/>
                <w:highlight w:val="none"/>
              </w:rPr>
              <w:t>CIP清洗系统设备清洗</w:t>
            </w:r>
            <w:r>
              <w:rPr>
                <w:rFonts w:hint="default" w:ascii="Times New Roman" w:hAnsi="Times New Roman" w:cs="Times New Roman"/>
                <w:b/>
                <w:bCs/>
                <w:color w:val="auto"/>
                <w:sz w:val="24"/>
                <w:highlight w:val="none"/>
                <w:lang w:val="en-US" w:eastAsia="zh-CN"/>
              </w:rPr>
              <w:t>废水</w:t>
            </w:r>
            <w:r>
              <w:rPr>
                <w:rFonts w:hint="eastAsia" w:cs="Times New Roman"/>
                <w:b/>
                <w:bCs/>
                <w:color w:val="auto"/>
                <w:sz w:val="24"/>
                <w:lang w:val="en-US" w:eastAsia="zh-CN"/>
              </w:rPr>
              <w:t>（W3）</w:t>
            </w:r>
            <w:r>
              <w:rPr>
                <w:rFonts w:hint="default" w:ascii="Times New Roman" w:hAnsi="Times New Roman" w:cs="Times New Roman"/>
                <w:b/>
                <w:bCs/>
                <w:color w:val="auto"/>
                <w:sz w:val="24"/>
                <w:highlight w:val="none"/>
                <w:lang w:val="en-US" w:eastAsia="zh-CN"/>
              </w:rPr>
              <w:t>：</w:t>
            </w:r>
            <w:r>
              <w:rPr>
                <w:rFonts w:hint="default" w:ascii="Times New Roman" w:hAnsi="Times New Roman" w:cs="Times New Roman"/>
                <w:b w:val="0"/>
                <w:bCs w:val="0"/>
                <w:color w:val="auto"/>
                <w:sz w:val="24"/>
                <w:highlight w:val="none"/>
                <w:lang w:val="en-US" w:eastAsia="zh-CN"/>
              </w:rPr>
              <w:t>根据水平衡，</w:t>
            </w:r>
            <w:r>
              <w:rPr>
                <w:rFonts w:hint="default" w:ascii="Times New Roman" w:hAnsi="Times New Roman" w:cs="Times New Roman"/>
                <w:b w:val="0"/>
                <w:bCs w:val="0"/>
                <w:color w:val="auto"/>
                <w:sz w:val="24"/>
                <w:highlight w:val="none"/>
              </w:rPr>
              <w:t>CIP清洗系统设备</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含杀菌机清洗</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rPr>
              <w:t>清洗</w:t>
            </w:r>
            <w:r>
              <w:rPr>
                <w:rFonts w:hint="default" w:ascii="Times New Roman" w:hAnsi="Times New Roman" w:cs="Times New Roman"/>
                <w:b w:val="0"/>
                <w:bCs w:val="0"/>
                <w:color w:val="auto"/>
                <w:sz w:val="24"/>
                <w:highlight w:val="none"/>
                <w:lang w:val="en-US" w:eastAsia="zh-CN"/>
              </w:rPr>
              <w:t>废水产生量为</w:t>
            </w:r>
            <w:r>
              <w:rPr>
                <w:rFonts w:hint="eastAsia"/>
                <w:color w:val="auto"/>
                <w:sz w:val="24"/>
                <w:szCs w:val="24"/>
                <w:lang w:val="en-US" w:eastAsia="zh-CN"/>
              </w:rPr>
              <w:t>11.69</w:t>
            </w:r>
            <w:r>
              <w:rPr>
                <w:rFonts w:hint="eastAsia"/>
                <w:color w:val="auto"/>
                <w:sz w:val="24"/>
                <w:highlight w:val="none"/>
                <w:lang w:val="en-US" w:eastAsia="zh-CN"/>
              </w:rPr>
              <w:t>m</w:t>
            </w:r>
            <w:r>
              <w:rPr>
                <w:rFonts w:hint="eastAsia"/>
                <w:color w:val="auto"/>
                <w:sz w:val="24"/>
                <w:highlight w:val="none"/>
                <w:vertAlign w:val="superscript"/>
                <w:lang w:val="en-US" w:eastAsia="zh-CN"/>
              </w:rPr>
              <w:t>3</w:t>
            </w:r>
            <w:r>
              <w:rPr>
                <w:rFonts w:hint="eastAsia"/>
                <w:color w:val="auto"/>
                <w:sz w:val="24"/>
                <w:highlight w:val="none"/>
                <w:lang w:val="en-US" w:eastAsia="zh-CN"/>
              </w:rPr>
              <w:t>/d，2338</w:t>
            </w:r>
            <w:r>
              <w:rPr>
                <w:rFonts w:hint="eastAsia"/>
                <w:color w:val="auto"/>
                <w:sz w:val="24"/>
                <w:lang w:val="en-US" w:eastAsia="zh-CN"/>
              </w:rPr>
              <w:t>m</w:t>
            </w:r>
            <w:r>
              <w:rPr>
                <w:rFonts w:hint="eastAsia"/>
                <w:color w:val="auto"/>
                <w:sz w:val="24"/>
                <w:vertAlign w:val="superscript"/>
                <w:lang w:val="en-US" w:eastAsia="zh-CN"/>
              </w:rPr>
              <w:t>3</w:t>
            </w:r>
            <w:r>
              <w:rPr>
                <w:rFonts w:hint="eastAsia"/>
                <w:color w:val="auto"/>
                <w:sz w:val="24"/>
                <w:lang w:val="en-US" w:eastAsia="zh-CN"/>
              </w:rPr>
              <w:t>/a。</w:t>
            </w:r>
            <w:r>
              <w:rPr>
                <w:rFonts w:hint="default" w:ascii="Times New Roman" w:hAnsi="Times New Roman" w:cs="Times New Roman"/>
                <w:b w:val="0"/>
                <w:bCs w:val="0"/>
                <w:color w:val="auto"/>
                <w:sz w:val="24"/>
                <w:szCs w:val="24"/>
                <w:lang w:val="en-US" w:eastAsia="zh-CN"/>
              </w:rPr>
              <w:t>主要污染物为</w:t>
            </w:r>
            <w:r>
              <w:rPr>
                <w:rFonts w:hint="default" w:ascii="Times New Roman" w:hAnsi="Times New Roman" w:cs="Times New Roman"/>
                <w:color w:val="auto"/>
                <w:sz w:val="24"/>
              </w:rPr>
              <w:t>COD、</w:t>
            </w:r>
            <w:r>
              <w:rPr>
                <w:rFonts w:hint="default" w:ascii="Times New Roman" w:hAnsi="Times New Roman" w:cs="Times New Roman"/>
                <w:color w:val="auto"/>
                <w:sz w:val="24"/>
                <w:szCs w:val="24"/>
              </w:rPr>
              <w:t>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pacing w:val="-2"/>
                <w:sz w:val="24"/>
                <w:szCs w:val="24"/>
              </w:rPr>
              <w:t>氨氮</w:t>
            </w:r>
            <w:r>
              <w:rPr>
                <w:rFonts w:hint="default" w:ascii="Times New Roman" w:hAnsi="Times New Roman" w:cs="Times New Roman"/>
                <w:color w:val="auto"/>
                <w:spacing w:val="-2"/>
                <w:sz w:val="24"/>
                <w:szCs w:val="24"/>
                <w:lang w:eastAsia="zh-CN"/>
              </w:rPr>
              <w:t>、</w:t>
            </w:r>
            <w:r>
              <w:rPr>
                <w:rFonts w:hint="default" w:ascii="Times New Roman" w:hAnsi="Times New Roman" w:cs="Times New Roman"/>
                <w:color w:val="auto"/>
                <w:spacing w:val="-2"/>
                <w:sz w:val="24"/>
                <w:szCs w:val="24"/>
              </w:rPr>
              <w:t>总磷</w:t>
            </w:r>
            <w:r>
              <w:rPr>
                <w:rFonts w:hint="default" w:ascii="Times New Roman" w:hAnsi="Times New Roman" w:cs="Times New Roman"/>
                <w:color w:val="auto"/>
                <w:sz w:val="24"/>
                <w:szCs w:val="24"/>
                <w:lang w:val="en-US" w:eastAsia="zh-CN"/>
              </w:rPr>
              <w:t>等</w:t>
            </w:r>
            <w:r>
              <w:rPr>
                <w:rFonts w:hint="eastAsia" w:cs="Times New Roman"/>
                <w:b w:val="0"/>
                <w:bCs w:val="0"/>
                <w:color w:val="auto"/>
                <w:sz w:val="24"/>
                <w:szCs w:val="24"/>
                <w:lang w:eastAsia="zh-CN"/>
              </w:rPr>
              <w:t>，</w:t>
            </w:r>
            <w:r>
              <w:rPr>
                <w:rFonts w:hint="eastAsia" w:cs="Times New Roman"/>
                <w:color w:val="auto"/>
                <w:spacing w:val="-2"/>
                <w:sz w:val="24"/>
                <w:szCs w:val="24"/>
                <w:lang w:val="en-US" w:eastAsia="zh-CN"/>
              </w:rPr>
              <w:t>属于高浓度废水</w:t>
            </w:r>
            <w:r>
              <w:rPr>
                <w:rFonts w:hint="default" w:ascii="Times New Roman" w:hAnsi="Times New Roman" w:cs="Times New Roman"/>
                <w:color w:val="auto"/>
                <w:sz w:val="24"/>
                <w:szCs w:val="24"/>
                <w:lang w:eastAsia="zh-CN"/>
              </w:rPr>
              <w:t>。</w:t>
            </w:r>
          </w:p>
          <w:p w14:paraId="4E67DF3D">
            <w:pPr>
              <w:spacing w:line="360" w:lineRule="auto"/>
              <w:ind w:firstLine="482" w:firstLineChars="200"/>
              <w:rPr>
                <w:rFonts w:hint="default" w:ascii="Times New Roman" w:hAnsi="Times New Roman" w:eastAsia="宋体" w:cs="Times New Roman"/>
                <w:color w:val="auto"/>
                <w:sz w:val="24"/>
                <w:szCs w:val="24"/>
                <w:lang w:val="en-US" w:eastAsia="zh-CN"/>
              </w:rPr>
            </w:pPr>
            <w:r>
              <w:rPr>
                <w:rFonts w:hint="eastAsia" w:ascii="宋体" w:hAnsi="宋体" w:cs="宋体"/>
                <w:b/>
                <w:bCs/>
                <w:color w:val="auto"/>
                <w:sz w:val="24"/>
                <w:lang w:val="en-US" w:eastAsia="zh-CN"/>
              </w:rPr>
              <w:t>第一道</w:t>
            </w:r>
            <w:r>
              <w:rPr>
                <w:rFonts w:hint="eastAsia" w:eastAsia="宋体"/>
                <w:b/>
                <w:bCs/>
                <w:color w:val="auto"/>
                <w:sz w:val="24"/>
                <w:lang w:val="en-US" w:eastAsia="zh-CN"/>
              </w:rPr>
              <w:t>水果</w:t>
            </w:r>
            <w:r>
              <w:rPr>
                <w:rFonts w:hint="eastAsia"/>
                <w:b/>
                <w:bCs/>
                <w:color w:val="auto"/>
                <w:sz w:val="24"/>
                <w:lang w:val="en-US" w:eastAsia="zh-CN"/>
              </w:rPr>
              <w:t>鼓泡</w:t>
            </w:r>
            <w:r>
              <w:rPr>
                <w:b/>
                <w:bCs/>
                <w:color w:val="auto"/>
                <w:sz w:val="24"/>
              </w:rPr>
              <w:t>清洗</w:t>
            </w:r>
            <w:r>
              <w:rPr>
                <w:rFonts w:hint="eastAsia"/>
                <w:b/>
                <w:bCs/>
                <w:color w:val="auto"/>
                <w:sz w:val="24"/>
                <w:lang w:val="en-US" w:eastAsia="zh-CN"/>
              </w:rPr>
              <w:t>废水</w:t>
            </w:r>
            <w:r>
              <w:rPr>
                <w:rFonts w:hint="eastAsia" w:cs="Times New Roman"/>
                <w:b/>
                <w:bCs/>
                <w:color w:val="auto"/>
                <w:sz w:val="24"/>
                <w:lang w:val="en-US" w:eastAsia="zh-CN"/>
              </w:rPr>
              <w:t>（W4）</w:t>
            </w:r>
            <w:r>
              <w:rPr>
                <w:rFonts w:hint="eastAsia"/>
                <w:b/>
                <w:bCs/>
                <w:color w:val="auto"/>
                <w:sz w:val="24"/>
                <w:lang w:val="en-US" w:eastAsia="zh-CN"/>
              </w:rPr>
              <w:t>：</w:t>
            </w:r>
            <w:r>
              <w:rPr>
                <w:rFonts w:hint="default" w:ascii="Times New Roman" w:hAnsi="Times New Roman" w:cs="Times New Roman"/>
                <w:b w:val="0"/>
                <w:bCs w:val="0"/>
                <w:color w:val="auto"/>
                <w:sz w:val="24"/>
                <w:highlight w:val="none"/>
                <w:lang w:val="en-US" w:eastAsia="zh-CN"/>
              </w:rPr>
              <w:t>根据水平衡，</w:t>
            </w:r>
            <w:r>
              <w:rPr>
                <w:rFonts w:hint="eastAsia"/>
                <w:color w:val="auto"/>
                <w:sz w:val="24"/>
                <w:lang w:val="en-US" w:eastAsia="zh-CN"/>
              </w:rPr>
              <w:t>水果第一道采用鼓泡清洗废水产生量为6.77</w:t>
            </w:r>
            <w:r>
              <w:rPr>
                <w:color w:val="auto"/>
                <w:sz w:val="24"/>
              </w:rPr>
              <w:t>m</w:t>
            </w:r>
            <w:r>
              <w:rPr>
                <w:color w:val="auto"/>
                <w:sz w:val="24"/>
                <w:vertAlign w:val="superscript"/>
              </w:rPr>
              <w:t>3</w:t>
            </w:r>
            <w:r>
              <w:rPr>
                <w:color w:val="auto"/>
                <w:sz w:val="24"/>
              </w:rPr>
              <w:t>/d</w:t>
            </w:r>
            <w:r>
              <w:rPr>
                <w:rFonts w:hint="eastAsia"/>
                <w:color w:val="auto"/>
                <w:sz w:val="24"/>
                <w:lang w:eastAsia="zh-CN"/>
              </w:rPr>
              <w:t>，</w:t>
            </w:r>
            <w:r>
              <w:rPr>
                <w:rFonts w:hint="eastAsia"/>
                <w:color w:val="auto"/>
                <w:sz w:val="24"/>
                <w:lang w:val="en-US" w:eastAsia="zh-CN"/>
              </w:rPr>
              <w:t>1354m</w:t>
            </w:r>
            <w:r>
              <w:rPr>
                <w:rFonts w:hint="eastAsia"/>
                <w:color w:val="auto"/>
                <w:sz w:val="24"/>
                <w:vertAlign w:val="superscript"/>
                <w:lang w:val="en-US" w:eastAsia="zh-CN"/>
              </w:rPr>
              <w:t>3</w:t>
            </w:r>
            <w:r>
              <w:rPr>
                <w:rFonts w:hint="eastAsia"/>
                <w:color w:val="auto"/>
                <w:sz w:val="24"/>
                <w:lang w:val="en-US" w:eastAsia="zh-CN"/>
              </w:rPr>
              <w:t>/a，</w:t>
            </w:r>
            <w:r>
              <w:rPr>
                <w:rFonts w:hint="default" w:ascii="Times New Roman" w:hAnsi="Times New Roman" w:cs="Times New Roman"/>
                <w:b w:val="0"/>
                <w:bCs w:val="0"/>
                <w:color w:val="auto"/>
                <w:sz w:val="24"/>
                <w:szCs w:val="24"/>
                <w:lang w:val="en-US" w:eastAsia="zh-CN"/>
              </w:rPr>
              <w:t>主要污染物为</w:t>
            </w:r>
            <w:r>
              <w:rPr>
                <w:rFonts w:hint="default" w:ascii="Times New Roman" w:hAnsi="Times New Roman" w:cs="Times New Roman"/>
                <w:color w:val="auto"/>
                <w:sz w:val="24"/>
              </w:rPr>
              <w:t>COD、</w:t>
            </w:r>
            <w:r>
              <w:rPr>
                <w:rFonts w:hint="default" w:ascii="Times New Roman" w:hAnsi="Times New Roman" w:cs="Times New Roman"/>
                <w:color w:val="auto"/>
                <w:sz w:val="24"/>
                <w:szCs w:val="24"/>
              </w:rPr>
              <w:t>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pacing w:val="-2"/>
                <w:sz w:val="24"/>
                <w:szCs w:val="24"/>
              </w:rPr>
              <w:t>氨氮</w:t>
            </w:r>
            <w:r>
              <w:rPr>
                <w:rFonts w:hint="default" w:ascii="Times New Roman" w:hAnsi="Times New Roman" w:cs="Times New Roman"/>
                <w:color w:val="auto"/>
                <w:spacing w:val="-2"/>
                <w:sz w:val="24"/>
                <w:szCs w:val="24"/>
                <w:lang w:eastAsia="zh-CN"/>
              </w:rPr>
              <w:t>、</w:t>
            </w:r>
            <w:r>
              <w:rPr>
                <w:rFonts w:hint="default" w:ascii="Times New Roman" w:hAnsi="Times New Roman" w:cs="Times New Roman"/>
                <w:color w:val="auto"/>
                <w:spacing w:val="-2"/>
                <w:sz w:val="24"/>
                <w:szCs w:val="24"/>
              </w:rPr>
              <w:t>总磷</w:t>
            </w:r>
            <w:r>
              <w:rPr>
                <w:rFonts w:hint="eastAsia" w:cs="Times New Roman"/>
                <w:color w:val="auto"/>
                <w:spacing w:val="-2"/>
                <w:sz w:val="24"/>
                <w:szCs w:val="24"/>
                <w:lang w:eastAsia="zh-CN"/>
              </w:rPr>
              <w:t>、</w:t>
            </w:r>
            <w:r>
              <w:rPr>
                <w:rFonts w:hint="eastAsia" w:cs="Times New Roman"/>
                <w:color w:val="auto"/>
                <w:spacing w:val="-2"/>
                <w:sz w:val="24"/>
                <w:szCs w:val="24"/>
                <w:lang w:val="en-US" w:eastAsia="zh-CN"/>
              </w:rPr>
              <w:t>悬浮物</w:t>
            </w:r>
            <w:r>
              <w:rPr>
                <w:rFonts w:hint="default" w:ascii="Times New Roman" w:hAnsi="Times New Roman" w:cs="Times New Roman"/>
                <w:color w:val="auto"/>
                <w:spacing w:val="-2"/>
                <w:sz w:val="24"/>
                <w:szCs w:val="24"/>
                <w:lang w:val="en-US" w:eastAsia="zh-CN"/>
              </w:rPr>
              <w:t>等</w:t>
            </w:r>
            <w:r>
              <w:rPr>
                <w:rFonts w:hint="eastAsia" w:cs="Times New Roman"/>
                <w:b w:val="0"/>
                <w:bCs w:val="0"/>
                <w:color w:val="auto"/>
                <w:sz w:val="24"/>
                <w:szCs w:val="24"/>
                <w:lang w:eastAsia="zh-CN"/>
              </w:rPr>
              <w:t>，</w:t>
            </w:r>
            <w:r>
              <w:rPr>
                <w:rFonts w:hint="eastAsia" w:cs="Times New Roman"/>
                <w:color w:val="auto"/>
                <w:spacing w:val="-2"/>
                <w:sz w:val="24"/>
                <w:szCs w:val="24"/>
                <w:lang w:val="en-US" w:eastAsia="zh-CN"/>
              </w:rPr>
              <w:t>属于低浓度废水</w:t>
            </w:r>
            <w:r>
              <w:rPr>
                <w:rFonts w:hint="default" w:ascii="Times New Roman" w:hAnsi="Times New Roman" w:cs="Times New Roman"/>
                <w:color w:val="auto"/>
                <w:sz w:val="24"/>
                <w:szCs w:val="24"/>
                <w:lang w:eastAsia="zh-CN"/>
              </w:rPr>
              <w:t>。</w:t>
            </w:r>
          </w:p>
          <w:p w14:paraId="52CC3AAF">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eastAsia="宋体"/>
                <w:b/>
                <w:bCs/>
                <w:color w:val="auto"/>
                <w:sz w:val="24"/>
                <w:lang w:val="en-US" w:eastAsia="zh-CN"/>
              </w:rPr>
              <w:t>第二道水果毛刷清洗</w:t>
            </w:r>
            <w:r>
              <w:rPr>
                <w:rFonts w:hint="eastAsia"/>
                <w:b/>
                <w:bCs/>
                <w:color w:val="auto"/>
                <w:sz w:val="24"/>
                <w:lang w:val="en-US" w:eastAsia="zh-CN"/>
              </w:rPr>
              <w:t>废水</w:t>
            </w:r>
            <w:r>
              <w:rPr>
                <w:rFonts w:hint="eastAsia" w:cs="Times New Roman"/>
                <w:b/>
                <w:bCs/>
                <w:color w:val="auto"/>
                <w:sz w:val="24"/>
                <w:lang w:val="en-US" w:eastAsia="zh-CN"/>
              </w:rPr>
              <w:t>（W5）</w:t>
            </w:r>
            <w:r>
              <w:rPr>
                <w:rFonts w:hint="eastAsia"/>
                <w:b/>
                <w:bCs/>
                <w:color w:val="auto"/>
                <w:sz w:val="24"/>
                <w:lang w:val="en-US" w:eastAsia="zh-CN"/>
              </w:rPr>
              <w:t>：</w:t>
            </w:r>
            <w:r>
              <w:rPr>
                <w:rFonts w:hint="default" w:ascii="Times New Roman" w:hAnsi="Times New Roman" w:cs="Times New Roman"/>
                <w:b w:val="0"/>
                <w:bCs w:val="0"/>
                <w:color w:val="auto"/>
                <w:sz w:val="24"/>
                <w:highlight w:val="none"/>
                <w:lang w:val="en-US" w:eastAsia="zh-CN"/>
              </w:rPr>
              <w:t>根据水平衡，</w:t>
            </w:r>
            <w:r>
              <w:rPr>
                <w:rFonts w:hint="eastAsia" w:cs="Times New Roman"/>
                <w:b w:val="0"/>
                <w:bCs w:val="0"/>
                <w:color w:val="auto"/>
                <w:sz w:val="24"/>
                <w:highlight w:val="none"/>
                <w:lang w:val="en-US" w:eastAsia="zh-CN"/>
              </w:rPr>
              <w:t>水果第二道毛刷清洗废水产生量为</w:t>
            </w:r>
            <w:r>
              <w:rPr>
                <w:rFonts w:hint="eastAsia"/>
                <w:color w:val="auto"/>
                <w:sz w:val="24"/>
                <w:lang w:val="en-US" w:eastAsia="zh-CN"/>
              </w:rPr>
              <w:t>4.06</w:t>
            </w:r>
            <w:r>
              <w:rPr>
                <w:color w:val="auto"/>
                <w:sz w:val="24"/>
              </w:rPr>
              <w:t>m</w:t>
            </w:r>
            <w:r>
              <w:rPr>
                <w:color w:val="auto"/>
                <w:sz w:val="24"/>
                <w:vertAlign w:val="superscript"/>
              </w:rPr>
              <w:t>3</w:t>
            </w:r>
            <w:r>
              <w:rPr>
                <w:color w:val="auto"/>
                <w:sz w:val="24"/>
              </w:rPr>
              <w:t>/d</w:t>
            </w:r>
            <w:r>
              <w:rPr>
                <w:rFonts w:hint="eastAsia"/>
                <w:color w:val="auto"/>
                <w:sz w:val="24"/>
                <w:lang w:eastAsia="zh-CN"/>
              </w:rPr>
              <w:t>，</w:t>
            </w:r>
            <w:r>
              <w:rPr>
                <w:rFonts w:hint="eastAsia"/>
                <w:color w:val="auto"/>
                <w:sz w:val="24"/>
                <w:lang w:val="en-US" w:eastAsia="zh-CN"/>
              </w:rPr>
              <w:t>812m</w:t>
            </w:r>
            <w:r>
              <w:rPr>
                <w:rFonts w:hint="eastAsia"/>
                <w:color w:val="auto"/>
                <w:sz w:val="24"/>
                <w:vertAlign w:val="superscript"/>
                <w:lang w:val="en-US" w:eastAsia="zh-CN"/>
              </w:rPr>
              <w:t>3</w:t>
            </w:r>
            <w:r>
              <w:rPr>
                <w:rFonts w:hint="eastAsia"/>
                <w:color w:val="auto"/>
                <w:sz w:val="24"/>
                <w:lang w:val="en-US" w:eastAsia="zh-CN"/>
              </w:rPr>
              <w:t>/a，</w:t>
            </w:r>
            <w:r>
              <w:rPr>
                <w:rFonts w:hint="default" w:ascii="Times New Roman" w:hAnsi="Times New Roman" w:cs="Times New Roman"/>
                <w:b w:val="0"/>
                <w:bCs w:val="0"/>
                <w:color w:val="auto"/>
                <w:sz w:val="24"/>
                <w:szCs w:val="24"/>
                <w:lang w:val="en-US" w:eastAsia="zh-CN"/>
              </w:rPr>
              <w:t>主要污染物为</w:t>
            </w:r>
            <w:r>
              <w:rPr>
                <w:rFonts w:hint="default" w:ascii="Times New Roman" w:hAnsi="Times New Roman" w:cs="Times New Roman"/>
                <w:color w:val="auto"/>
                <w:sz w:val="24"/>
              </w:rPr>
              <w:t>COD、</w:t>
            </w:r>
            <w:r>
              <w:rPr>
                <w:rFonts w:hint="default" w:ascii="Times New Roman" w:hAnsi="Times New Roman" w:cs="Times New Roman"/>
                <w:color w:val="auto"/>
                <w:sz w:val="24"/>
                <w:szCs w:val="24"/>
              </w:rPr>
              <w:t>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pacing w:val="-2"/>
                <w:sz w:val="24"/>
                <w:szCs w:val="24"/>
              </w:rPr>
              <w:t>氨氮</w:t>
            </w:r>
            <w:r>
              <w:rPr>
                <w:rFonts w:hint="default" w:ascii="Times New Roman" w:hAnsi="Times New Roman" w:cs="Times New Roman"/>
                <w:color w:val="auto"/>
                <w:spacing w:val="-2"/>
                <w:sz w:val="24"/>
                <w:szCs w:val="24"/>
                <w:lang w:eastAsia="zh-CN"/>
              </w:rPr>
              <w:t>、</w:t>
            </w:r>
            <w:r>
              <w:rPr>
                <w:rFonts w:hint="default" w:ascii="Times New Roman" w:hAnsi="Times New Roman" w:cs="Times New Roman"/>
                <w:color w:val="auto"/>
                <w:spacing w:val="-2"/>
                <w:sz w:val="24"/>
                <w:szCs w:val="24"/>
              </w:rPr>
              <w:t>总磷</w:t>
            </w:r>
            <w:r>
              <w:rPr>
                <w:rFonts w:hint="eastAsia" w:cs="Times New Roman"/>
                <w:color w:val="auto"/>
                <w:spacing w:val="-2"/>
                <w:sz w:val="24"/>
                <w:szCs w:val="24"/>
                <w:lang w:eastAsia="zh-CN"/>
              </w:rPr>
              <w:t>、</w:t>
            </w:r>
            <w:r>
              <w:rPr>
                <w:rFonts w:hint="eastAsia" w:cs="Times New Roman"/>
                <w:color w:val="auto"/>
                <w:spacing w:val="-2"/>
                <w:sz w:val="24"/>
                <w:szCs w:val="24"/>
                <w:lang w:val="en-US" w:eastAsia="zh-CN"/>
              </w:rPr>
              <w:t>悬浮物</w:t>
            </w:r>
            <w:r>
              <w:rPr>
                <w:rFonts w:hint="default" w:ascii="Times New Roman" w:hAnsi="Times New Roman" w:cs="Times New Roman"/>
                <w:color w:val="auto"/>
                <w:spacing w:val="-2"/>
                <w:sz w:val="24"/>
                <w:szCs w:val="24"/>
                <w:lang w:val="en-US" w:eastAsia="zh-CN"/>
              </w:rPr>
              <w:t>等</w:t>
            </w:r>
            <w:r>
              <w:rPr>
                <w:rFonts w:hint="eastAsia" w:cs="Times New Roman"/>
                <w:b w:val="0"/>
                <w:bCs w:val="0"/>
                <w:color w:val="auto"/>
                <w:sz w:val="24"/>
                <w:szCs w:val="24"/>
                <w:lang w:eastAsia="zh-CN"/>
              </w:rPr>
              <w:t>，</w:t>
            </w:r>
            <w:r>
              <w:rPr>
                <w:rFonts w:hint="eastAsia" w:cs="Times New Roman"/>
                <w:color w:val="auto"/>
                <w:spacing w:val="-2"/>
                <w:sz w:val="24"/>
                <w:szCs w:val="24"/>
                <w:lang w:val="en-US" w:eastAsia="zh-CN"/>
              </w:rPr>
              <w:t>属于低浓度废水</w:t>
            </w:r>
            <w:r>
              <w:rPr>
                <w:rFonts w:hint="default" w:ascii="Times New Roman" w:hAnsi="Times New Roman" w:cs="Times New Roman"/>
                <w:color w:val="auto"/>
                <w:sz w:val="24"/>
                <w:szCs w:val="24"/>
                <w:lang w:eastAsia="zh-CN"/>
              </w:rPr>
              <w:t>。</w:t>
            </w:r>
          </w:p>
          <w:p w14:paraId="34F3D422">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第三道</w:t>
            </w:r>
            <w:r>
              <w:rPr>
                <w:rFonts w:hint="eastAsia"/>
                <w:b/>
                <w:bCs/>
                <w:color w:val="auto"/>
                <w:sz w:val="24"/>
                <w:lang w:val="en-US" w:eastAsia="zh-CN"/>
              </w:rPr>
              <w:t>水果鼓泡消毒废水</w:t>
            </w:r>
            <w:r>
              <w:rPr>
                <w:rFonts w:hint="eastAsia" w:cs="Times New Roman"/>
                <w:b/>
                <w:bCs/>
                <w:color w:val="auto"/>
                <w:sz w:val="24"/>
                <w:lang w:val="en-US" w:eastAsia="zh-CN"/>
              </w:rPr>
              <w:t>（W6）</w:t>
            </w:r>
            <w:r>
              <w:rPr>
                <w:rFonts w:hint="eastAsia"/>
                <w:b/>
                <w:bCs/>
                <w:color w:val="auto"/>
                <w:sz w:val="24"/>
                <w:lang w:val="en-US" w:eastAsia="zh-CN"/>
              </w:rPr>
              <w:t>：</w:t>
            </w:r>
            <w:r>
              <w:rPr>
                <w:rFonts w:hint="default" w:ascii="Times New Roman" w:hAnsi="Times New Roman" w:cs="Times New Roman"/>
                <w:b w:val="0"/>
                <w:bCs w:val="0"/>
                <w:color w:val="auto"/>
                <w:sz w:val="24"/>
                <w:highlight w:val="none"/>
                <w:lang w:val="en-US" w:eastAsia="zh-CN"/>
              </w:rPr>
              <w:t>根据水平衡，</w:t>
            </w:r>
            <w:r>
              <w:rPr>
                <w:rFonts w:hint="eastAsia" w:cs="Times New Roman"/>
                <w:b w:val="0"/>
                <w:bCs w:val="0"/>
                <w:color w:val="auto"/>
                <w:sz w:val="24"/>
                <w:lang w:val="en-US" w:eastAsia="zh-CN"/>
              </w:rPr>
              <w:t>第三道</w:t>
            </w:r>
            <w:r>
              <w:rPr>
                <w:rFonts w:hint="eastAsia"/>
                <w:b w:val="0"/>
                <w:bCs w:val="0"/>
                <w:color w:val="auto"/>
                <w:sz w:val="24"/>
                <w:lang w:val="en-US" w:eastAsia="zh-CN"/>
              </w:rPr>
              <w:t>水果鼓泡消毒废水产生量为</w:t>
            </w:r>
            <w:r>
              <w:rPr>
                <w:rFonts w:hint="eastAsia"/>
                <w:color w:val="auto"/>
                <w:sz w:val="24"/>
                <w:lang w:val="en-US" w:eastAsia="zh-CN"/>
              </w:rPr>
              <w:t>2.54</w:t>
            </w:r>
            <w:r>
              <w:rPr>
                <w:color w:val="auto"/>
                <w:sz w:val="24"/>
              </w:rPr>
              <w:t>m</w:t>
            </w:r>
            <w:r>
              <w:rPr>
                <w:color w:val="auto"/>
                <w:sz w:val="24"/>
                <w:vertAlign w:val="superscript"/>
              </w:rPr>
              <w:t>3</w:t>
            </w:r>
            <w:r>
              <w:rPr>
                <w:color w:val="auto"/>
                <w:sz w:val="24"/>
              </w:rPr>
              <w:t>/d</w:t>
            </w:r>
            <w:r>
              <w:rPr>
                <w:rFonts w:hint="eastAsia"/>
                <w:color w:val="auto"/>
                <w:sz w:val="24"/>
                <w:lang w:eastAsia="zh-CN"/>
              </w:rPr>
              <w:t>，</w:t>
            </w:r>
            <w:r>
              <w:rPr>
                <w:rFonts w:hint="eastAsia"/>
                <w:color w:val="auto"/>
                <w:sz w:val="24"/>
                <w:lang w:val="en-US" w:eastAsia="zh-CN"/>
              </w:rPr>
              <w:t>508m</w:t>
            </w:r>
            <w:r>
              <w:rPr>
                <w:rFonts w:hint="eastAsia"/>
                <w:color w:val="auto"/>
                <w:sz w:val="24"/>
                <w:vertAlign w:val="superscript"/>
                <w:lang w:val="en-US" w:eastAsia="zh-CN"/>
              </w:rPr>
              <w:t>3</w:t>
            </w:r>
            <w:r>
              <w:rPr>
                <w:rFonts w:hint="eastAsia"/>
                <w:color w:val="auto"/>
                <w:sz w:val="24"/>
                <w:lang w:val="en-US" w:eastAsia="zh-CN"/>
              </w:rPr>
              <w:t>/a，</w:t>
            </w:r>
            <w:r>
              <w:rPr>
                <w:rFonts w:hint="default" w:ascii="Times New Roman" w:hAnsi="Times New Roman" w:cs="Times New Roman"/>
                <w:b w:val="0"/>
                <w:bCs w:val="0"/>
                <w:color w:val="auto"/>
                <w:sz w:val="24"/>
                <w:szCs w:val="24"/>
                <w:lang w:val="en-US" w:eastAsia="zh-CN"/>
              </w:rPr>
              <w:t>主要污染物为</w:t>
            </w:r>
            <w:r>
              <w:rPr>
                <w:rFonts w:hint="default" w:ascii="Times New Roman" w:hAnsi="Times New Roman" w:cs="Times New Roman"/>
                <w:color w:val="auto"/>
                <w:sz w:val="24"/>
              </w:rPr>
              <w:t>COD、</w:t>
            </w:r>
            <w:r>
              <w:rPr>
                <w:rFonts w:hint="default" w:ascii="Times New Roman" w:hAnsi="Times New Roman" w:cs="Times New Roman"/>
                <w:color w:val="auto"/>
                <w:sz w:val="24"/>
                <w:szCs w:val="24"/>
              </w:rPr>
              <w:t>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pacing w:val="-2"/>
                <w:sz w:val="24"/>
                <w:szCs w:val="24"/>
              </w:rPr>
              <w:t>氨氮</w:t>
            </w:r>
            <w:r>
              <w:rPr>
                <w:rFonts w:hint="default" w:ascii="Times New Roman" w:hAnsi="Times New Roman" w:cs="Times New Roman"/>
                <w:color w:val="auto"/>
                <w:spacing w:val="-2"/>
                <w:sz w:val="24"/>
                <w:szCs w:val="24"/>
                <w:lang w:eastAsia="zh-CN"/>
              </w:rPr>
              <w:t>、</w:t>
            </w:r>
            <w:r>
              <w:rPr>
                <w:rFonts w:hint="default" w:ascii="Times New Roman" w:hAnsi="Times New Roman" w:cs="Times New Roman"/>
                <w:color w:val="auto"/>
                <w:spacing w:val="-2"/>
                <w:sz w:val="24"/>
                <w:szCs w:val="24"/>
              </w:rPr>
              <w:t>总磷</w:t>
            </w:r>
            <w:r>
              <w:rPr>
                <w:rFonts w:hint="eastAsia" w:cs="Times New Roman"/>
                <w:color w:val="auto"/>
                <w:spacing w:val="-2"/>
                <w:sz w:val="24"/>
                <w:szCs w:val="24"/>
                <w:lang w:eastAsia="zh-CN"/>
              </w:rPr>
              <w:t>、</w:t>
            </w:r>
            <w:r>
              <w:rPr>
                <w:rFonts w:hint="eastAsia" w:cs="Times New Roman"/>
                <w:color w:val="auto"/>
                <w:spacing w:val="-2"/>
                <w:sz w:val="24"/>
                <w:szCs w:val="24"/>
                <w:lang w:val="en-US" w:eastAsia="zh-CN"/>
              </w:rPr>
              <w:t>悬浮物</w:t>
            </w:r>
            <w:r>
              <w:rPr>
                <w:rFonts w:hint="default" w:ascii="Times New Roman" w:hAnsi="Times New Roman" w:cs="Times New Roman"/>
                <w:color w:val="auto"/>
                <w:spacing w:val="-2"/>
                <w:sz w:val="24"/>
                <w:szCs w:val="24"/>
                <w:lang w:val="en-US" w:eastAsia="zh-CN"/>
              </w:rPr>
              <w:t>等</w:t>
            </w:r>
            <w:r>
              <w:rPr>
                <w:rFonts w:hint="eastAsia" w:cs="Times New Roman"/>
                <w:b w:val="0"/>
                <w:bCs w:val="0"/>
                <w:color w:val="auto"/>
                <w:sz w:val="24"/>
                <w:szCs w:val="24"/>
                <w:lang w:eastAsia="zh-CN"/>
              </w:rPr>
              <w:t>，</w:t>
            </w:r>
            <w:r>
              <w:rPr>
                <w:rFonts w:hint="eastAsia" w:cs="Times New Roman"/>
                <w:color w:val="auto"/>
                <w:spacing w:val="-2"/>
                <w:sz w:val="24"/>
                <w:szCs w:val="24"/>
                <w:lang w:val="en-US" w:eastAsia="zh-CN"/>
              </w:rPr>
              <w:t>属于低浓度废水</w:t>
            </w:r>
            <w:r>
              <w:rPr>
                <w:rFonts w:hint="default" w:ascii="Times New Roman" w:hAnsi="Times New Roman" w:cs="Times New Roman"/>
                <w:color w:val="auto"/>
                <w:sz w:val="24"/>
                <w:szCs w:val="24"/>
                <w:lang w:eastAsia="zh-CN"/>
              </w:rPr>
              <w:t>。</w:t>
            </w:r>
          </w:p>
          <w:p w14:paraId="39C804DA">
            <w:pPr>
              <w:spacing w:line="360" w:lineRule="auto"/>
              <w:ind w:firstLine="482" w:firstLineChars="200"/>
              <w:rPr>
                <w:rFonts w:hint="default" w:ascii="Times New Roman" w:hAnsi="Times New Roman" w:eastAsia="宋体" w:cs="Times New Roman"/>
                <w:color w:val="auto"/>
                <w:sz w:val="24"/>
                <w:lang w:val="en-US" w:eastAsia="zh-CN"/>
              </w:rPr>
            </w:pPr>
            <w:r>
              <w:rPr>
                <w:rFonts w:hint="eastAsia"/>
                <w:b/>
                <w:bCs/>
                <w:color w:val="auto"/>
                <w:sz w:val="24"/>
                <w:lang w:val="en-US" w:eastAsia="zh-CN"/>
              </w:rPr>
              <w:t>第四道水果鼓泡清洗废水</w:t>
            </w:r>
            <w:r>
              <w:rPr>
                <w:rFonts w:hint="eastAsia" w:cs="Times New Roman"/>
                <w:b/>
                <w:bCs/>
                <w:color w:val="auto"/>
                <w:sz w:val="24"/>
                <w:lang w:val="en-US" w:eastAsia="zh-CN"/>
              </w:rPr>
              <w:t>（W7）</w:t>
            </w:r>
            <w:r>
              <w:rPr>
                <w:rFonts w:hint="eastAsia"/>
                <w:b/>
                <w:bCs/>
                <w:color w:val="auto"/>
                <w:sz w:val="24"/>
                <w:lang w:val="en-US" w:eastAsia="zh-CN"/>
              </w:rPr>
              <w:t>：</w:t>
            </w:r>
            <w:r>
              <w:rPr>
                <w:rFonts w:hint="eastAsia"/>
                <w:b w:val="0"/>
                <w:bCs w:val="0"/>
                <w:color w:val="auto"/>
                <w:sz w:val="24"/>
                <w:lang w:val="en-US" w:eastAsia="zh-CN"/>
              </w:rPr>
              <w:t>根据水平衡，第四道水果鼓泡清洗废水产生量为</w:t>
            </w:r>
            <w:r>
              <w:rPr>
                <w:rFonts w:hint="eastAsia"/>
                <w:color w:val="auto"/>
                <w:sz w:val="24"/>
                <w:lang w:val="en-US" w:eastAsia="zh-CN"/>
              </w:rPr>
              <w:t>13.54</w:t>
            </w:r>
            <w:r>
              <w:rPr>
                <w:color w:val="auto"/>
                <w:sz w:val="24"/>
              </w:rPr>
              <w:t>m</w:t>
            </w:r>
            <w:r>
              <w:rPr>
                <w:color w:val="auto"/>
                <w:sz w:val="24"/>
                <w:vertAlign w:val="superscript"/>
              </w:rPr>
              <w:t>3</w:t>
            </w:r>
            <w:r>
              <w:rPr>
                <w:color w:val="auto"/>
                <w:sz w:val="24"/>
              </w:rPr>
              <w:t>/d</w:t>
            </w:r>
            <w:r>
              <w:rPr>
                <w:rFonts w:hint="eastAsia"/>
                <w:color w:val="auto"/>
                <w:sz w:val="24"/>
                <w:lang w:eastAsia="zh-CN"/>
              </w:rPr>
              <w:t>，</w:t>
            </w:r>
            <w:r>
              <w:rPr>
                <w:rFonts w:hint="eastAsia"/>
                <w:color w:val="auto"/>
                <w:sz w:val="24"/>
                <w:lang w:val="en-US" w:eastAsia="zh-CN"/>
              </w:rPr>
              <w:t>2708m</w:t>
            </w:r>
            <w:r>
              <w:rPr>
                <w:rFonts w:hint="eastAsia"/>
                <w:color w:val="auto"/>
                <w:sz w:val="24"/>
                <w:vertAlign w:val="superscript"/>
                <w:lang w:val="en-US" w:eastAsia="zh-CN"/>
              </w:rPr>
              <w:t>3</w:t>
            </w:r>
            <w:r>
              <w:rPr>
                <w:rFonts w:hint="eastAsia"/>
                <w:color w:val="auto"/>
                <w:sz w:val="24"/>
                <w:lang w:val="en-US" w:eastAsia="zh-CN"/>
              </w:rPr>
              <w:t>/a</w:t>
            </w:r>
            <w:r>
              <w:rPr>
                <w:rFonts w:hint="eastAsia"/>
                <w:b w:val="0"/>
                <w:bCs w:val="0"/>
                <w:color w:val="auto"/>
                <w:sz w:val="24"/>
                <w:lang w:val="en-US" w:eastAsia="zh-CN"/>
              </w:rPr>
              <w:t>，</w:t>
            </w:r>
            <w:r>
              <w:rPr>
                <w:rFonts w:hint="default" w:ascii="Times New Roman" w:hAnsi="Times New Roman" w:cs="Times New Roman"/>
                <w:b w:val="0"/>
                <w:bCs w:val="0"/>
                <w:color w:val="auto"/>
                <w:sz w:val="24"/>
                <w:szCs w:val="24"/>
                <w:lang w:val="en-US" w:eastAsia="zh-CN"/>
              </w:rPr>
              <w:t>主要污染物为</w:t>
            </w:r>
            <w:r>
              <w:rPr>
                <w:rFonts w:hint="default" w:ascii="Times New Roman" w:hAnsi="Times New Roman" w:cs="Times New Roman"/>
                <w:b w:val="0"/>
                <w:bCs w:val="0"/>
                <w:color w:val="auto"/>
                <w:sz w:val="24"/>
              </w:rPr>
              <w:t>COD、</w:t>
            </w:r>
            <w:r>
              <w:rPr>
                <w:rFonts w:hint="default" w:ascii="Times New Roman" w:hAnsi="Times New Roman" w:cs="Times New Roman"/>
                <w:b w:val="0"/>
                <w:bCs w:val="0"/>
                <w:color w:val="auto"/>
                <w:sz w:val="24"/>
                <w:szCs w:val="24"/>
              </w:rPr>
              <w:t>BOD</w:t>
            </w:r>
            <w:r>
              <w:rPr>
                <w:rFonts w:hint="default" w:ascii="Times New Roman" w:hAnsi="Times New Roman" w:cs="Times New Roman"/>
                <w:b w:val="0"/>
                <w:bCs w:val="0"/>
                <w:color w:val="auto"/>
                <w:sz w:val="24"/>
                <w:szCs w:val="24"/>
                <w:vertAlign w:val="subscript"/>
              </w:rPr>
              <w:t>5</w:t>
            </w:r>
            <w:r>
              <w:rPr>
                <w:rFonts w:hint="default" w:ascii="Times New Roman" w:hAnsi="Times New Roman" w:cs="Times New Roman"/>
                <w:b w:val="0"/>
                <w:bCs w:val="0"/>
                <w:color w:val="auto"/>
                <w:sz w:val="24"/>
                <w:szCs w:val="24"/>
                <w:vertAlign w:val="baseline"/>
                <w:lang w:eastAsia="zh-CN"/>
              </w:rPr>
              <w:t>、</w:t>
            </w:r>
            <w:r>
              <w:rPr>
                <w:rFonts w:hint="default" w:ascii="Times New Roman" w:hAnsi="Times New Roman" w:cs="Times New Roman"/>
                <w:b w:val="0"/>
                <w:bCs w:val="0"/>
                <w:color w:val="auto"/>
                <w:spacing w:val="-2"/>
                <w:sz w:val="24"/>
                <w:szCs w:val="24"/>
              </w:rPr>
              <w:t>氨氮</w:t>
            </w:r>
            <w:r>
              <w:rPr>
                <w:rFonts w:hint="default" w:ascii="Times New Roman" w:hAnsi="Times New Roman" w:cs="Times New Roman"/>
                <w:b w:val="0"/>
                <w:bCs w:val="0"/>
                <w:color w:val="auto"/>
                <w:spacing w:val="-2"/>
                <w:sz w:val="24"/>
                <w:szCs w:val="24"/>
                <w:lang w:eastAsia="zh-CN"/>
              </w:rPr>
              <w:t>、</w:t>
            </w:r>
            <w:r>
              <w:rPr>
                <w:rFonts w:hint="default" w:ascii="Times New Roman" w:hAnsi="Times New Roman" w:cs="Times New Roman"/>
                <w:b w:val="0"/>
                <w:bCs w:val="0"/>
                <w:color w:val="auto"/>
                <w:spacing w:val="-2"/>
                <w:sz w:val="24"/>
                <w:szCs w:val="24"/>
              </w:rPr>
              <w:t>总磷</w:t>
            </w:r>
            <w:r>
              <w:rPr>
                <w:rFonts w:hint="eastAsia" w:cs="Times New Roman"/>
                <w:b w:val="0"/>
                <w:bCs w:val="0"/>
                <w:color w:val="auto"/>
                <w:spacing w:val="-2"/>
                <w:sz w:val="24"/>
                <w:szCs w:val="24"/>
                <w:lang w:eastAsia="zh-CN"/>
              </w:rPr>
              <w:t>、</w:t>
            </w:r>
            <w:r>
              <w:rPr>
                <w:rFonts w:hint="eastAsia" w:cs="Times New Roman"/>
                <w:color w:val="auto"/>
                <w:spacing w:val="-2"/>
                <w:sz w:val="24"/>
                <w:szCs w:val="24"/>
                <w:lang w:val="en-US" w:eastAsia="zh-CN"/>
              </w:rPr>
              <w:t>悬浮物</w:t>
            </w:r>
            <w:r>
              <w:rPr>
                <w:rFonts w:hint="default" w:ascii="Times New Roman" w:hAnsi="Times New Roman" w:cs="Times New Roman"/>
                <w:b w:val="0"/>
                <w:bCs w:val="0"/>
                <w:color w:val="auto"/>
                <w:spacing w:val="-2"/>
                <w:sz w:val="24"/>
                <w:szCs w:val="24"/>
                <w:lang w:val="en-US" w:eastAsia="zh-CN"/>
              </w:rPr>
              <w:t>等</w:t>
            </w:r>
            <w:r>
              <w:rPr>
                <w:rFonts w:hint="eastAsia" w:cs="Times New Roman"/>
                <w:b w:val="0"/>
                <w:bCs w:val="0"/>
                <w:color w:val="auto"/>
                <w:sz w:val="24"/>
                <w:szCs w:val="24"/>
                <w:lang w:eastAsia="zh-CN"/>
              </w:rPr>
              <w:t>，</w:t>
            </w:r>
            <w:r>
              <w:rPr>
                <w:rFonts w:hint="eastAsia" w:cs="Times New Roman"/>
                <w:color w:val="auto"/>
                <w:spacing w:val="-2"/>
                <w:sz w:val="24"/>
                <w:szCs w:val="24"/>
                <w:lang w:val="en-US" w:eastAsia="zh-CN"/>
              </w:rPr>
              <w:t>属于低浓度废水</w:t>
            </w:r>
            <w:r>
              <w:rPr>
                <w:rFonts w:hint="default" w:ascii="Times New Roman" w:hAnsi="Times New Roman" w:cs="Times New Roman"/>
                <w:color w:val="auto"/>
                <w:sz w:val="24"/>
                <w:szCs w:val="24"/>
                <w:lang w:eastAsia="zh-CN"/>
              </w:rPr>
              <w:t>。</w:t>
            </w:r>
          </w:p>
          <w:p w14:paraId="4042173C">
            <w:pPr>
              <w:spacing w:line="360" w:lineRule="auto"/>
              <w:ind w:firstLine="482"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b/>
                <w:bCs/>
                <w:color w:val="auto"/>
                <w:sz w:val="24"/>
              </w:rPr>
              <w:t>化验室</w:t>
            </w:r>
            <w:r>
              <w:rPr>
                <w:rFonts w:hint="eastAsia" w:cs="Times New Roman"/>
                <w:b/>
                <w:bCs/>
                <w:color w:val="auto"/>
                <w:sz w:val="24"/>
                <w:lang w:val="en-US" w:eastAsia="zh-CN"/>
              </w:rPr>
              <w:t>废水（W8）</w:t>
            </w:r>
            <w:r>
              <w:rPr>
                <w:rFonts w:hint="default" w:ascii="Times New Roman" w:hAnsi="Times New Roman" w:cs="Times New Roman"/>
                <w:b/>
                <w:bCs/>
                <w:color w:val="auto"/>
                <w:sz w:val="24"/>
                <w:lang w:val="en-US" w:eastAsia="zh-CN"/>
              </w:rPr>
              <w:t>：</w:t>
            </w:r>
            <w:r>
              <w:rPr>
                <w:rFonts w:hint="default" w:ascii="Times New Roman" w:hAnsi="Times New Roman" w:cs="Times New Roman"/>
                <w:b w:val="0"/>
                <w:bCs w:val="0"/>
                <w:color w:val="auto"/>
                <w:sz w:val="24"/>
                <w:highlight w:val="none"/>
                <w:lang w:val="en-US" w:eastAsia="zh-CN"/>
              </w:rPr>
              <w:t>根据水平衡，</w:t>
            </w:r>
            <w:r>
              <w:rPr>
                <w:rFonts w:hint="eastAsia" w:cs="Times New Roman"/>
                <w:b w:val="0"/>
                <w:bCs w:val="0"/>
                <w:color w:val="auto"/>
                <w:sz w:val="24"/>
                <w:highlight w:val="none"/>
                <w:lang w:val="en-US" w:eastAsia="zh-CN"/>
              </w:rPr>
              <w:t>化验室废水</w:t>
            </w:r>
            <w:r>
              <w:rPr>
                <w:rFonts w:hint="default" w:ascii="Times New Roman" w:hAnsi="Times New Roman" w:cs="Times New Roman"/>
                <w:b w:val="0"/>
                <w:bCs/>
                <w:color w:val="auto"/>
                <w:sz w:val="24"/>
                <w:szCs w:val="24"/>
                <w:lang w:val="en-US" w:eastAsia="zh-CN"/>
              </w:rPr>
              <w:t>的产生量为</w:t>
            </w:r>
            <w:r>
              <w:rPr>
                <w:rFonts w:hint="eastAsia"/>
                <w:b w:val="0"/>
                <w:bCs/>
                <w:color w:val="auto"/>
                <w:sz w:val="24"/>
                <w:szCs w:val="24"/>
                <w:lang w:val="en-US" w:eastAsia="zh-CN"/>
              </w:rPr>
              <w:t>0.32</w:t>
            </w:r>
            <w:r>
              <w:rPr>
                <w:color w:val="auto"/>
                <w:sz w:val="24"/>
              </w:rPr>
              <w:t>m³/d</w:t>
            </w:r>
            <w:r>
              <w:rPr>
                <w:rFonts w:hint="eastAsia"/>
                <w:color w:val="auto"/>
                <w:sz w:val="24"/>
                <w:lang w:eastAsia="zh-CN"/>
              </w:rPr>
              <w:t>，</w:t>
            </w:r>
            <w:r>
              <w:rPr>
                <w:rFonts w:hint="eastAsia"/>
                <w:color w:val="auto"/>
                <w:sz w:val="24"/>
                <w:lang w:val="en-US" w:eastAsia="zh-CN"/>
              </w:rPr>
              <w:t>64</w:t>
            </w:r>
            <w:r>
              <w:rPr>
                <w:rFonts w:hint="eastAsia" w:ascii="Times New Roman" w:hAnsi="Times New Roman" w:cs="Times New Roman"/>
                <w:color w:val="auto"/>
                <w:sz w:val="24"/>
                <w:lang w:val="en-US" w:eastAsia="zh-CN"/>
              </w:rPr>
              <w:t>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/a</w:t>
            </w:r>
            <w:r>
              <w:rPr>
                <w:rFonts w:hint="default" w:ascii="Times New Roman" w:hAnsi="Times New Roman" w:cs="Times New Roman"/>
                <w:color w:val="auto"/>
                <w:sz w:val="24"/>
                <w:lang w:val="en-US" w:eastAsia="zh-CN"/>
              </w:rPr>
              <w:t>，</w:t>
            </w:r>
            <w:r>
              <w:rPr>
                <w:rFonts w:hint="default" w:ascii="Times New Roman" w:hAnsi="Times New Roman" w:cs="Times New Roman"/>
                <w:b w:val="0"/>
                <w:bCs w:val="0"/>
                <w:color w:val="auto"/>
                <w:sz w:val="24"/>
                <w:szCs w:val="24"/>
                <w:lang w:val="en-US" w:eastAsia="zh-CN"/>
              </w:rPr>
              <w:t>主要污染物为</w:t>
            </w:r>
            <w:r>
              <w:rPr>
                <w:rFonts w:hint="default" w:ascii="Times New Roman" w:hAnsi="Times New Roman" w:cs="Times New Roman"/>
                <w:color w:val="auto"/>
                <w:sz w:val="24"/>
              </w:rPr>
              <w:t>COD、</w:t>
            </w:r>
            <w:r>
              <w:rPr>
                <w:rFonts w:hint="default" w:ascii="Times New Roman" w:hAnsi="Times New Roman" w:cs="Times New Roman"/>
                <w:color w:val="auto"/>
                <w:sz w:val="24"/>
                <w:szCs w:val="24"/>
              </w:rPr>
              <w:t>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pacing w:val="-2"/>
                <w:sz w:val="24"/>
                <w:szCs w:val="24"/>
              </w:rPr>
              <w:t>氨氮</w:t>
            </w:r>
            <w:r>
              <w:rPr>
                <w:rFonts w:hint="default" w:ascii="Times New Roman" w:hAnsi="Times New Roman" w:cs="Times New Roman"/>
                <w:color w:val="auto"/>
                <w:spacing w:val="-2"/>
                <w:sz w:val="24"/>
                <w:szCs w:val="24"/>
                <w:lang w:eastAsia="zh-CN"/>
              </w:rPr>
              <w:t>、</w:t>
            </w:r>
            <w:r>
              <w:rPr>
                <w:rFonts w:hint="default" w:ascii="Times New Roman" w:hAnsi="Times New Roman" w:cs="Times New Roman"/>
                <w:color w:val="auto"/>
                <w:spacing w:val="-2"/>
                <w:sz w:val="24"/>
                <w:szCs w:val="24"/>
              </w:rPr>
              <w:t>总磷</w:t>
            </w:r>
            <w:r>
              <w:rPr>
                <w:rFonts w:hint="default" w:ascii="Times New Roman" w:hAnsi="Times New Roman" w:cs="Times New Roman"/>
                <w:color w:val="auto"/>
                <w:spacing w:val="-2"/>
                <w:sz w:val="24"/>
                <w:szCs w:val="24"/>
                <w:lang w:val="en-US" w:eastAsia="zh-CN"/>
              </w:rPr>
              <w:t>等</w:t>
            </w:r>
            <w:r>
              <w:rPr>
                <w:rFonts w:hint="eastAsia" w:cs="Times New Roman"/>
                <w:b w:val="0"/>
                <w:bCs w:val="0"/>
                <w:color w:val="auto"/>
                <w:sz w:val="24"/>
                <w:szCs w:val="24"/>
                <w:lang w:eastAsia="zh-CN"/>
              </w:rPr>
              <w:t>，</w:t>
            </w:r>
            <w:r>
              <w:rPr>
                <w:rFonts w:hint="eastAsia" w:cs="Times New Roman"/>
                <w:color w:val="auto"/>
                <w:spacing w:val="-2"/>
                <w:sz w:val="24"/>
                <w:szCs w:val="24"/>
                <w:lang w:val="en-US" w:eastAsia="zh-CN"/>
              </w:rPr>
              <w:t>属于高浓度废水</w:t>
            </w:r>
            <w:r>
              <w:rPr>
                <w:rFonts w:hint="default" w:ascii="Times New Roman" w:hAnsi="Times New Roman" w:cs="Times New Roman"/>
                <w:color w:val="auto"/>
                <w:sz w:val="24"/>
                <w:szCs w:val="24"/>
                <w:lang w:eastAsia="zh-CN"/>
              </w:rPr>
              <w:t>。</w:t>
            </w:r>
          </w:p>
          <w:p w14:paraId="7739F02F">
            <w:pPr>
              <w:spacing w:line="360" w:lineRule="auto"/>
              <w:ind w:firstLine="482" w:firstLineChars="200"/>
              <w:rPr>
                <w:rFonts w:hint="default" w:ascii="Times New Roman" w:hAnsi="Times New Roman" w:cs="Times New Roman"/>
                <w:color w:val="auto"/>
                <w:sz w:val="24"/>
                <w:szCs w:val="24"/>
                <w:lang w:val="en-US"/>
              </w:rPr>
            </w:pPr>
            <w:r>
              <w:rPr>
                <w:rFonts w:hint="default" w:ascii="Times New Roman" w:hAnsi="Times New Roman" w:eastAsia="宋体" w:cs="Times New Roman"/>
                <w:b/>
                <w:bCs/>
                <w:color w:val="auto"/>
                <w:sz w:val="24"/>
                <w:lang w:val="en-US" w:eastAsia="zh-CN"/>
              </w:rPr>
              <w:t>锅炉排水</w:t>
            </w:r>
            <w:r>
              <w:rPr>
                <w:rFonts w:hint="eastAsia" w:cs="Times New Roman"/>
                <w:b/>
                <w:bCs/>
                <w:color w:val="auto"/>
                <w:sz w:val="24"/>
                <w:lang w:val="en-US" w:eastAsia="zh-CN"/>
              </w:rPr>
              <w:t>（W9）</w:t>
            </w:r>
            <w:r>
              <w:rPr>
                <w:rFonts w:hint="default" w:ascii="Times New Roman" w:hAnsi="Times New Roman" w:eastAsia="宋体" w:cs="Times New Roman"/>
                <w:b/>
                <w:bCs/>
                <w:color w:val="auto"/>
                <w:sz w:val="24"/>
                <w:lang w:val="en-US" w:eastAsia="zh-CN"/>
              </w:rPr>
              <w:t>：</w:t>
            </w:r>
            <w:r>
              <w:rPr>
                <w:rFonts w:hint="default" w:ascii="Times New Roman" w:hAnsi="Times New Roman" w:cs="Times New Roman"/>
                <w:b w:val="0"/>
                <w:bCs w:val="0"/>
                <w:color w:val="auto"/>
                <w:sz w:val="24"/>
                <w:szCs w:val="24"/>
                <w:highlight w:val="none"/>
                <w:lang w:val="en-US" w:eastAsia="zh-CN"/>
              </w:rPr>
              <w:t>根据水平衡，生物质</w:t>
            </w:r>
            <w:r>
              <w:rPr>
                <w:rFonts w:hint="default" w:ascii="Times New Roman" w:hAnsi="Times New Roman" w:cs="Times New Roman"/>
                <w:color w:val="auto"/>
                <w:sz w:val="24"/>
                <w:szCs w:val="24"/>
                <w:highlight w:val="none"/>
                <w:lang w:val="en-US" w:eastAsia="zh-CN"/>
              </w:rPr>
              <w:t>锅炉排水量为</w:t>
            </w:r>
            <w:r>
              <w:rPr>
                <w:rFonts w:hint="eastAsia" w:cs="Times New Roman"/>
                <w:color w:val="auto"/>
                <w:sz w:val="24"/>
                <w:highlight w:val="none"/>
                <w:lang w:val="en-US" w:eastAsia="zh-CN"/>
              </w:rPr>
              <w:t>1m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/d，200m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/a</w:t>
            </w:r>
            <w:r>
              <w:rPr>
                <w:rFonts w:hint="default" w:ascii="Times New Roman" w:hAnsi="Times New Roman" w:cs="Times New Roman"/>
                <w:color w:val="auto"/>
                <w:sz w:val="24"/>
                <w:szCs w:val="24"/>
                <w:highlight w:val="none"/>
                <w:lang w:val="en-US" w:eastAsia="zh-CN"/>
              </w:rPr>
              <w:t>，主要污染物为</w:t>
            </w:r>
            <w:r>
              <w:rPr>
                <w:rFonts w:hint="eastAsia" w:cs="Times New Roman"/>
                <w:color w:val="auto"/>
                <w:sz w:val="24"/>
                <w:szCs w:val="24"/>
                <w:highlight w:val="none"/>
                <w:lang w:val="en-US" w:eastAsia="zh-CN"/>
              </w:rPr>
              <w:t>COD、</w:t>
            </w:r>
            <w:r>
              <w:rPr>
                <w:rFonts w:hint="default" w:ascii="Times New Roman" w:hAnsi="Times New Roman" w:cs="Times New Roman"/>
                <w:b w:val="0"/>
                <w:bCs w:val="0"/>
                <w:color w:val="auto"/>
                <w:sz w:val="24"/>
              </w:rPr>
              <w:t>SS</w:t>
            </w:r>
            <w:r>
              <w:rPr>
                <w:rFonts w:hint="eastAsia" w:cs="Times New Roman"/>
                <w:b w:val="0"/>
                <w:bCs w:val="0"/>
                <w:color w:val="auto"/>
                <w:sz w:val="24"/>
                <w:lang w:eastAsia="zh-CN"/>
              </w:rPr>
              <w:t>、</w:t>
            </w:r>
            <w:r>
              <w:rPr>
                <w:rFonts w:hint="eastAsia" w:cs="Times New Roman"/>
                <w:b w:val="0"/>
                <w:bCs w:val="0"/>
                <w:color w:val="auto"/>
                <w:sz w:val="24"/>
                <w:lang w:val="en-US" w:eastAsia="zh-CN"/>
              </w:rPr>
              <w:t>总磷</w:t>
            </w:r>
            <w:r>
              <w:rPr>
                <w:rFonts w:hint="eastAsia" w:cs="Times New Roman"/>
                <w:b w:val="0"/>
                <w:bCs w:val="0"/>
                <w:color w:val="auto"/>
                <w:sz w:val="24"/>
                <w:szCs w:val="24"/>
                <w:lang w:eastAsia="zh-CN"/>
              </w:rPr>
              <w:t>，</w:t>
            </w:r>
            <w:r>
              <w:rPr>
                <w:rFonts w:hint="eastAsia" w:cs="Times New Roman"/>
                <w:color w:val="auto"/>
                <w:spacing w:val="-2"/>
                <w:sz w:val="24"/>
                <w:szCs w:val="24"/>
                <w:lang w:val="en-US" w:eastAsia="zh-CN"/>
              </w:rPr>
              <w:t>属于低浓度废水</w:t>
            </w:r>
            <w:r>
              <w:rPr>
                <w:rFonts w:hint="default" w:ascii="Times New Roman" w:hAnsi="Times New Roman" w:cs="Times New Roman"/>
                <w:color w:val="auto"/>
                <w:sz w:val="24"/>
                <w:szCs w:val="24"/>
                <w:lang w:eastAsia="zh-CN"/>
              </w:rPr>
              <w:t>。</w:t>
            </w:r>
          </w:p>
          <w:p w14:paraId="03A6D407">
            <w:pPr>
              <w:spacing w:line="360" w:lineRule="auto"/>
              <w:ind w:firstLine="482"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b/>
                <w:bCs/>
                <w:color w:val="auto"/>
                <w:sz w:val="24"/>
              </w:rPr>
              <w:t>生产车间地面清洗</w:t>
            </w:r>
            <w:r>
              <w:rPr>
                <w:rFonts w:hint="default" w:ascii="Times New Roman" w:hAnsi="Times New Roman" w:cs="Times New Roman"/>
                <w:b/>
                <w:bCs/>
                <w:color w:val="auto"/>
                <w:sz w:val="24"/>
                <w:lang w:val="en-US" w:eastAsia="zh-CN"/>
              </w:rPr>
              <w:t>废水</w:t>
            </w:r>
            <w:r>
              <w:rPr>
                <w:rFonts w:hint="eastAsia" w:cs="Times New Roman"/>
                <w:b/>
                <w:bCs/>
                <w:color w:val="auto"/>
                <w:sz w:val="24"/>
                <w:lang w:val="en-US" w:eastAsia="zh-CN"/>
              </w:rPr>
              <w:t>（W10）</w:t>
            </w:r>
            <w:r>
              <w:rPr>
                <w:rFonts w:hint="default" w:ascii="Times New Roman" w:hAnsi="Times New Roman" w:cs="Times New Roman"/>
                <w:b/>
                <w:bCs/>
                <w:color w:val="auto"/>
                <w:sz w:val="24"/>
                <w:lang w:val="en-US" w:eastAsia="zh-CN"/>
              </w:rPr>
              <w:t>：</w:t>
            </w:r>
            <w:r>
              <w:rPr>
                <w:rFonts w:hint="default" w:ascii="Times New Roman" w:hAnsi="Times New Roman" w:cs="Times New Roman"/>
                <w:b w:val="0"/>
                <w:bCs w:val="0"/>
                <w:color w:val="auto"/>
                <w:sz w:val="24"/>
                <w:szCs w:val="24"/>
                <w:highlight w:val="none"/>
                <w:lang w:val="en-US" w:eastAsia="zh-CN"/>
              </w:rPr>
              <w:t>根据水平衡，</w:t>
            </w:r>
            <w:r>
              <w:rPr>
                <w:rFonts w:hint="default" w:ascii="Times New Roman" w:hAnsi="Times New Roman" w:cs="Times New Roman"/>
                <w:color w:val="auto"/>
                <w:sz w:val="24"/>
                <w:lang w:val="en-US" w:eastAsia="zh-CN"/>
              </w:rPr>
              <w:t>项目生产车间地面清洗废水产生量为1.6</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320m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/a；主要污染物为</w:t>
            </w:r>
            <w:r>
              <w:rPr>
                <w:rFonts w:hint="default" w:ascii="Times New Roman" w:hAnsi="Times New Roman" w:cs="Times New Roman"/>
                <w:color w:val="auto"/>
                <w:sz w:val="24"/>
              </w:rPr>
              <w:t>COD、</w:t>
            </w:r>
            <w:r>
              <w:rPr>
                <w:rFonts w:hint="default" w:ascii="Times New Roman" w:hAnsi="Times New Roman" w:cs="Times New Roman"/>
                <w:color w:val="auto"/>
                <w:sz w:val="24"/>
                <w:szCs w:val="24"/>
              </w:rPr>
              <w:t>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vertAlign w:val="baseline"/>
                <w:lang w:eastAsia="zh-CN"/>
              </w:rPr>
              <w:t>、</w:t>
            </w:r>
            <w:r>
              <w:rPr>
                <w:rFonts w:hint="eastAsia" w:cs="Times New Roman"/>
                <w:color w:val="auto"/>
                <w:spacing w:val="-2"/>
                <w:sz w:val="24"/>
                <w:szCs w:val="24"/>
                <w:lang w:val="en-US" w:eastAsia="zh-CN"/>
              </w:rPr>
              <w:t>SS</w:t>
            </w:r>
            <w:r>
              <w:rPr>
                <w:rFonts w:hint="default" w:ascii="Times New Roman" w:hAnsi="Times New Roman" w:cs="Times New Roman"/>
                <w:b w:val="0"/>
                <w:bCs w:val="0"/>
                <w:color w:val="auto"/>
                <w:sz w:val="24"/>
                <w:szCs w:val="24"/>
              </w:rPr>
              <w:t>等</w:t>
            </w:r>
            <w:r>
              <w:rPr>
                <w:rFonts w:hint="eastAsia" w:cs="Times New Roman"/>
                <w:b w:val="0"/>
                <w:bCs w:val="0"/>
                <w:color w:val="auto"/>
                <w:sz w:val="24"/>
                <w:szCs w:val="24"/>
                <w:lang w:eastAsia="zh-CN"/>
              </w:rPr>
              <w:t>，</w:t>
            </w:r>
            <w:r>
              <w:rPr>
                <w:rFonts w:hint="eastAsia" w:cs="Times New Roman"/>
                <w:color w:val="auto"/>
                <w:spacing w:val="-2"/>
                <w:sz w:val="24"/>
                <w:szCs w:val="24"/>
                <w:lang w:val="en-US" w:eastAsia="zh-CN"/>
              </w:rPr>
              <w:t>属于低浓度废水</w:t>
            </w:r>
            <w:r>
              <w:rPr>
                <w:rFonts w:hint="default" w:ascii="Times New Roman" w:hAnsi="Times New Roman" w:cs="Times New Roman"/>
                <w:color w:val="auto"/>
                <w:sz w:val="24"/>
                <w:szCs w:val="24"/>
                <w:lang w:eastAsia="zh-CN"/>
              </w:rPr>
              <w:t>。</w:t>
            </w:r>
          </w:p>
          <w:p w14:paraId="184041E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szCs w:val="24"/>
                <w:lang w:val="en-US" w:eastAsia="zh-CN"/>
              </w:rPr>
              <w:t>实验器皿清洗废水</w:t>
            </w:r>
            <w:r>
              <w:rPr>
                <w:rFonts w:hint="eastAsia" w:cs="Times New Roman"/>
                <w:b/>
                <w:bCs/>
                <w:color w:val="auto"/>
                <w:sz w:val="24"/>
                <w:lang w:val="en-US" w:eastAsia="zh-CN"/>
              </w:rPr>
              <w:t>（W11）</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b w:val="0"/>
                <w:bCs w:val="0"/>
                <w:color w:val="auto"/>
                <w:sz w:val="24"/>
                <w:szCs w:val="24"/>
                <w:highlight w:val="none"/>
                <w:lang w:val="en-US" w:eastAsia="zh-CN"/>
              </w:rPr>
              <w:t>根据水平衡，</w:t>
            </w:r>
            <w:r>
              <w:rPr>
                <w:rFonts w:hint="default" w:ascii="Times New Roman" w:hAnsi="Times New Roman" w:cs="Times New Roman"/>
                <w:color w:val="auto"/>
                <w:kern w:val="0"/>
                <w:sz w:val="24"/>
                <w:szCs w:val="24"/>
                <w:lang w:val="en-US" w:eastAsia="zh-CN" w:bidi="ar"/>
              </w:rPr>
              <w:t>实验器皿</w:t>
            </w:r>
            <w:r>
              <w:rPr>
                <w:rFonts w:hint="default" w:ascii="Times New Roman" w:hAnsi="Times New Roman" w:eastAsia="宋体" w:cs="Times New Roman"/>
                <w:color w:val="auto"/>
                <w:kern w:val="0"/>
                <w:sz w:val="24"/>
                <w:szCs w:val="24"/>
                <w:lang w:val="en-US" w:eastAsia="zh-CN" w:bidi="ar"/>
              </w:rPr>
              <w:t>清洗废水产生量约为</w:t>
            </w:r>
            <w:r>
              <w:rPr>
                <w:rFonts w:hint="default" w:ascii="Times New Roman" w:hAnsi="Times New Roman" w:cs="Times New Roman"/>
                <w:color w:val="auto"/>
                <w:kern w:val="0"/>
                <w:sz w:val="24"/>
                <w:szCs w:val="24"/>
                <w:lang w:val="en-US" w:eastAsia="zh-CN" w:bidi="ar"/>
              </w:rPr>
              <w:t>0.08</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w:t>
            </w:r>
            <w:r>
              <w:rPr>
                <w:rFonts w:hint="default" w:ascii="Times New Roman" w:hAnsi="Times New Roman" w:cs="Times New Roman"/>
                <w:color w:val="auto"/>
                <w:kern w:val="0"/>
                <w:sz w:val="24"/>
                <w:szCs w:val="24"/>
                <w:lang w:val="en-US" w:eastAsia="zh-CN" w:bidi="ar"/>
              </w:rPr>
              <w:t>，16</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/a；主要污染物为</w:t>
            </w:r>
            <w:r>
              <w:rPr>
                <w:rFonts w:hint="default" w:ascii="Times New Roman" w:hAnsi="Times New Roman" w:cs="Times New Roman"/>
                <w:color w:val="auto"/>
                <w:sz w:val="24"/>
              </w:rPr>
              <w:t>COD、</w:t>
            </w:r>
            <w:r>
              <w:rPr>
                <w:rFonts w:hint="default" w:ascii="Times New Roman" w:hAnsi="Times New Roman" w:cs="Times New Roman"/>
                <w:color w:val="auto"/>
                <w:sz w:val="24"/>
                <w:szCs w:val="24"/>
              </w:rPr>
              <w:t>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vertAlign w:val="baseline"/>
                <w:lang w:eastAsia="zh-CN"/>
              </w:rPr>
              <w:t>、</w:t>
            </w:r>
            <w:r>
              <w:rPr>
                <w:rFonts w:hint="eastAsia" w:cs="Times New Roman"/>
                <w:color w:val="auto"/>
                <w:sz w:val="24"/>
                <w:szCs w:val="24"/>
                <w:vertAlign w:val="baseline"/>
                <w:lang w:val="en-US" w:eastAsia="zh-CN"/>
              </w:rPr>
              <w:t>SS</w:t>
            </w:r>
            <w:r>
              <w:rPr>
                <w:rFonts w:hint="default" w:ascii="Times New Roman" w:hAnsi="Times New Roman" w:cs="Times New Roman"/>
                <w:color w:val="auto"/>
                <w:spacing w:val="-2"/>
                <w:sz w:val="24"/>
                <w:szCs w:val="24"/>
                <w:lang w:val="en-US" w:eastAsia="zh-CN"/>
              </w:rPr>
              <w:t>等</w:t>
            </w:r>
            <w:r>
              <w:rPr>
                <w:rFonts w:hint="eastAsia" w:cs="Times New Roman"/>
                <w:b w:val="0"/>
                <w:bCs w:val="0"/>
                <w:color w:val="auto"/>
                <w:sz w:val="24"/>
                <w:szCs w:val="24"/>
                <w:lang w:eastAsia="zh-CN"/>
              </w:rPr>
              <w:t>，</w:t>
            </w:r>
            <w:r>
              <w:rPr>
                <w:rFonts w:hint="eastAsia" w:cs="Times New Roman"/>
                <w:color w:val="auto"/>
                <w:spacing w:val="-2"/>
                <w:sz w:val="24"/>
                <w:szCs w:val="24"/>
                <w:lang w:val="en-US" w:eastAsia="zh-CN"/>
              </w:rPr>
              <w:t>属于低浓度废水</w:t>
            </w:r>
            <w:r>
              <w:rPr>
                <w:rFonts w:hint="default" w:ascii="Times New Roman" w:hAnsi="Times New Roman" w:cs="Times New Roman"/>
                <w:color w:val="auto"/>
                <w:sz w:val="24"/>
                <w:szCs w:val="24"/>
                <w:lang w:eastAsia="zh-CN"/>
              </w:rPr>
              <w:t>。</w:t>
            </w:r>
          </w:p>
          <w:p w14:paraId="721E7C41">
            <w:pPr>
              <w:spacing w:line="360" w:lineRule="auto"/>
              <w:ind w:firstLine="482"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b/>
                <w:bCs/>
                <w:color w:val="auto"/>
                <w:sz w:val="24"/>
                <w:lang w:val="en-US" w:eastAsia="zh-CN"/>
              </w:rPr>
              <w:t>生活污水</w:t>
            </w:r>
            <w:r>
              <w:rPr>
                <w:rFonts w:hint="eastAsia" w:cs="Times New Roman"/>
                <w:b/>
                <w:bCs/>
                <w:color w:val="auto"/>
                <w:sz w:val="24"/>
                <w:lang w:val="en-US" w:eastAsia="zh-CN"/>
              </w:rPr>
              <w:t>（W11）</w:t>
            </w:r>
            <w:r>
              <w:rPr>
                <w:rFonts w:hint="default" w:ascii="Times New Roman" w:hAnsi="Times New Roman" w:cs="Times New Roman"/>
                <w:b/>
                <w:bCs/>
                <w:color w:val="auto"/>
                <w:sz w:val="24"/>
                <w:lang w:val="en-US" w:eastAsia="zh-CN"/>
              </w:rPr>
              <w:t>：</w:t>
            </w:r>
            <w:r>
              <w:rPr>
                <w:rFonts w:hint="default" w:ascii="Times New Roman" w:hAnsi="Times New Roman" w:cs="Times New Roman"/>
                <w:b w:val="0"/>
                <w:bCs w:val="0"/>
                <w:color w:val="auto"/>
                <w:sz w:val="24"/>
                <w:szCs w:val="24"/>
                <w:highlight w:val="none"/>
                <w:lang w:val="en-US" w:eastAsia="zh-CN"/>
              </w:rPr>
              <w:t>根据水平衡，</w:t>
            </w:r>
            <w:r>
              <w:rPr>
                <w:rFonts w:hint="eastAsia" w:cs="Times New Roman"/>
                <w:b w:val="0"/>
                <w:bCs w:val="0"/>
                <w:color w:val="auto"/>
                <w:sz w:val="24"/>
                <w:szCs w:val="24"/>
                <w:highlight w:val="none"/>
                <w:lang w:val="en-US" w:eastAsia="zh-CN"/>
              </w:rPr>
              <w:t>员工</w:t>
            </w:r>
            <w:r>
              <w:rPr>
                <w:rFonts w:hint="default" w:ascii="Times New Roman" w:hAnsi="Times New Roman" w:cs="Times New Roman"/>
                <w:b w:val="0"/>
                <w:bCs w:val="0"/>
                <w:color w:val="auto"/>
                <w:sz w:val="24"/>
                <w:szCs w:val="24"/>
                <w:highlight w:val="none"/>
                <w:lang w:val="en-US" w:eastAsia="zh-CN"/>
              </w:rPr>
              <w:t>食堂废水产生量为</w:t>
            </w:r>
            <w:r>
              <w:rPr>
                <w:rFonts w:hint="default" w:ascii="Times New Roman" w:hAnsi="Times New Roman" w:cs="Times New Roman"/>
                <w:color w:val="auto"/>
                <w:sz w:val="24"/>
                <w:lang w:val="en-US" w:eastAsia="zh-CN"/>
              </w:rPr>
              <w:t>0.72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144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其他一般生活污水产生量为1.92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384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主要污染物为</w:t>
            </w:r>
            <w:r>
              <w:rPr>
                <w:rFonts w:hint="default" w:ascii="Times New Roman" w:hAnsi="Times New Roman" w:cs="Times New Roman"/>
                <w:b w:val="0"/>
                <w:bCs w:val="0"/>
                <w:color w:val="auto"/>
                <w:sz w:val="24"/>
              </w:rPr>
              <w:t>COD、BOD</w:t>
            </w:r>
            <w:r>
              <w:rPr>
                <w:rFonts w:hint="default" w:ascii="Times New Roman" w:hAnsi="Times New Roman" w:cs="Times New Roman"/>
                <w:b w:val="0"/>
                <w:bCs w:val="0"/>
                <w:color w:val="auto"/>
                <w:sz w:val="24"/>
                <w:vertAlign w:val="subscript"/>
              </w:rPr>
              <w:t>5</w:t>
            </w:r>
            <w:r>
              <w:rPr>
                <w:rFonts w:hint="default" w:ascii="Times New Roman" w:hAnsi="Times New Roman" w:cs="Times New Roman"/>
                <w:b w:val="0"/>
                <w:bCs w:val="0"/>
                <w:color w:val="auto"/>
                <w:sz w:val="24"/>
                <w:vertAlign w:val="baseline"/>
                <w:lang w:eastAsia="zh-CN"/>
              </w:rPr>
              <w:t>、</w:t>
            </w:r>
            <w:r>
              <w:rPr>
                <w:rFonts w:hint="default" w:ascii="Times New Roman" w:hAnsi="Times New Roman" w:cs="Times New Roman"/>
                <w:b w:val="0"/>
                <w:bCs w:val="0"/>
                <w:color w:val="auto"/>
                <w:sz w:val="24"/>
                <w:vertAlign w:val="baseline"/>
                <w:lang w:val="en-US" w:eastAsia="zh-CN"/>
              </w:rPr>
              <w:t>氨氮、</w:t>
            </w:r>
            <w:r>
              <w:rPr>
                <w:rFonts w:hint="eastAsia" w:cs="Times New Roman"/>
                <w:b w:val="0"/>
                <w:bCs w:val="0"/>
                <w:color w:val="auto"/>
                <w:sz w:val="24"/>
                <w:vertAlign w:val="baseline"/>
                <w:lang w:val="en-US" w:eastAsia="zh-CN"/>
              </w:rPr>
              <w:t>总磷、总氮</w:t>
            </w:r>
            <w:r>
              <w:rPr>
                <w:rFonts w:hint="default" w:ascii="Times New Roman" w:hAnsi="Times New Roman" w:cs="Times New Roman"/>
                <w:b w:val="0"/>
                <w:bCs w:val="0"/>
                <w:color w:val="auto"/>
                <w:sz w:val="24"/>
              </w:rPr>
              <w:t>等</w:t>
            </w:r>
            <w:r>
              <w:rPr>
                <w:rFonts w:hint="default" w:ascii="Times New Roman" w:hAnsi="Times New Roman" w:cs="Times New Roman"/>
                <w:b w:val="0"/>
                <w:bCs w:val="0"/>
                <w:color w:val="auto"/>
                <w:sz w:val="24"/>
                <w:lang w:eastAsia="zh-CN"/>
              </w:rPr>
              <w:t>。</w:t>
            </w:r>
          </w:p>
          <w:p w14:paraId="5495F8D4">
            <w:pPr>
              <w:spacing w:line="360" w:lineRule="auto"/>
              <w:ind w:firstLine="482" w:firstLineChars="200"/>
              <w:rPr>
                <w:rFonts w:hint="eastAsia" w:cs="Times New Roman"/>
                <w:color w:val="auto"/>
                <w:sz w:val="24"/>
                <w:lang w:val="en-US" w:eastAsia="zh-CN"/>
              </w:rPr>
            </w:pPr>
            <w:r>
              <w:rPr>
                <w:rFonts w:hint="default" w:ascii="Times New Roman" w:hAnsi="Times New Roman" w:cs="Times New Roman"/>
                <w:b/>
                <w:bCs/>
                <w:color w:val="auto"/>
                <w:sz w:val="24"/>
                <w:lang w:val="en-US" w:eastAsia="zh-CN"/>
              </w:rPr>
              <w:t>2、治理措施</w:t>
            </w:r>
          </w:p>
          <w:p w14:paraId="1C1EFB29">
            <w:pPr>
              <w:spacing w:line="360" w:lineRule="auto"/>
              <w:ind w:firstLine="480" w:firstLineChars="200"/>
              <w:rPr>
                <w:rFonts w:hint="default" w:cs="Times New Roman"/>
                <w:color w:val="auto"/>
                <w:sz w:val="24"/>
                <w:szCs w:val="24"/>
                <w:highlight w:val="none"/>
                <w:lang w:val="en-US" w:eastAsia="zh-CN"/>
              </w:rPr>
            </w:pPr>
            <w:r>
              <w:rPr>
                <w:rFonts w:hint="eastAsia"/>
                <w:color w:val="auto"/>
                <w:sz w:val="24"/>
                <w:szCs w:val="24"/>
                <w:highlight w:val="none"/>
                <w:lang w:val="en-US" w:eastAsia="zh-CN"/>
              </w:rPr>
              <w:t>项目纯水制备系统浓水、反冲洗废水、水果清洗废水、生产车间地面清洗废水、实验器皿清洗废水、锅炉排水属于低浓度废水，进入</w:t>
            </w:r>
            <w:r>
              <w:rPr>
                <w:rFonts w:hint="eastAsia" w:ascii="Times New Roman" w:hAnsi="Times New Roman" w:cs="Times New Roman"/>
                <w:color w:val="auto"/>
                <w:kern w:val="0"/>
                <w:sz w:val="24"/>
                <w:szCs w:val="24"/>
                <w:highlight w:val="none"/>
                <w:lang w:val="en-US" w:eastAsia="zh-CN" w:bidi="ar"/>
              </w:rPr>
              <w:t>沉淀池</w:t>
            </w:r>
            <w:r>
              <w:rPr>
                <w:rFonts w:hint="eastAsia" w:cs="Times New Roman"/>
                <w:color w:val="auto"/>
                <w:kern w:val="0"/>
                <w:sz w:val="24"/>
                <w:szCs w:val="24"/>
                <w:highlight w:val="none"/>
                <w:lang w:val="en-US" w:eastAsia="zh-CN" w:bidi="ar"/>
              </w:rPr>
              <w:t>（</w:t>
            </w:r>
            <w:r>
              <w:rPr>
                <w:rFonts w:hint="eastAsia" w:ascii="Times New Roman" w:hAnsi="Times New Roman"/>
                <w:color w:val="auto"/>
                <w:sz w:val="24"/>
                <w:szCs w:val="24"/>
                <w:highlight w:val="none"/>
                <w:lang w:val="en-US" w:eastAsia="zh-CN"/>
              </w:rPr>
              <w:t>调节+气浮沉淀</w:t>
            </w:r>
            <w:r>
              <w:rPr>
                <w:rFonts w:hint="eastAsia" w:cs="Times New Roman"/>
                <w:color w:val="auto"/>
                <w:kern w:val="0"/>
                <w:sz w:val="24"/>
                <w:szCs w:val="24"/>
                <w:highlight w:val="none"/>
                <w:lang w:val="en-US" w:eastAsia="zh-CN" w:bidi="ar"/>
              </w:rPr>
              <w:t>）处理；</w:t>
            </w:r>
            <w:r>
              <w:rPr>
                <w:rFonts w:hint="eastAsia" w:cs="Times New Roman"/>
                <w:color w:val="auto"/>
                <w:sz w:val="24"/>
                <w:szCs w:val="24"/>
                <w:highlight w:val="none"/>
                <w:lang w:val="en-US" w:eastAsia="zh-CN"/>
              </w:rPr>
              <w:t>CIP清洗系统设备清洗废水、化验室废水属于高浓度废水，进入自建一体化污水处理设施处理。</w:t>
            </w:r>
          </w:p>
          <w:p w14:paraId="11FCC465">
            <w:pPr>
              <w:spacing w:line="360" w:lineRule="auto"/>
              <w:ind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本次技改前后，员工人数不变，员工生活污水产生量及处理方式不变，仍进入园区已建油水分离器、化粪池进行处理。</w:t>
            </w:r>
            <w:r>
              <w:rPr>
                <w:rFonts w:hint="default" w:ascii="Times New Roman" w:hAnsi="Times New Roman" w:cs="Times New Roman"/>
                <w:color w:val="auto"/>
                <w:sz w:val="24"/>
                <w:szCs w:val="24"/>
                <w:highlight w:val="none"/>
                <w:lang w:eastAsia="zh-CN"/>
              </w:rPr>
              <w:t>因此</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本</w:t>
            </w:r>
            <w:r>
              <w:rPr>
                <w:rFonts w:hint="eastAsia" w:cs="Times New Roman"/>
                <w:color w:val="auto"/>
                <w:sz w:val="24"/>
                <w:szCs w:val="24"/>
                <w:highlight w:val="none"/>
                <w:lang w:val="en-US" w:eastAsia="zh-CN"/>
              </w:rPr>
              <w:t>次技改</w:t>
            </w:r>
            <w:r>
              <w:rPr>
                <w:rFonts w:hint="default" w:ascii="Times New Roman" w:hAnsi="Times New Roman" w:cs="Times New Roman"/>
                <w:color w:val="auto"/>
                <w:sz w:val="24"/>
                <w:szCs w:val="24"/>
                <w:highlight w:val="none"/>
                <w:lang w:eastAsia="zh-CN"/>
              </w:rPr>
              <w:t>项目不对</w:t>
            </w:r>
            <w:r>
              <w:rPr>
                <w:rFonts w:hint="eastAsia" w:cs="Times New Roman"/>
                <w:color w:val="auto"/>
                <w:sz w:val="24"/>
                <w:szCs w:val="24"/>
                <w:highlight w:val="none"/>
                <w:lang w:val="en-US" w:eastAsia="zh-CN"/>
              </w:rPr>
              <w:t>再</w:t>
            </w:r>
            <w:r>
              <w:rPr>
                <w:rFonts w:hint="default" w:ascii="Times New Roman" w:hAnsi="Times New Roman" w:cs="Times New Roman"/>
                <w:color w:val="auto"/>
                <w:sz w:val="24"/>
                <w:szCs w:val="24"/>
                <w:highlight w:val="none"/>
                <w:lang w:eastAsia="zh-CN"/>
              </w:rPr>
              <w:t>生活污水</w:t>
            </w:r>
            <w:r>
              <w:rPr>
                <w:rFonts w:hint="eastAsia" w:ascii="Times New Roman" w:hAnsi="Times New Roman" w:cs="Times New Roman"/>
                <w:color w:val="auto"/>
                <w:sz w:val="24"/>
                <w:szCs w:val="24"/>
                <w:highlight w:val="none"/>
                <w:lang w:val="en-US" w:eastAsia="zh-CN"/>
              </w:rPr>
              <w:t>处理处置方式</w:t>
            </w:r>
            <w:r>
              <w:rPr>
                <w:rFonts w:hint="default" w:ascii="Times New Roman" w:hAnsi="Times New Roman" w:cs="Times New Roman"/>
                <w:color w:val="auto"/>
                <w:sz w:val="24"/>
                <w:szCs w:val="24"/>
                <w:highlight w:val="none"/>
                <w:lang w:eastAsia="zh-CN"/>
              </w:rPr>
              <w:t>行</w:t>
            </w:r>
            <w:r>
              <w:rPr>
                <w:rFonts w:hint="eastAsia" w:ascii="Times New Roman" w:hAnsi="Times New Roman" w:cs="Times New Roman"/>
                <w:color w:val="auto"/>
                <w:sz w:val="24"/>
                <w:szCs w:val="24"/>
                <w:highlight w:val="none"/>
                <w:lang w:val="en-US" w:eastAsia="zh-CN"/>
              </w:rPr>
              <w:t>分析评价</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主要针对本次技改</w:t>
            </w:r>
            <w:r>
              <w:rPr>
                <w:rFonts w:hint="eastAsia" w:cs="Times New Roman"/>
                <w:color w:val="auto"/>
                <w:sz w:val="24"/>
                <w:szCs w:val="24"/>
                <w:highlight w:val="none"/>
                <w:lang w:val="en-US" w:eastAsia="zh-CN"/>
              </w:rPr>
              <w:t>部分</w:t>
            </w:r>
            <w:r>
              <w:rPr>
                <w:rFonts w:hint="eastAsia" w:ascii="Times New Roman" w:hAnsi="Times New Roman" w:cs="Times New Roman"/>
                <w:color w:val="auto"/>
                <w:sz w:val="24"/>
                <w:szCs w:val="24"/>
                <w:highlight w:val="none"/>
                <w:lang w:val="en-US" w:eastAsia="zh-CN"/>
              </w:rPr>
              <w:t>增加的废水进行分析评价。</w:t>
            </w:r>
          </w:p>
          <w:p w14:paraId="72D2F80B">
            <w:pPr>
              <w:spacing w:line="360" w:lineRule="auto"/>
              <w:ind w:firstLine="480" w:firstLineChars="200"/>
              <w:rPr>
                <w:rFonts w:hint="eastAsia" w:cs="Times New Roman"/>
                <w:color w:val="auto"/>
                <w:kern w:val="0"/>
                <w:sz w:val="24"/>
                <w:szCs w:val="24"/>
                <w:highlight w:val="none"/>
                <w:lang w:val="en-US" w:eastAsia="zh-CN" w:bidi="ar"/>
              </w:rPr>
            </w:pPr>
            <w:r>
              <w:rPr>
                <w:rFonts w:hint="eastAsia" w:cs="Times New Roman"/>
                <w:color w:val="auto"/>
                <w:sz w:val="24"/>
                <w:szCs w:val="24"/>
                <w:highlight w:val="none"/>
                <w:lang w:val="en-US" w:eastAsia="zh-CN"/>
              </w:rPr>
              <w:t>根据平衡分析章节可知，本次技改后增加的生产废水水量主要为纯水制备系统废水、锅炉排水、CIP清洗系统设备清洗废水，其中</w:t>
            </w:r>
            <w:r>
              <w:rPr>
                <w:rFonts w:hint="eastAsia" w:ascii="Times New Roman" w:hAnsi="Times New Roman" w:cs="Times New Roman"/>
                <w:b w:val="0"/>
                <w:bCs/>
                <w:color w:val="auto"/>
                <w:sz w:val="24"/>
                <w:szCs w:val="24"/>
                <w:highlight w:val="none"/>
                <w:lang w:val="en-US" w:eastAsia="zh-CN"/>
              </w:rPr>
              <w:t>纯水制备系统废水量增加708m</w:t>
            </w:r>
            <w:r>
              <w:rPr>
                <w:rFonts w:hint="eastAsia" w:ascii="Times New Roman" w:hAnsi="Times New Roman" w:cs="Times New Roman"/>
                <w:b w:val="0"/>
                <w:bCs/>
                <w:color w:val="auto"/>
                <w:sz w:val="24"/>
                <w:szCs w:val="24"/>
                <w:highlight w:val="none"/>
                <w:vertAlign w:val="superscript"/>
                <w:lang w:val="en-US" w:eastAsia="zh-CN"/>
              </w:rPr>
              <w:t>3</w:t>
            </w:r>
            <w:r>
              <w:rPr>
                <w:rFonts w:hint="eastAsia" w:ascii="Times New Roman" w:hAnsi="Times New Roman" w:cs="Times New Roman"/>
                <w:b w:val="0"/>
                <w:bCs/>
                <w:color w:val="auto"/>
                <w:sz w:val="24"/>
                <w:szCs w:val="24"/>
                <w:highlight w:val="none"/>
                <w:lang w:val="en-US" w:eastAsia="zh-CN"/>
              </w:rPr>
              <w:t>/a，锅炉排水</w:t>
            </w:r>
            <w:r>
              <w:rPr>
                <w:rFonts w:hint="eastAsia" w:cs="Times New Roman"/>
                <w:b w:val="0"/>
                <w:bCs/>
                <w:color w:val="auto"/>
                <w:sz w:val="24"/>
                <w:szCs w:val="24"/>
                <w:highlight w:val="none"/>
                <w:lang w:val="en-US" w:eastAsia="zh-CN"/>
              </w:rPr>
              <w:t>水</w:t>
            </w:r>
            <w:r>
              <w:rPr>
                <w:rFonts w:hint="eastAsia" w:ascii="Times New Roman" w:hAnsi="Times New Roman" w:cs="Times New Roman"/>
                <w:b w:val="0"/>
                <w:bCs/>
                <w:color w:val="auto"/>
                <w:sz w:val="24"/>
                <w:szCs w:val="24"/>
                <w:highlight w:val="none"/>
                <w:lang w:val="en-US" w:eastAsia="zh-CN"/>
              </w:rPr>
              <w:t>量增加</w:t>
            </w:r>
            <w:r>
              <w:rPr>
                <w:rFonts w:hint="eastAsia" w:cs="Times New Roman"/>
                <w:b w:val="0"/>
                <w:bCs/>
                <w:color w:val="auto"/>
                <w:sz w:val="24"/>
                <w:szCs w:val="24"/>
                <w:highlight w:val="none"/>
                <w:lang w:val="en-US" w:eastAsia="zh-CN"/>
              </w:rPr>
              <w:t>169</w:t>
            </w:r>
            <w:r>
              <w:rPr>
                <w:rFonts w:hint="eastAsia" w:ascii="Times New Roman" w:hAnsi="Times New Roman" w:cs="Times New Roman"/>
                <w:b w:val="0"/>
                <w:bCs/>
                <w:color w:val="auto"/>
                <w:sz w:val="24"/>
                <w:szCs w:val="24"/>
                <w:highlight w:val="none"/>
                <w:lang w:val="en-US" w:eastAsia="zh-CN"/>
              </w:rPr>
              <w:t>m</w:t>
            </w:r>
            <w:r>
              <w:rPr>
                <w:rFonts w:hint="eastAsia" w:ascii="Times New Roman" w:hAnsi="Times New Roman" w:cs="Times New Roman"/>
                <w:b w:val="0"/>
                <w:bCs/>
                <w:color w:val="auto"/>
                <w:sz w:val="24"/>
                <w:szCs w:val="24"/>
                <w:highlight w:val="none"/>
                <w:vertAlign w:val="superscript"/>
                <w:lang w:val="en-US" w:eastAsia="zh-CN"/>
              </w:rPr>
              <w:t>3</w:t>
            </w:r>
            <w:r>
              <w:rPr>
                <w:rFonts w:hint="eastAsia" w:ascii="Times New Roman" w:hAnsi="Times New Roman" w:cs="Times New Roman"/>
                <w:b w:val="0"/>
                <w:bCs/>
                <w:color w:val="auto"/>
                <w:sz w:val="24"/>
                <w:szCs w:val="24"/>
                <w:highlight w:val="none"/>
                <w:lang w:val="en-US" w:eastAsia="zh-CN"/>
              </w:rPr>
              <w:t>/a</w:t>
            </w:r>
            <w:r>
              <w:rPr>
                <w:rFonts w:hint="eastAsia" w:cs="Times New Roman"/>
                <w:b w:val="0"/>
                <w:bCs/>
                <w:color w:val="auto"/>
                <w:sz w:val="24"/>
                <w:szCs w:val="24"/>
                <w:highlight w:val="none"/>
                <w:lang w:val="en-US" w:eastAsia="zh-CN"/>
              </w:rPr>
              <w:t>，均</w:t>
            </w:r>
            <w:r>
              <w:rPr>
                <w:rFonts w:hint="eastAsia" w:cs="Times New Roman"/>
                <w:color w:val="auto"/>
                <w:sz w:val="24"/>
                <w:szCs w:val="24"/>
                <w:highlight w:val="none"/>
                <w:lang w:val="en-US" w:eastAsia="zh-CN"/>
              </w:rPr>
              <w:t>进入厂区已建</w:t>
            </w:r>
            <w:r>
              <w:rPr>
                <w:rFonts w:hint="eastAsia" w:ascii="Times New Roman" w:hAnsi="Times New Roman" w:cs="Times New Roman"/>
                <w:color w:val="auto"/>
                <w:kern w:val="0"/>
                <w:sz w:val="24"/>
                <w:szCs w:val="24"/>
                <w:highlight w:val="none"/>
                <w:lang w:val="en-US" w:eastAsia="zh-CN" w:bidi="ar"/>
              </w:rPr>
              <w:t>沉淀池</w:t>
            </w:r>
            <w:r>
              <w:rPr>
                <w:rFonts w:hint="eastAsia" w:cs="Times New Roman"/>
                <w:color w:val="auto"/>
                <w:kern w:val="0"/>
                <w:sz w:val="24"/>
                <w:szCs w:val="24"/>
                <w:highlight w:val="none"/>
                <w:lang w:val="en-US" w:eastAsia="zh-CN" w:bidi="ar"/>
              </w:rPr>
              <w:t>（</w:t>
            </w:r>
            <w:r>
              <w:rPr>
                <w:rFonts w:hint="eastAsia" w:ascii="Times New Roman" w:hAnsi="Times New Roman"/>
                <w:color w:val="auto"/>
                <w:sz w:val="24"/>
                <w:szCs w:val="24"/>
                <w:highlight w:val="none"/>
                <w:lang w:val="en-US" w:eastAsia="zh-CN"/>
              </w:rPr>
              <w:t>调节+气浮沉淀</w:t>
            </w:r>
            <w:r>
              <w:rPr>
                <w:rFonts w:hint="eastAsia" w:cs="Times New Roman"/>
                <w:color w:val="auto"/>
                <w:kern w:val="0"/>
                <w:sz w:val="24"/>
                <w:szCs w:val="24"/>
                <w:highlight w:val="none"/>
                <w:lang w:val="en-US" w:eastAsia="zh-CN" w:bidi="ar"/>
              </w:rPr>
              <w:t>）处理；</w:t>
            </w:r>
            <w:r>
              <w:rPr>
                <w:rFonts w:hint="eastAsia" w:cs="Times New Roman"/>
                <w:color w:val="auto"/>
                <w:sz w:val="24"/>
                <w:szCs w:val="24"/>
                <w:highlight w:val="none"/>
                <w:lang w:val="en-US" w:eastAsia="zh-CN"/>
              </w:rPr>
              <w:t>CIP清洗系统设备清洗废水</w:t>
            </w:r>
            <w:r>
              <w:rPr>
                <w:rFonts w:hint="eastAsia" w:cs="Times New Roman"/>
                <w:b w:val="0"/>
                <w:bCs/>
                <w:color w:val="auto"/>
                <w:sz w:val="24"/>
                <w:szCs w:val="24"/>
                <w:highlight w:val="none"/>
                <w:lang w:val="en-US" w:eastAsia="zh-CN"/>
              </w:rPr>
              <w:t>水</w:t>
            </w:r>
            <w:r>
              <w:rPr>
                <w:rFonts w:hint="eastAsia" w:ascii="Times New Roman" w:hAnsi="Times New Roman" w:cs="Times New Roman"/>
                <w:b w:val="0"/>
                <w:bCs/>
                <w:color w:val="auto"/>
                <w:sz w:val="24"/>
                <w:szCs w:val="24"/>
                <w:highlight w:val="none"/>
                <w:lang w:val="en-US" w:eastAsia="zh-CN"/>
              </w:rPr>
              <w:t>量增加</w:t>
            </w:r>
            <w:r>
              <w:rPr>
                <w:rFonts w:hint="eastAsia" w:cs="Times New Roman"/>
                <w:b w:val="0"/>
                <w:bCs/>
                <w:color w:val="auto"/>
                <w:sz w:val="24"/>
                <w:szCs w:val="24"/>
                <w:highlight w:val="none"/>
                <w:lang w:val="en-US" w:eastAsia="zh-CN"/>
              </w:rPr>
              <w:t>432</w:t>
            </w:r>
            <w:r>
              <w:rPr>
                <w:rFonts w:hint="eastAsia" w:ascii="Times New Roman" w:hAnsi="Times New Roman" w:cs="Times New Roman"/>
                <w:b w:val="0"/>
                <w:bCs/>
                <w:color w:val="auto"/>
                <w:sz w:val="24"/>
                <w:szCs w:val="24"/>
                <w:highlight w:val="none"/>
                <w:lang w:val="en-US" w:eastAsia="zh-CN"/>
              </w:rPr>
              <w:t>m</w:t>
            </w:r>
            <w:r>
              <w:rPr>
                <w:rFonts w:hint="eastAsia" w:ascii="Times New Roman" w:hAnsi="Times New Roman" w:cs="Times New Roman"/>
                <w:b w:val="0"/>
                <w:bCs/>
                <w:color w:val="auto"/>
                <w:sz w:val="24"/>
                <w:szCs w:val="24"/>
                <w:highlight w:val="none"/>
                <w:vertAlign w:val="superscript"/>
                <w:lang w:val="en-US" w:eastAsia="zh-CN"/>
              </w:rPr>
              <w:t>3</w:t>
            </w:r>
            <w:r>
              <w:rPr>
                <w:rFonts w:hint="eastAsia" w:ascii="Times New Roman" w:hAnsi="Times New Roman" w:cs="Times New Roman"/>
                <w:b w:val="0"/>
                <w:bCs/>
                <w:color w:val="auto"/>
                <w:sz w:val="24"/>
                <w:szCs w:val="24"/>
                <w:highlight w:val="none"/>
                <w:lang w:val="en-US" w:eastAsia="zh-CN"/>
              </w:rPr>
              <w:t>/a</w:t>
            </w:r>
            <w:r>
              <w:rPr>
                <w:rFonts w:hint="eastAsia" w:cs="Times New Roman"/>
                <w:b w:val="0"/>
                <w:bCs/>
                <w:color w:val="auto"/>
                <w:sz w:val="24"/>
                <w:szCs w:val="24"/>
                <w:highlight w:val="none"/>
                <w:lang w:val="en-US" w:eastAsia="zh-CN"/>
              </w:rPr>
              <w:t>，进入自建污水处理站处理</w:t>
            </w:r>
            <w:r>
              <w:rPr>
                <w:rFonts w:hint="eastAsia" w:cs="Times New Roman"/>
                <w:color w:val="auto"/>
                <w:kern w:val="0"/>
                <w:sz w:val="24"/>
                <w:szCs w:val="24"/>
                <w:highlight w:val="none"/>
                <w:lang w:val="en-US" w:eastAsia="zh-CN" w:bidi="ar"/>
              </w:rPr>
              <w:t>。</w:t>
            </w:r>
          </w:p>
          <w:p w14:paraId="6BEF6FF7">
            <w:pPr>
              <w:spacing w:line="360" w:lineRule="auto"/>
              <w:ind w:firstLine="480" w:firstLineChars="200"/>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纯水制备系统浓水产生浓度类比同类型项目，</w:t>
            </w:r>
            <w:r>
              <w:rPr>
                <w:rFonts w:hint="eastAsia" w:ascii="Times New Roman" w:hAnsi="Times New Roman" w:eastAsia="宋体" w:cs="Times New Roman"/>
                <w:color w:val="auto"/>
                <w:sz w:val="24"/>
                <w:lang w:val="en-US" w:eastAsia="zh-CN"/>
              </w:rPr>
              <w:t>产生浓度为SS50mg/L</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溶解性总固体1500mg/L；锅炉</w:t>
            </w:r>
            <w:r>
              <w:rPr>
                <w:rFonts w:hint="eastAsia" w:cs="Times New Roman"/>
                <w:color w:val="auto"/>
                <w:sz w:val="24"/>
                <w:lang w:val="en-US" w:eastAsia="zh-CN"/>
              </w:rPr>
              <w:t>排水</w:t>
            </w:r>
            <w:r>
              <w:rPr>
                <w:rFonts w:hint="eastAsia" w:ascii="Times New Roman" w:hAnsi="Times New Roman" w:eastAsia="宋体" w:cs="Times New Roman"/>
                <w:color w:val="auto"/>
                <w:sz w:val="24"/>
                <w:lang w:val="en-US" w:eastAsia="zh-CN"/>
              </w:rPr>
              <w:t>浓度参考平江大唐环保科技有限公司成型生物质燃料锅炉排污水2024年1月自行检测数据（其锅炉燃料种类、废水污染物种类等一致），各污染物浓度为COD：48mg/L、SS：9mg/L、总磷：0.46mg/L。</w:t>
            </w:r>
            <w:r>
              <w:rPr>
                <w:rFonts w:hint="eastAsia" w:cs="Times New Roman"/>
                <w:b w:val="0"/>
                <w:bCs w:val="0"/>
                <w:color w:val="auto"/>
                <w:sz w:val="24"/>
                <w:szCs w:val="24"/>
                <w:highlight w:val="none"/>
                <w:lang w:val="en-US" w:eastAsia="zh-CN"/>
              </w:rPr>
              <w:t>CIP清洗系统设备清洗废水产生浓度</w:t>
            </w:r>
            <w:r>
              <w:rPr>
                <w:rFonts w:hint="eastAsia" w:ascii="Times New Roman" w:hAnsi="Times New Roman" w:eastAsia="宋体" w:cs="Times New Roman"/>
                <w:color w:val="auto"/>
                <w:sz w:val="24"/>
                <w:lang w:val="en-US" w:eastAsia="zh-CN"/>
              </w:rPr>
              <w:t>参考《饮料制造废水治理工程技术规范》（HJ2048-2015）及同类企业经验，主要污染因子为COD</w:t>
            </w:r>
            <w:r>
              <w:rPr>
                <w:rFonts w:hint="eastAsia" w:cs="Times New Roman"/>
                <w:color w:val="auto"/>
                <w:sz w:val="24"/>
                <w:lang w:val="en-US" w:eastAsia="zh-CN"/>
              </w:rPr>
              <w:t>3700</w:t>
            </w:r>
            <w:r>
              <w:rPr>
                <w:rFonts w:hint="eastAsia" w:ascii="Times New Roman" w:hAnsi="Times New Roman" w:eastAsia="宋体" w:cs="Times New Roman"/>
                <w:color w:val="auto"/>
                <w:sz w:val="24"/>
                <w:lang w:val="en-US" w:eastAsia="zh-CN"/>
              </w:rPr>
              <w:t>mg/L、BOD</w:t>
            </w:r>
            <w:r>
              <w:rPr>
                <w:rFonts w:hint="eastAsia" w:cs="Times New Roman"/>
                <w:color w:val="auto"/>
                <w:sz w:val="24"/>
                <w:vertAlign w:val="subscript"/>
                <w:lang w:val="en-US" w:eastAsia="zh-CN"/>
              </w:rPr>
              <w:t>5</w:t>
            </w:r>
            <w:r>
              <w:rPr>
                <w:rFonts w:hint="eastAsia" w:cs="Times New Roman"/>
                <w:color w:val="auto"/>
                <w:sz w:val="24"/>
                <w:lang w:val="en-US" w:eastAsia="zh-CN"/>
              </w:rPr>
              <w:t>2900</w:t>
            </w:r>
            <w:r>
              <w:rPr>
                <w:rFonts w:hint="eastAsia" w:ascii="Times New Roman" w:hAnsi="Times New Roman" w:eastAsia="宋体" w:cs="Times New Roman"/>
                <w:color w:val="auto"/>
                <w:sz w:val="24"/>
                <w:lang w:val="en-US" w:eastAsia="zh-CN"/>
              </w:rPr>
              <w:t>mg/L、NH</w:t>
            </w:r>
            <w:r>
              <w:rPr>
                <w:rFonts w:hint="eastAsia" w:ascii="Times New Roman" w:hAnsi="Times New Roman" w:eastAsia="宋体" w:cs="Times New Roman"/>
                <w:color w:val="auto"/>
                <w:sz w:val="24"/>
                <w:vertAlign w:val="subscript"/>
                <w:lang w:val="en-US" w:eastAsia="zh-CN"/>
              </w:rPr>
              <w:t>3</w:t>
            </w:r>
            <w:r>
              <w:rPr>
                <w:rFonts w:hint="eastAsia" w:ascii="Times New Roman" w:hAnsi="Times New Roman" w:eastAsia="宋体" w:cs="Times New Roman"/>
                <w:color w:val="auto"/>
                <w:sz w:val="24"/>
                <w:lang w:val="en-US" w:eastAsia="zh-CN"/>
              </w:rPr>
              <w:t>-N</w:t>
            </w:r>
            <w:r>
              <w:rPr>
                <w:rFonts w:hint="eastAsia" w:cs="Times New Roman"/>
                <w:color w:val="auto"/>
                <w:sz w:val="24"/>
                <w:lang w:val="en-US" w:eastAsia="zh-CN"/>
              </w:rPr>
              <w:t>25</w:t>
            </w:r>
            <w:r>
              <w:rPr>
                <w:rFonts w:hint="eastAsia" w:ascii="Times New Roman" w:hAnsi="Times New Roman" w:eastAsia="宋体" w:cs="Times New Roman"/>
                <w:color w:val="auto"/>
                <w:sz w:val="24"/>
                <w:lang w:val="en-US" w:eastAsia="zh-CN"/>
              </w:rPr>
              <w:t>mg/L、TP</w:t>
            </w:r>
            <w:r>
              <w:rPr>
                <w:rFonts w:hint="eastAsia" w:cs="Times New Roman"/>
                <w:color w:val="auto"/>
                <w:sz w:val="24"/>
                <w:lang w:val="en-US" w:eastAsia="zh-CN"/>
              </w:rPr>
              <w:t>5</w:t>
            </w:r>
            <w:r>
              <w:rPr>
                <w:rFonts w:hint="eastAsia" w:ascii="Times New Roman" w:hAnsi="Times New Roman" w:eastAsia="宋体" w:cs="Times New Roman"/>
                <w:color w:val="auto"/>
                <w:sz w:val="24"/>
                <w:lang w:val="en-US" w:eastAsia="zh-CN"/>
              </w:rPr>
              <w:t>mg/L。</w:t>
            </w:r>
          </w:p>
          <w:p w14:paraId="3B3C8098">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本次技改项目增加的生产废水污染物产生情况详见下表。</w:t>
            </w:r>
          </w:p>
          <w:p w14:paraId="4E2757E8">
            <w:pPr>
              <w:widowControl/>
              <w:spacing w:line="240" w:lineRule="auto"/>
              <w:ind w:firstLine="482"/>
              <w:jc w:val="center"/>
              <w:rPr>
                <w:b/>
                <w:bCs/>
                <w:color w:val="auto"/>
                <w:szCs w:val="24"/>
                <w:highlight w:val="none"/>
                <w:lang w:eastAsia="zh-CN" w:bidi="ar"/>
              </w:rPr>
            </w:pPr>
            <w:r>
              <w:rPr>
                <w:rFonts w:hint="eastAsia" w:cs="Times New Roman"/>
                <w:b/>
                <w:bCs/>
                <w:color w:val="auto"/>
                <w:sz w:val="21"/>
                <w:szCs w:val="21"/>
                <w:highlight w:val="none"/>
                <w:lang w:val="en-US" w:eastAsia="zh-CN"/>
              </w:rPr>
              <w:t>表4-9 本次技改增加</w:t>
            </w:r>
            <w:r>
              <w:rPr>
                <w:rFonts w:hint="default" w:ascii="Times New Roman" w:hAnsi="Times New Roman" w:cs="Times New Roman"/>
                <w:b/>
                <w:bCs w:val="0"/>
                <w:color w:val="auto"/>
                <w:sz w:val="21"/>
                <w:szCs w:val="21"/>
                <w:highlight w:val="none"/>
              </w:rPr>
              <w:t>纯水</w:t>
            </w:r>
            <w:r>
              <w:rPr>
                <w:rFonts w:hint="default" w:ascii="Times New Roman" w:hAnsi="Times New Roman" w:cs="Times New Roman"/>
                <w:b/>
                <w:bCs w:val="0"/>
                <w:color w:val="auto"/>
                <w:sz w:val="21"/>
                <w:szCs w:val="21"/>
                <w:highlight w:val="none"/>
                <w:lang w:val="en-US" w:eastAsia="zh-CN"/>
              </w:rPr>
              <w:t>制备</w:t>
            </w:r>
            <w:r>
              <w:rPr>
                <w:rFonts w:hint="default" w:ascii="Times New Roman" w:hAnsi="Times New Roman" w:cs="Times New Roman"/>
                <w:b/>
                <w:bCs w:val="0"/>
                <w:color w:val="auto"/>
                <w:sz w:val="21"/>
                <w:szCs w:val="21"/>
                <w:highlight w:val="none"/>
              </w:rPr>
              <w:t>系统</w:t>
            </w:r>
            <w:r>
              <w:rPr>
                <w:rFonts w:hint="eastAsia" w:ascii="Times New Roman" w:hAnsi="Times New Roman" w:cs="Times New Roman"/>
                <w:b/>
                <w:bCs w:val="0"/>
                <w:color w:val="auto"/>
                <w:sz w:val="21"/>
                <w:szCs w:val="21"/>
                <w:highlight w:val="none"/>
                <w:lang w:val="en-US" w:eastAsia="zh-CN"/>
              </w:rPr>
              <w:t>废水</w:t>
            </w:r>
            <w:r>
              <w:rPr>
                <w:rFonts w:hint="eastAsia"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lang w:val="en-US" w:eastAsia="zh-CN"/>
              </w:rPr>
              <w:t>锅炉</w:t>
            </w:r>
            <w:r>
              <w:rPr>
                <w:rFonts w:hint="eastAsia" w:cs="Times New Roman"/>
                <w:b/>
                <w:bCs w:val="0"/>
                <w:color w:val="auto"/>
                <w:sz w:val="21"/>
                <w:szCs w:val="21"/>
                <w:highlight w:val="none"/>
                <w:lang w:val="en-US" w:eastAsia="zh-CN"/>
              </w:rPr>
              <w:t>排水</w:t>
            </w:r>
            <w:r>
              <w:rPr>
                <w:b/>
                <w:bCs/>
                <w:color w:val="auto"/>
                <w:szCs w:val="24"/>
                <w:highlight w:val="none"/>
                <w:lang w:eastAsia="zh-CN" w:bidi="ar"/>
              </w:rPr>
              <w:t>废水水质一览表</w:t>
            </w:r>
          </w:p>
          <w:tbl>
            <w:tblPr>
              <w:tblStyle w:val="22"/>
              <w:tblW w:w="8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08"/>
              <w:gridCol w:w="1033"/>
              <w:gridCol w:w="1234"/>
              <w:gridCol w:w="1031"/>
              <w:gridCol w:w="831"/>
              <w:gridCol w:w="1567"/>
            </w:tblGrid>
            <w:tr w14:paraId="516A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2308" w:type="dxa"/>
                  <w:vMerge w:val="restart"/>
                  <w:noWrap w:val="0"/>
                  <w:vAlign w:val="center"/>
                </w:tcPr>
                <w:p w14:paraId="57C09541">
                  <w:pPr>
                    <w:pStyle w:val="81"/>
                    <w:rPr>
                      <w:b/>
                      <w:bCs/>
                      <w:color w:val="auto"/>
                      <w:highlight w:val="none"/>
                      <w:lang w:eastAsia="zh-CN"/>
                    </w:rPr>
                  </w:pPr>
                  <w:r>
                    <w:rPr>
                      <w:b/>
                      <w:bCs/>
                      <w:color w:val="auto"/>
                      <w:highlight w:val="none"/>
                      <w:lang w:eastAsia="zh-CN"/>
                    </w:rPr>
                    <w:t>废水名称</w:t>
                  </w:r>
                </w:p>
              </w:tc>
              <w:tc>
                <w:tcPr>
                  <w:tcW w:w="1033" w:type="dxa"/>
                  <w:vMerge w:val="restart"/>
                  <w:noWrap w:val="0"/>
                  <w:vAlign w:val="center"/>
                </w:tcPr>
                <w:p w14:paraId="0B85F31A">
                  <w:pPr>
                    <w:pStyle w:val="81"/>
                    <w:rPr>
                      <w:b/>
                      <w:bCs/>
                      <w:color w:val="auto"/>
                      <w:highlight w:val="none"/>
                      <w:lang w:eastAsia="zh-CN"/>
                    </w:rPr>
                  </w:pPr>
                  <w:r>
                    <w:rPr>
                      <w:b/>
                      <w:bCs/>
                      <w:color w:val="auto"/>
                      <w:highlight w:val="none"/>
                      <w:lang w:eastAsia="zh-CN"/>
                    </w:rPr>
                    <w:t>废水量</w:t>
                  </w:r>
                </w:p>
                <w:p w14:paraId="49946363">
                  <w:pPr>
                    <w:pStyle w:val="81"/>
                    <w:rPr>
                      <w:b/>
                      <w:bCs/>
                      <w:color w:val="auto"/>
                      <w:highlight w:val="none"/>
                      <w:lang w:eastAsia="zh-CN"/>
                    </w:rPr>
                  </w:pPr>
                  <w:r>
                    <w:rPr>
                      <w:b/>
                      <w:bCs/>
                      <w:color w:val="auto"/>
                      <w:highlight w:val="none"/>
                      <w:lang w:eastAsia="zh-CN"/>
                    </w:rPr>
                    <w:t>（</w:t>
                  </w:r>
                  <w:r>
                    <w:rPr>
                      <w:rFonts w:hint="eastAsia"/>
                      <w:b/>
                      <w:bCs/>
                      <w:color w:val="auto"/>
                      <w:highlight w:val="none"/>
                      <w:lang w:val="en-US" w:eastAsia="zh-CN"/>
                    </w:rPr>
                    <w:t>m</w:t>
                  </w:r>
                  <w:r>
                    <w:rPr>
                      <w:rFonts w:hint="eastAsia"/>
                      <w:b/>
                      <w:bCs/>
                      <w:color w:val="auto"/>
                      <w:highlight w:val="none"/>
                      <w:vertAlign w:val="superscript"/>
                      <w:lang w:val="en-US" w:eastAsia="zh-CN"/>
                    </w:rPr>
                    <w:t>3</w:t>
                  </w:r>
                  <w:r>
                    <w:rPr>
                      <w:rFonts w:hint="eastAsia"/>
                      <w:b/>
                      <w:bCs/>
                      <w:color w:val="auto"/>
                      <w:highlight w:val="none"/>
                      <w:lang w:val="en-US" w:eastAsia="zh-CN"/>
                    </w:rPr>
                    <w:t>/a</w:t>
                  </w:r>
                  <w:r>
                    <w:rPr>
                      <w:rFonts w:hint="eastAsia"/>
                      <w:b/>
                      <w:bCs/>
                      <w:color w:val="auto"/>
                      <w:highlight w:val="none"/>
                      <w:lang w:eastAsia="zh-CN"/>
                    </w:rPr>
                    <w:t>）</w:t>
                  </w:r>
                </w:p>
              </w:tc>
              <w:tc>
                <w:tcPr>
                  <w:tcW w:w="4663" w:type="dxa"/>
                  <w:gridSpan w:val="4"/>
                  <w:noWrap w:val="0"/>
                  <w:vAlign w:val="center"/>
                </w:tcPr>
                <w:p w14:paraId="7A7B7702">
                  <w:pPr>
                    <w:pStyle w:val="81"/>
                    <w:rPr>
                      <w:b/>
                      <w:bCs/>
                      <w:color w:val="auto"/>
                      <w:highlight w:val="none"/>
                      <w:lang w:eastAsia="zh-CN"/>
                    </w:rPr>
                  </w:pPr>
                  <w:r>
                    <w:rPr>
                      <w:b/>
                      <w:bCs/>
                      <w:color w:val="auto"/>
                      <w:highlight w:val="none"/>
                      <w:lang w:eastAsia="zh-CN"/>
                    </w:rPr>
                    <w:t>污染因子（mg/L）</w:t>
                  </w:r>
                </w:p>
              </w:tc>
            </w:tr>
            <w:tr w14:paraId="3678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2308" w:type="dxa"/>
                  <w:vMerge w:val="continue"/>
                  <w:noWrap w:val="0"/>
                  <w:vAlign w:val="center"/>
                </w:tcPr>
                <w:p w14:paraId="4D7D4FA5">
                  <w:pPr>
                    <w:pStyle w:val="81"/>
                    <w:rPr>
                      <w:b/>
                      <w:bCs/>
                      <w:color w:val="auto"/>
                      <w:highlight w:val="none"/>
                      <w:lang w:eastAsia="zh-CN"/>
                    </w:rPr>
                  </w:pPr>
                </w:p>
              </w:tc>
              <w:tc>
                <w:tcPr>
                  <w:tcW w:w="1033" w:type="dxa"/>
                  <w:vMerge w:val="continue"/>
                  <w:noWrap w:val="0"/>
                  <w:vAlign w:val="center"/>
                </w:tcPr>
                <w:p w14:paraId="6EE18058">
                  <w:pPr>
                    <w:pStyle w:val="81"/>
                    <w:rPr>
                      <w:b/>
                      <w:bCs/>
                      <w:color w:val="auto"/>
                      <w:highlight w:val="none"/>
                      <w:lang w:eastAsia="zh-CN"/>
                    </w:rPr>
                  </w:pPr>
                </w:p>
              </w:tc>
              <w:tc>
                <w:tcPr>
                  <w:tcW w:w="1234" w:type="dxa"/>
                  <w:noWrap w:val="0"/>
                  <w:vAlign w:val="center"/>
                </w:tcPr>
                <w:p w14:paraId="3131B932">
                  <w:pPr>
                    <w:pStyle w:val="81"/>
                    <w:rPr>
                      <w:b/>
                      <w:bCs/>
                      <w:color w:val="auto"/>
                      <w:highlight w:val="none"/>
                      <w:lang w:eastAsia="zh-CN"/>
                    </w:rPr>
                  </w:pPr>
                  <w:r>
                    <w:rPr>
                      <w:b/>
                      <w:bCs/>
                      <w:color w:val="auto"/>
                      <w:highlight w:val="none"/>
                      <w:lang w:eastAsia="zh-CN"/>
                    </w:rPr>
                    <w:t>COD</w:t>
                  </w:r>
                </w:p>
              </w:tc>
              <w:tc>
                <w:tcPr>
                  <w:tcW w:w="1031" w:type="dxa"/>
                  <w:noWrap w:val="0"/>
                  <w:vAlign w:val="center"/>
                </w:tcPr>
                <w:p w14:paraId="79A024F9">
                  <w:pPr>
                    <w:pStyle w:val="81"/>
                    <w:rPr>
                      <w:b/>
                      <w:bCs/>
                      <w:color w:val="auto"/>
                      <w:highlight w:val="none"/>
                      <w:lang w:eastAsia="zh-CN"/>
                    </w:rPr>
                  </w:pPr>
                  <w:r>
                    <w:rPr>
                      <w:b/>
                      <w:bCs/>
                      <w:color w:val="auto"/>
                      <w:highlight w:val="none"/>
                      <w:lang w:eastAsia="zh-CN"/>
                    </w:rPr>
                    <w:t>SS</w:t>
                  </w:r>
                </w:p>
              </w:tc>
              <w:tc>
                <w:tcPr>
                  <w:tcW w:w="831" w:type="dxa"/>
                  <w:noWrap w:val="0"/>
                  <w:vAlign w:val="center"/>
                </w:tcPr>
                <w:p w14:paraId="315923AE">
                  <w:pPr>
                    <w:pStyle w:val="81"/>
                    <w:rPr>
                      <w:b/>
                      <w:bCs/>
                      <w:color w:val="auto"/>
                      <w:highlight w:val="none"/>
                      <w:lang w:eastAsia="zh-CN"/>
                    </w:rPr>
                  </w:pPr>
                  <w:r>
                    <w:rPr>
                      <w:rFonts w:hint="eastAsia"/>
                      <w:b/>
                      <w:bCs/>
                      <w:color w:val="auto"/>
                      <w:highlight w:val="none"/>
                      <w:lang w:eastAsia="zh-CN"/>
                    </w:rPr>
                    <w:t>TP</w:t>
                  </w:r>
                </w:p>
              </w:tc>
              <w:tc>
                <w:tcPr>
                  <w:tcW w:w="1567" w:type="dxa"/>
                  <w:noWrap w:val="0"/>
                  <w:vAlign w:val="center"/>
                </w:tcPr>
                <w:p w14:paraId="6984F2EE">
                  <w:pPr>
                    <w:pStyle w:val="81"/>
                    <w:rPr>
                      <w:b/>
                      <w:bCs/>
                      <w:color w:val="auto"/>
                      <w:highlight w:val="none"/>
                      <w:lang w:eastAsia="zh-CN"/>
                    </w:rPr>
                  </w:pPr>
                  <w:r>
                    <w:rPr>
                      <w:rFonts w:hint="eastAsia"/>
                      <w:b/>
                      <w:bCs/>
                      <w:color w:val="auto"/>
                      <w:highlight w:val="none"/>
                      <w:lang w:eastAsia="zh-CN"/>
                    </w:rPr>
                    <w:t>溶解性总固体</w:t>
                  </w:r>
                </w:p>
              </w:tc>
            </w:tr>
            <w:tr w14:paraId="7C06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2308" w:type="dxa"/>
                  <w:noWrap w:val="0"/>
                  <w:vAlign w:val="center"/>
                </w:tcPr>
                <w:p w14:paraId="1A0F2586">
                  <w:pPr>
                    <w:adjustRightInd w:val="0"/>
                    <w:snapToGrid w:val="0"/>
                    <w:jc w:val="center"/>
                    <w:rPr>
                      <w:color w:val="auto"/>
                      <w:highlight w:val="none"/>
                      <w:lang w:eastAsia="zh-CN"/>
                    </w:rPr>
                  </w:pPr>
                  <w:r>
                    <w:rPr>
                      <w:rFonts w:hint="default" w:ascii="Times New Roman" w:hAnsi="Times New Roman" w:cs="Times New Roman"/>
                      <w:b w:val="0"/>
                      <w:bCs/>
                      <w:color w:val="auto"/>
                      <w:sz w:val="21"/>
                      <w:szCs w:val="21"/>
                      <w:highlight w:val="none"/>
                    </w:rPr>
                    <w:t>纯水</w:t>
                  </w:r>
                  <w:r>
                    <w:rPr>
                      <w:rFonts w:hint="default" w:ascii="Times New Roman" w:hAnsi="Times New Roman" w:cs="Times New Roman"/>
                      <w:b w:val="0"/>
                      <w:bCs/>
                      <w:color w:val="auto"/>
                      <w:sz w:val="21"/>
                      <w:szCs w:val="21"/>
                      <w:highlight w:val="none"/>
                      <w:lang w:val="en-US" w:eastAsia="zh-CN"/>
                    </w:rPr>
                    <w:t>制备</w:t>
                  </w:r>
                  <w:r>
                    <w:rPr>
                      <w:rFonts w:hint="default" w:ascii="Times New Roman" w:hAnsi="Times New Roman" w:cs="Times New Roman"/>
                      <w:b w:val="0"/>
                      <w:bCs/>
                      <w:color w:val="auto"/>
                      <w:sz w:val="21"/>
                      <w:szCs w:val="21"/>
                      <w:highlight w:val="none"/>
                    </w:rPr>
                    <w:t>系统</w:t>
                  </w:r>
                  <w:r>
                    <w:rPr>
                      <w:rFonts w:hint="eastAsia" w:ascii="Times New Roman" w:hAnsi="Times New Roman" w:cs="Times New Roman"/>
                      <w:b w:val="0"/>
                      <w:bCs/>
                      <w:color w:val="auto"/>
                      <w:sz w:val="21"/>
                      <w:szCs w:val="21"/>
                      <w:highlight w:val="none"/>
                      <w:lang w:val="en-US" w:eastAsia="zh-CN"/>
                    </w:rPr>
                    <w:t>废水</w:t>
                  </w:r>
                </w:p>
              </w:tc>
              <w:tc>
                <w:tcPr>
                  <w:tcW w:w="1033" w:type="dxa"/>
                  <w:noWrap w:val="0"/>
                  <w:vAlign w:val="center"/>
                </w:tcPr>
                <w:p w14:paraId="3548E7C7">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708</w:t>
                  </w:r>
                </w:p>
              </w:tc>
              <w:tc>
                <w:tcPr>
                  <w:tcW w:w="1234" w:type="dxa"/>
                  <w:noWrap w:val="0"/>
                  <w:vAlign w:val="center"/>
                </w:tcPr>
                <w:p w14:paraId="50E3EE30">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031" w:type="dxa"/>
                  <w:noWrap w:val="0"/>
                  <w:vAlign w:val="center"/>
                </w:tcPr>
                <w:p w14:paraId="383FF524">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50</w:t>
                  </w:r>
                </w:p>
              </w:tc>
              <w:tc>
                <w:tcPr>
                  <w:tcW w:w="831" w:type="dxa"/>
                  <w:noWrap w:val="0"/>
                  <w:vAlign w:val="center"/>
                </w:tcPr>
                <w:p w14:paraId="4A63D285">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567" w:type="dxa"/>
                  <w:noWrap w:val="0"/>
                  <w:vAlign w:val="center"/>
                </w:tcPr>
                <w:p w14:paraId="0ACB2BEF">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1500</w:t>
                  </w:r>
                </w:p>
              </w:tc>
            </w:tr>
            <w:tr w14:paraId="3224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2308" w:type="dxa"/>
                  <w:shd w:val="clear" w:color="auto" w:fill="auto"/>
                  <w:noWrap w:val="0"/>
                  <w:vAlign w:val="center"/>
                </w:tcPr>
                <w:p w14:paraId="0CA040F1">
                  <w:pPr>
                    <w:adjustRightInd w:val="0"/>
                    <w:snapToGrid w:val="0"/>
                    <w:jc w:val="center"/>
                    <w:rPr>
                      <w:rFonts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锅炉</w:t>
                  </w:r>
                  <w:r>
                    <w:rPr>
                      <w:rFonts w:hint="eastAsia" w:cs="Times New Roman"/>
                      <w:b w:val="0"/>
                      <w:bCs/>
                      <w:color w:val="auto"/>
                      <w:sz w:val="21"/>
                      <w:szCs w:val="21"/>
                      <w:highlight w:val="none"/>
                      <w:lang w:val="en-US" w:eastAsia="zh-CN"/>
                    </w:rPr>
                    <w:t>排水</w:t>
                  </w:r>
                </w:p>
              </w:tc>
              <w:tc>
                <w:tcPr>
                  <w:tcW w:w="1033" w:type="dxa"/>
                  <w:noWrap w:val="0"/>
                  <w:vAlign w:val="center"/>
                </w:tcPr>
                <w:p w14:paraId="7FC37441">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169</w:t>
                  </w:r>
                </w:p>
              </w:tc>
              <w:tc>
                <w:tcPr>
                  <w:tcW w:w="1234" w:type="dxa"/>
                  <w:noWrap w:val="0"/>
                  <w:vAlign w:val="center"/>
                </w:tcPr>
                <w:p w14:paraId="548F31BC">
                  <w:pPr>
                    <w:keepNext w:val="0"/>
                    <w:keepLines w:val="0"/>
                    <w:widowControl/>
                    <w:suppressLineNumbers w:val="0"/>
                    <w:jc w:val="center"/>
                    <w:textAlignment w:val="center"/>
                    <w:rPr>
                      <w:rFonts w:hint="default" w:ascii="Times New Roman" w:hAnsi="Times New Roman" w:cs="Times New Roman"/>
                      <w:color w:val="auto"/>
                      <w:highlight w:val="none"/>
                      <w:lang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48</w:t>
                  </w:r>
                </w:p>
              </w:tc>
              <w:tc>
                <w:tcPr>
                  <w:tcW w:w="1031" w:type="dxa"/>
                  <w:noWrap w:val="0"/>
                  <w:vAlign w:val="center"/>
                </w:tcPr>
                <w:p w14:paraId="05F50521">
                  <w:pPr>
                    <w:keepNext w:val="0"/>
                    <w:keepLines w:val="0"/>
                    <w:widowControl/>
                    <w:suppressLineNumbers w:val="0"/>
                    <w:jc w:val="center"/>
                    <w:textAlignment w:val="center"/>
                    <w:rPr>
                      <w:rFonts w:hint="default" w:ascii="Times New Roman" w:hAnsi="Times New Roman" w:cs="Times New Roman"/>
                      <w:color w:val="auto"/>
                      <w:highlight w:val="none"/>
                      <w:lang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9</w:t>
                  </w:r>
                </w:p>
              </w:tc>
              <w:tc>
                <w:tcPr>
                  <w:tcW w:w="831" w:type="dxa"/>
                  <w:noWrap w:val="0"/>
                  <w:vAlign w:val="center"/>
                </w:tcPr>
                <w:p w14:paraId="5AA44D8E">
                  <w:pPr>
                    <w:keepNext w:val="0"/>
                    <w:keepLines w:val="0"/>
                    <w:widowControl/>
                    <w:suppressLineNumbers w:val="0"/>
                    <w:jc w:val="center"/>
                    <w:textAlignment w:val="center"/>
                    <w:rPr>
                      <w:rFonts w:hint="default" w:ascii="Times New Roman" w:hAnsi="Times New Roman" w:cs="Times New Roman"/>
                      <w:color w:val="auto"/>
                      <w:highlight w:val="none"/>
                      <w:lang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0.46</w:t>
                  </w:r>
                </w:p>
              </w:tc>
              <w:tc>
                <w:tcPr>
                  <w:tcW w:w="1567" w:type="dxa"/>
                  <w:noWrap w:val="0"/>
                  <w:vAlign w:val="center"/>
                </w:tcPr>
                <w:p w14:paraId="4C9528D6">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5A64E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2308" w:type="dxa"/>
                  <w:noWrap w:val="0"/>
                  <w:vAlign w:val="center"/>
                </w:tcPr>
                <w:p w14:paraId="55329C9B">
                  <w:pPr>
                    <w:pStyle w:val="81"/>
                    <w:rPr>
                      <w:rFonts w:hint="default"/>
                      <w:b/>
                      <w:bCs/>
                      <w:color w:val="auto"/>
                      <w:highlight w:val="none"/>
                      <w:lang w:val="en-US" w:eastAsia="zh-CN"/>
                    </w:rPr>
                  </w:pPr>
                  <w:r>
                    <w:rPr>
                      <w:rFonts w:hint="eastAsia"/>
                      <w:b/>
                      <w:bCs/>
                      <w:color w:val="auto"/>
                      <w:highlight w:val="none"/>
                      <w:lang w:val="en-US" w:eastAsia="zh-CN"/>
                    </w:rPr>
                    <w:t>综合后废水</w:t>
                  </w:r>
                </w:p>
              </w:tc>
              <w:tc>
                <w:tcPr>
                  <w:tcW w:w="1033" w:type="dxa"/>
                  <w:noWrap w:val="0"/>
                  <w:vAlign w:val="center"/>
                </w:tcPr>
                <w:p w14:paraId="57699ED1">
                  <w:pPr>
                    <w:keepNext w:val="0"/>
                    <w:keepLines w:val="0"/>
                    <w:widowControl/>
                    <w:suppressLineNumbers w:val="0"/>
                    <w:jc w:val="center"/>
                    <w:textAlignment w:val="center"/>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877</w:t>
                  </w:r>
                </w:p>
              </w:tc>
              <w:tc>
                <w:tcPr>
                  <w:tcW w:w="1234" w:type="dxa"/>
                  <w:noWrap w:val="0"/>
                  <w:vAlign w:val="center"/>
                </w:tcPr>
                <w:p w14:paraId="66ABA884">
                  <w:pPr>
                    <w:keepNext w:val="0"/>
                    <w:keepLines w:val="0"/>
                    <w:widowControl/>
                    <w:suppressLineNumbers w:val="0"/>
                    <w:jc w:val="center"/>
                    <w:textAlignment w:val="center"/>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9</w:t>
                  </w:r>
                </w:p>
              </w:tc>
              <w:tc>
                <w:tcPr>
                  <w:tcW w:w="1031" w:type="dxa"/>
                  <w:noWrap w:val="0"/>
                  <w:vAlign w:val="center"/>
                </w:tcPr>
                <w:p w14:paraId="425BF284">
                  <w:pPr>
                    <w:keepNext w:val="0"/>
                    <w:keepLines w:val="0"/>
                    <w:widowControl/>
                    <w:suppressLineNumbers w:val="0"/>
                    <w:jc w:val="center"/>
                    <w:textAlignment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42</w:t>
                  </w:r>
                </w:p>
              </w:tc>
              <w:tc>
                <w:tcPr>
                  <w:tcW w:w="831" w:type="dxa"/>
                  <w:noWrap w:val="0"/>
                  <w:vAlign w:val="center"/>
                </w:tcPr>
                <w:p w14:paraId="7E1793B5">
                  <w:pPr>
                    <w:keepNext w:val="0"/>
                    <w:keepLines w:val="0"/>
                    <w:widowControl/>
                    <w:suppressLineNumbers w:val="0"/>
                    <w:jc w:val="center"/>
                    <w:textAlignment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0.09</w:t>
                  </w:r>
                </w:p>
              </w:tc>
              <w:tc>
                <w:tcPr>
                  <w:tcW w:w="1567" w:type="dxa"/>
                  <w:noWrap w:val="0"/>
                  <w:vAlign w:val="center"/>
                </w:tcPr>
                <w:p w14:paraId="1E0C2279">
                  <w:pPr>
                    <w:keepNext w:val="0"/>
                    <w:keepLines w:val="0"/>
                    <w:widowControl/>
                    <w:suppressLineNumbers w:val="0"/>
                    <w:jc w:val="center"/>
                    <w:textAlignment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1211</w:t>
                  </w:r>
                </w:p>
              </w:tc>
            </w:tr>
          </w:tbl>
          <w:p w14:paraId="0A75D5AA">
            <w:pPr>
              <w:widowControl/>
              <w:spacing w:line="240" w:lineRule="auto"/>
              <w:ind w:firstLine="482"/>
              <w:jc w:val="center"/>
              <w:rPr>
                <w:rFonts w:hint="eastAsia" w:cs="Times New Roman"/>
                <w:b/>
                <w:bCs/>
                <w:color w:val="auto"/>
                <w:sz w:val="21"/>
                <w:szCs w:val="21"/>
                <w:highlight w:val="none"/>
                <w:lang w:val="en-US" w:eastAsia="zh-CN"/>
              </w:rPr>
            </w:pPr>
          </w:p>
          <w:p w14:paraId="6503C5CC">
            <w:pPr>
              <w:widowControl/>
              <w:spacing w:line="240" w:lineRule="auto"/>
              <w:ind w:firstLine="482"/>
              <w:jc w:val="center"/>
              <w:rPr>
                <w:b/>
                <w:bCs/>
                <w:color w:val="auto"/>
                <w:szCs w:val="24"/>
                <w:highlight w:val="none"/>
                <w:lang w:eastAsia="zh-CN" w:bidi="ar"/>
              </w:rPr>
            </w:pPr>
            <w:r>
              <w:rPr>
                <w:rFonts w:hint="eastAsia" w:cs="Times New Roman"/>
                <w:b/>
                <w:bCs/>
                <w:color w:val="auto"/>
                <w:sz w:val="21"/>
                <w:szCs w:val="21"/>
                <w:highlight w:val="none"/>
                <w:lang w:val="en-US" w:eastAsia="zh-CN"/>
              </w:rPr>
              <w:t>表4-10 本次技改增加CIP清洗系统设备清洗废水</w:t>
            </w:r>
            <w:r>
              <w:rPr>
                <w:b/>
                <w:bCs/>
                <w:color w:val="auto"/>
                <w:szCs w:val="24"/>
                <w:highlight w:val="none"/>
                <w:lang w:eastAsia="zh-CN" w:bidi="ar"/>
              </w:rPr>
              <w:t>水质一览表</w:t>
            </w:r>
          </w:p>
          <w:tbl>
            <w:tblPr>
              <w:tblStyle w:val="22"/>
              <w:tblW w:w="8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37"/>
              <w:gridCol w:w="1023"/>
              <w:gridCol w:w="1118"/>
              <w:gridCol w:w="887"/>
              <w:gridCol w:w="933"/>
              <w:gridCol w:w="525"/>
              <w:gridCol w:w="995"/>
            </w:tblGrid>
            <w:tr w14:paraId="6372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2537" w:type="dxa"/>
                  <w:vMerge w:val="restart"/>
                  <w:noWrap w:val="0"/>
                  <w:vAlign w:val="center"/>
                </w:tcPr>
                <w:p w14:paraId="137CDED3">
                  <w:pPr>
                    <w:pStyle w:val="81"/>
                    <w:rPr>
                      <w:b/>
                      <w:bCs/>
                      <w:color w:val="auto"/>
                      <w:highlight w:val="none"/>
                      <w:lang w:eastAsia="zh-CN"/>
                    </w:rPr>
                  </w:pPr>
                  <w:r>
                    <w:rPr>
                      <w:b/>
                      <w:bCs/>
                      <w:color w:val="auto"/>
                      <w:highlight w:val="none"/>
                      <w:lang w:eastAsia="zh-CN"/>
                    </w:rPr>
                    <w:t>废水名称</w:t>
                  </w:r>
                </w:p>
              </w:tc>
              <w:tc>
                <w:tcPr>
                  <w:tcW w:w="1023" w:type="dxa"/>
                  <w:vMerge w:val="restart"/>
                  <w:noWrap w:val="0"/>
                  <w:vAlign w:val="center"/>
                </w:tcPr>
                <w:p w14:paraId="2E4EF490">
                  <w:pPr>
                    <w:pStyle w:val="81"/>
                    <w:rPr>
                      <w:b/>
                      <w:bCs/>
                      <w:color w:val="auto"/>
                      <w:highlight w:val="none"/>
                      <w:lang w:eastAsia="zh-CN"/>
                    </w:rPr>
                  </w:pPr>
                  <w:r>
                    <w:rPr>
                      <w:b/>
                      <w:bCs/>
                      <w:color w:val="auto"/>
                      <w:highlight w:val="none"/>
                      <w:lang w:eastAsia="zh-CN"/>
                    </w:rPr>
                    <w:t>废水量</w:t>
                  </w:r>
                </w:p>
                <w:p w14:paraId="3AFCD4F3">
                  <w:pPr>
                    <w:pStyle w:val="81"/>
                    <w:rPr>
                      <w:b/>
                      <w:bCs/>
                      <w:color w:val="auto"/>
                      <w:highlight w:val="none"/>
                      <w:lang w:eastAsia="zh-CN"/>
                    </w:rPr>
                  </w:pPr>
                  <w:r>
                    <w:rPr>
                      <w:b/>
                      <w:bCs/>
                      <w:color w:val="auto"/>
                      <w:highlight w:val="none"/>
                      <w:lang w:eastAsia="zh-CN"/>
                    </w:rPr>
                    <w:t>（</w:t>
                  </w:r>
                  <w:r>
                    <w:rPr>
                      <w:rFonts w:hint="eastAsia"/>
                      <w:b/>
                      <w:bCs/>
                      <w:color w:val="auto"/>
                      <w:highlight w:val="none"/>
                      <w:lang w:val="en-US" w:eastAsia="zh-CN"/>
                    </w:rPr>
                    <w:t>m</w:t>
                  </w:r>
                  <w:r>
                    <w:rPr>
                      <w:rFonts w:hint="eastAsia"/>
                      <w:b/>
                      <w:bCs/>
                      <w:color w:val="auto"/>
                      <w:highlight w:val="none"/>
                      <w:vertAlign w:val="superscript"/>
                      <w:lang w:val="en-US" w:eastAsia="zh-CN"/>
                    </w:rPr>
                    <w:t>3</w:t>
                  </w:r>
                  <w:r>
                    <w:rPr>
                      <w:rFonts w:hint="eastAsia"/>
                      <w:b/>
                      <w:bCs/>
                      <w:color w:val="auto"/>
                      <w:highlight w:val="none"/>
                      <w:lang w:val="en-US" w:eastAsia="zh-CN"/>
                    </w:rPr>
                    <w:t>/a</w:t>
                  </w:r>
                  <w:r>
                    <w:rPr>
                      <w:rFonts w:hint="eastAsia"/>
                      <w:b/>
                      <w:bCs/>
                      <w:color w:val="auto"/>
                      <w:highlight w:val="none"/>
                      <w:lang w:eastAsia="zh-CN"/>
                    </w:rPr>
                    <w:t>）</w:t>
                  </w:r>
                </w:p>
              </w:tc>
              <w:tc>
                <w:tcPr>
                  <w:tcW w:w="4458" w:type="dxa"/>
                  <w:gridSpan w:val="5"/>
                  <w:noWrap w:val="0"/>
                  <w:vAlign w:val="center"/>
                </w:tcPr>
                <w:p w14:paraId="2F722603">
                  <w:pPr>
                    <w:pStyle w:val="81"/>
                    <w:rPr>
                      <w:b/>
                      <w:bCs/>
                      <w:color w:val="auto"/>
                      <w:highlight w:val="none"/>
                      <w:lang w:eastAsia="zh-CN"/>
                    </w:rPr>
                  </w:pPr>
                  <w:r>
                    <w:rPr>
                      <w:b/>
                      <w:bCs/>
                      <w:color w:val="auto"/>
                      <w:highlight w:val="none"/>
                      <w:lang w:eastAsia="zh-CN"/>
                    </w:rPr>
                    <w:t>污染因子（mg/L）</w:t>
                  </w:r>
                </w:p>
              </w:tc>
            </w:tr>
            <w:tr w14:paraId="5AA0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537" w:type="dxa"/>
                  <w:vMerge w:val="continue"/>
                  <w:noWrap w:val="0"/>
                  <w:vAlign w:val="center"/>
                </w:tcPr>
                <w:p w14:paraId="04F2A86D">
                  <w:pPr>
                    <w:pStyle w:val="81"/>
                    <w:rPr>
                      <w:b/>
                      <w:bCs/>
                      <w:color w:val="auto"/>
                      <w:highlight w:val="none"/>
                      <w:lang w:eastAsia="zh-CN"/>
                    </w:rPr>
                  </w:pPr>
                </w:p>
              </w:tc>
              <w:tc>
                <w:tcPr>
                  <w:tcW w:w="1023" w:type="dxa"/>
                  <w:vMerge w:val="continue"/>
                  <w:noWrap w:val="0"/>
                  <w:vAlign w:val="center"/>
                </w:tcPr>
                <w:p w14:paraId="45B5FC85">
                  <w:pPr>
                    <w:pStyle w:val="81"/>
                    <w:rPr>
                      <w:b/>
                      <w:bCs/>
                      <w:color w:val="auto"/>
                      <w:highlight w:val="none"/>
                      <w:lang w:eastAsia="zh-CN"/>
                    </w:rPr>
                  </w:pPr>
                </w:p>
              </w:tc>
              <w:tc>
                <w:tcPr>
                  <w:tcW w:w="1118" w:type="dxa"/>
                  <w:noWrap w:val="0"/>
                  <w:vAlign w:val="center"/>
                </w:tcPr>
                <w:p w14:paraId="17A04082">
                  <w:pPr>
                    <w:pStyle w:val="81"/>
                    <w:rPr>
                      <w:b/>
                      <w:bCs/>
                      <w:color w:val="auto"/>
                      <w:highlight w:val="none"/>
                      <w:lang w:eastAsia="zh-CN"/>
                    </w:rPr>
                  </w:pPr>
                  <w:r>
                    <w:rPr>
                      <w:b/>
                      <w:bCs/>
                      <w:color w:val="auto"/>
                      <w:highlight w:val="none"/>
                      <w:lang w:eastAsia="zh-CN"/>
                    </w:rPr>
                    <w:t>COD</w:t>
                  </w:r>
                </w:p>
              </w:tc>
              <w:tc>
                <w:tcPr>
                  <w:tcW w:w="887" w:type="dxa"/>
                  <w:noWrap w:val="0"/>
                  <w:vAlign w:val="center"/>
                </w:tcPr>
                <w:p w14:paraId="498F560C">
                  <w:pPr>
                    <w:pStyle w:val="81"/>
                    <w:rPr>
                      <w:rFonts w:hint="default"/>
                      <w:b/>
                      <w:bCs/>
                      <w:color w:val="auto"/>
                      <w:highlight w:val="none"/>
                      <w:lang w:val="en-US" w:eastAsia="zh-CN"/>
                    </w:rPr>
                  </w:pPr>
                  <w:r>
                    <w:rPr>
                      <w:rFonts w:hint="eastAsia"/>
                      <w:b/>
                      <w:bCs/>
                      <w:color w:val="auto"/>
                      <w:highlight w:val="none"/>
                      <w:lang w:val="en-US" w:eastAsia="zh-CN"/>
                    </w:rPr>
                    <w:t>BOD</w:t>
                  </w:r>
                  <w:r>
                    <w:rPr>
                      <w:rFonts w:hint="eastAsia" w:cs="Times New Roman"/>
                      <w:color w:val="auto"/>
                      <w:sz w:val="21"/>
                      <w:szCs w:val="21"/>
                      <w:vertAlign w:val="subscript"/>
                      <w:lang w:val="en-US" w:eastAsia="zh-CN"/>
                    </w:rPr>
                    <w:t>5</w:t>
                  </w:r>
                </w:p>
              </w:tc>
              <w:tc>
                <w:tcPr>
                  <w:tcW w:w="933" w:type="dxa"/>
                  <w:noWrap w:val="0"/>
                  <w:vAlign w:val="center"/>
                </w:tcPr>
                <w:p w14:paraId="61488B03">
                  <w:pPr>
                    <w:pStyle w:val="81"/>
                    <w:rPr>
                      <w:b/>
                      <w:bCs/>
                      <w:color w:val="auto"/>
                      <w:highlight w:val="none"/>
                      <w:lang w:eastAsia="zh-CN"/>
                    </w:rPr>
                  </w:pPr>
                  <w:r>
                    <w:rPr>
                      <w:rFonts w:hint="eastAsia" w:ascii="Times New Roman" w:hAnsi="Times New Roman" w:eastAsia="宋体" w:cs="Times New Roman"/>
                      <w:b/>
                      <w:bCs/>
                      <w:color w:val="auto"/>
                      <w:sz w:val="21"/>
                      <w:szCs w:val="21"/>
                      <w:highlight w:val="none"/>
                      <w:lang w:val="en-US" w:eastAsia="zh-CN"/>
                    </w:rPr>
                    <w:t>NH</w:t>
                  </w:r>
                  <w:r>
                    <w:rPr>
                      <w:rFonts w:hint="eastAsia" w:ascii="Times New Roman" w:hAnsi="Times New Roman" w:eastAsia="宋体" w:cs="Times New Roman"/>
                      <w:b/>
                      <w:bCs/>
                      <w:color w:val="auto"/>
                      <w:sz w:val="21"/>
                      <w:szCs w:val="21"/>
                      <w:highlight w:val="none"/>
                      <w:vertAlign w:val="subscript"/>
                      <w:lang w:val="en-US" w:eastAsia="zh-CN"/>
                    </w:rPr>
                    <w:t>3</w:t>
                  </w:r>
                  <w:r>
                    <w:rPr>
                      <w:rFonts w:hint="eastAsia" w:ascii="Times New Roman" w:hAnsi="Times New Roman" w:eastAsia="宋体" w:cs="Times New Roman"/>
                      <w:b/>
                      <w:bCs/>
                      <w:color w:val="auto"/>
                      <w:sz w:val="21"/>
                      <w:szCs w:val="21"/>
                      <w:highlight w:val="none"/>
                      <w:lang w:val="en-US" w:eastAsia="zh-CN"/>
                    </w:rPr>
                    <w:t>-N</w:t>
                  </w:r>
                </w:p>
              </w:tc>
              <w:tc>
                <w:tcPr>
                  <w:tcW w:w="525" w:type="dxa"/>
                  <w:noWrap w:val="0"/>
                  <w:vAlign w:val="center"/>
                </w:tcPr>
                <w:p w14:paraId="59DD86F0">
                  <w:pPr>
                    <w:pStyle w:val="81"/>
                    <w:rPr>
                      <w:b/>
                      <w:bCs/>
                      <w:color w:val="auto"/>
                      <w:highlight w:val="none"/>
                      <w:lang w:eastAsia="zh-CN"/>
                    </w:rPr>
                  </w:pPr>
                  <w:r>
                    <w:rPr>
                      <w:b/>
                      <w:bCs/>
                      <w:color w:val="auto"/>
                      <w:highlight w:val="none"/>
                      <w:lang w:eastAsia="zh-CN"/>
                    </w:rPr>
                    <w:t>SS</w:t>
                  </w:r>
                </w:p>
              </w:tc>
              <w:tc>
                <w:tcPr>
                  <w:tcW w:w="995" w:type="dxa"/>
                  <w:noWrap w:val="0"/>
                  <w:vAlign w:val="center"/>
                </w:tcPr>
                <w:p w14:paraId="5BCC55B9">
                  <w:pPr>
                    <w:pStyle w:val="81"/>
                    <w:rPr>
                      <w:b/>
                      <w:bCs/>
                      <w:color w:val="auto"/>
                      <w:highlight w:val="none"/>
                      <w:lang w:eastAsia="zh-CN"/>
                    </w:rPr>
                  </w:pPr>
                  <w:r>
                    <w:rPr>
                      <w:rFonts w:hint="eastAsia"/>
                      <w:b/>
                      <w:bCs/>
                      <w:color w:val="auto"/>
                      <w:highlight w:val="none"/>
                      <w:lang w:eastAsia="zh-CN"/>
                    </w:rPr>
                    <w:t>TP</w:t>
                  </w:r>
                </w:p>
              </w:tc>
            </w:tr>
            <w:tr w14:paraId="2029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2537" w:type="dxa"/>
                  <w:noWrap w:val="0"/>
                  <w:vAlign w:val="center"/>
                </w:tcPr>
                <w:p w14:paraId="655F19FE">
                  <w:pPr>
                    <w:adjustRightInd w:val="0"/>
                    <w:snapToGrid w:val="0"/>
                    <w:jc w:val="center"/>
                    <w:rPr>
                      <w:color w:val="auto"/>
                      <w:highlight w:val="none"/>
                      <w:lang w:eastAsia="zh-CN"/>
                    </w:rPr>
                  </w:pPr>
                  <w:r>
                    <w:rPr>
                      <w:rFonts w:hint="eastAsia" w:cs="Times New Roman"/>
                      <w:color w:val="auto"/>
                      <w:sz w:val="21"/>
                      <w:szCs w:val="21"/>
                      <w:highlight w:val="none"/>
                      <w:lang w:val="en-US" w:eastAsia="zh-CN"/>
                    </w:rPr>
                    <w:t>CIP清洗系统设备清洗废水</w:t>
                  </w:r>
                </w:p>
              </w:tc>
              <w:tc>
                <w:tcPr>
                  <w:tcW w:w="1023" w:type="dxa"/>
                  <w:noWrap w:val="0"/>
                  <w:vAlign w:val="center"/>
                </w:tcPr>
                <w:p w14:paraId="567A0257">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432</w:t>
                  </w:r>
                </w:p>
              </w:tc>
              <w:tc>
                <w:tcPr>
                  <w:tcW w:w="1118" w:type="dxa"/>
                  <w:noWrap w:val="0"/>
                  <w:vAlign w:val="center"/>
                </w:tcPr>
                <w:p w14:paraId="2BA6D6EC">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3700</w:t>
                  </w:r>
                </w:p>
              </w:tc>
              <w:tc>
                <w:tcPr>
                  <w:tcW w:w="887" w:type="dxa"/>
                  <w:noWrap w:val="0"/>
                  <w:vAlign w:val="center"/>
                </w:tcPr>
                <w:p w14:paraId="4867207C">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2900</w:t>
                  </w:r>
                </w:p>
              </w:tc>
              <w:tc>
                <w:tcPr>
                  <w:tcW w:w="933" w:type="dxa"/>
                  <w:noWrap w:val="0"/>
                  <w:vAlign w:val="center"/>
                </w:tcPr>
                <w:p w14:paraId="1893C69C">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25</w:t>
                  </w:r>
                </w:p>
              </w:tc>
              <w:tc>
                <w:tcPr>
                  <w:tcW w:w="525" w:type="dxa"/>
                  <w:noWrap w:val="0"/>
                  <w:vAlign w:val="center"/>
                </w:tcPr>
                <w:p w14:paraId="50367A34">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500</w:t>
                  </w:r>
                </w:p>
              </w:tc>
              <w:tc>
                <w:tcPr>
                  <w:tcW w:w="995" w:type="dxa"/>
                  <w:noWrap w:val="0"/>
                  <w:vAlign w:val="center"/>
                </w:tcPr>
                <w:p w14:paraId="72186AAE">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w:t>
                  </w:r>
                </w:p>
              </w:tc>
            </w:tr>
          </w:tbl>
          <w:p w14:paraId="038D428D">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highlight w:val="none"/>
                <w:lang w:val="en-US" w:eastAsia="zh-CN"/>
              </w:rPr>
              <w:t>根据建设单位提供的污水处理设施相关设计资料，</w:t>
            </w:r>
            <w:r>
              <w:rPr>
                <w:rFonts w:hint="default" w:ascii="Times New Roman" w:hAnsi="Times New Roman" w:cs="Times New Roman"/>
                <w:color w:val="auto"/>
                <w:sz w:val="24"/>
                <w:szCs w:val="24"/>
                <w:highlight w:val="none"/>
                <w:lang w:val="en-US" w:eastAsia="zh-CN"/>
              </w:rPr>
              <w:t>沉淀池（</w:t>
            </w:r>
            <w:r>
              <w:rPr>
                <w:rFonts w:hint="eastAsia"/>
                <w:color w:val="auto"/>
                <w:sz w:val="24"/>
                <w:szCs w:val="24"/>
                <w:highlight w:val="none"/>
                <w:lang w:val="en-US" w:eastAsia="zh-CN"/>
              </w:rPr>
              <w:t>调</w:t>
            </w:r>
            <w:r>
              <w:rPr>
                <w:rFonts w:hint="eastAsia"/>
                <w:color w:val="auto"/>
                <w:sz w:val="24"/>
                <w:szCs w:val="24"/>
                <w:lang w:val="en-US" w:eastAsia="zh-CN"/>
              </w:rPr>
              <w:t>节+气浮沉淀</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对各污染物的去除效率分别为SS约为60%、CODcr约为20%</w:t>
            </w:r>
            <w:r>
              <w:rPr>
                <w:rFonts w:hint="eastAsia" w:cs="Times New Roman"/>
                <w:color w:val="auto"/>
                <w:sz w:val="24"/>
                <w:szCs w:val="24"/>
                <w:vertAlign w:val="baseline"/>
                <w:lang w:val="en-US" w:eastAsia="zh-CN"/>
              </w:rPr>
              <w:t>；一体化污水处理站对各</w:t>
            </w:r>
            <w:r>
              <w:rPr>
                <w:rFonts w:hint="eastAsia" w:ascii="Times New Roman" w:hAnsi="Times New Roman" w:cs="Times New Roman"/>
                <w:color w:val="auto"/>
                <w:sz w:val="24"/>
                <w:szCs w:val="24"/>
                <w:lang w:val="en-US" w:eastAsia="zh-CN"/>
              </w:rPr>
              <w:t>污染物的去除效率分别为</w:t>
            </w:r>
            <w:r>
              <w:rPr>
                <w:rFonts w:hint="eastAsia" w:cs="Times New Roman"/>
                <w:color w:val="auto"/>
                <w:sz w:val="24"/>
                <w:szCs w:val="24"/>
                <w:lang w:val="en-US" w:eastAsia="zh-CN"/>
              </w:rPr>
              <w:t>：COD95%~98%、BOD</w:t>
            </w:r>
            <w:r>
              <w:rPr>
                <w:rFonts w:hint="eastAsia" w:cs="Times New Roman"/>
                <w:color w:val="auto"/>
                <w:sz w:val="24"/>
                <w:szCs w:val="24"/>
                <w:vertAlign w:val="subscript"/>
                <w:lang w:val="en-US" w:eastAsia="zh-CN"/>
              </w:rPr>
              <w:t>5</w:t>
            </w:r>
            <w:r>
              <w:rPr>
                <w:rFonts w:hint="eastAsia" w:cs="Times New Roman"/>
                <w:color w:val="auto"/>
                <w:sz w:val="24"/>
                <w:szCs w:val="24"/>
                <w:lang w:val="en-US" w:eastAsia="zh-CN"/>
              </w:rPr>
              <w:t>：95%~98%、氨氮：85%~90%、总磷：80%~90%。</w:t>
            </w:r>
            <w:r>
              <w:rPr>
                <w:rFonts w:hint="eastAsia" w:cs="Times New Roman"/>
                <w:color w:val="auto"/>
                <w:sz w:val="24"/>
                <w:szCs w:val="24"/>
                <w:vertAlign w:val="baseline"/>
                <w:lang w:val="en-US" w:eastAsia="zh-CN"/>
              </w:rPr>
              <w:t>则</w:t>
            </w:r>
            <w:r>
              <w:rPr>
                <w:rFonts w:hint="eastAsia"/>
                <w:color w:val="auto"/>
                <w:sz w:val="24"/>
                <w:szCs w:val="24"/>
                <w:highlight w:val="none"/>
                <w:lang w:val="en-US" w:eastAsia="zh-CN" w:bidi="ar"/>
              </w:rPr>
              <w:t>废水中</w:t>
            </w:r>
            <w:r>
              <w:rPr>
                <w:color w:val="auto"/>
                <w:sz w:val="24"/>
                <w:szCs w:val="24"/>
                <w:highlight w:val="none"/>
                <w:lang w:eastAsia="zh-CN" w:bidi="ar"/>
              </w:rPr>
              <w:t>污染物产</w:t>
            </w:r>
            <w:r>
              <w:rPr>
                <w:rFonts w:hint="eastAsia"/>
                <w:color w:val="auto"/>
                <w:sz w:val="24"/>
                <w:szCs w:val="24"/>
                <w:highlight w:val="none"/>
                <w:lang w:eastAsia="zh-CN" w:bidi="ar"/>
              </w:rPr>
              <w:t>排</w:t>
            </w:r>
            <w:r>
              <w:rPr>
                <w:color w:val="auto"/>
                <w:sz w:val="24"/>
                <w:szCs w:val="24"/>
                <w:highlight w:val="none"/>
                <w:lang w:eastAsia="zh-CN" w:bidi="ar"/>
              </w:rPr>
              <w:t>情况如下表所示</w:t>
            </w:r>
            <w:r>
              <w:rPr>
                <w:rFonts w:hint="eastAsia"/>
                <w:color w:val="auto"/>
                <w:sz w:val="24"/>
                <w:szCs w:val="24"/>
                <w:highlight w:val="none"/>
                <w:lang w:eastAsia="zh-CN" w:bidi="ar"/>
              </w:rPr>
              <w:t>。</w:t>
            </w:r>
          </w:p>
          <w:p w14:paraId="23D80580">
            <w:pPr>
              <w:spacing w:line="240" w:lineRule="auto"/>
              <w:ind w:firstLine="482"/>
              <w:jc w:val="center"/>
              <w:rPr>
                <w:color w:val="auto"/>
                <w:highlight w:val="none"/>
                <w:lang w:eastAsia="zh-CN"/>
              </w:rPr>
            </w:pPr>
            <w:r>
              <w:rPr>
                <w:b/>
                <w:bCs/>
                <w:color w:val="auto"/>
                <w:szCs w:val="24"/>
                <w:highlight w:val="none"/>
                <w:lang w:eastAsia="zh-CN" w:bidi="ar"/>
              </w:rPr>
              <w:t>表</w:t>
            </w:r>
            <w:r>
              <w:rPr>
                <w:rFonts w:hint="eastAsia"/>
                <w:b/>
                <w:bCs/>
                <w:color w:val="auto"/>
                <w:szCs w:val="24"/>
                <w:highlight w:val="none"/>
                <w:lang w:val="en-US" w:eastAsia="zh-CN" w:bidi="ar"/>
              </w:rPr>
              <w:t>4-11</w:t>
            </w:r>
            <w:r>
              <w:rPr>
                <w:rFonts w:hint="eastAsia"/>
                <w:b/>
                <w:bCs/>
                <w:color w:val="auto"/>
                <w:szCs w:val="24"/>
                <w:highlight w:val="none"/>
                <w:lang w:eastAsia="zh-CN" w:bidi="ar"/>
              </w:rPr>
              <w:t xml:space="preserve"> </w:t>
            </w:r>
            <w:r>
              <w:rPr>
                <w:rFonts w:hint="eastAsia"/>
                <w:b/>
                <w:bCs/>
                <w:color w:val="auto"/>
                <w:szCs w:val="24"/>
                <w:highlight w:val="none"/>
                <w:lang w:val="en-US" w:eastAsia="zh-CN" w:bidi="ar"/>
              </w:rPr>
              <w:t>本次技改增加</w:t>
            </w:r>
            <w:r>
              <w:rPr>
                <w:rFonts w:hint="default" w:ascii="Times New Roman" w:hAnsi="Times New Roman" w:cs="Times New Roman"/>
                <w:b/>
                <w:bCs w:val="0"/>
                <w:color w:val="auto"/>
                <w:sz w:val="21"/>
                <w:szCs w:val="21"/>
                <w:highlight w:val="none"/>
              </w:rPr>
              <w:t>纯水</w:t>
            </w:r>
            <w:r>
              <w:rPr>
                <w:rFonts w:hint="default" w:ascii="Times New Roman" w:hAnsi="Times New Roman" w:cs="Times New Roman"/>
                <w:b/>
                <w:bCs w:val="0"/>
                <w:color w:val="auto"/>
                <w:sz w:val="21"/>
                <w:szCs w:val="21"/>
                <w:highlight w:val="none"/>
                <w:lang w:val="en-US" w:eastAsia="zh-CN"/>
              </w:rPr>
              <w:t>制备</w:t>
            </w:r>
            <w:r>
              <w:rPr>
                <w:rFonts w:hint="default" w:ascii="Times New Roman" w:hAnsi="Times New Roman" w:cs="Times New Roman"/>
                <w:b/>
                <w:bCs w:val="0"/>
                <w:color w:val="auto"/>
                <w:sz w:val="21"/>
                <w:szCs w:val="21"/>
                <w:highlight w:val="none"/>
              </w:rPr>
              <w:t>系统</w:t>
            </w:r>
            <w:r>
              <w:rPr>
                <w:rFonts w:hint="eastAsia" w:ascii="Times New Roman" w:hAnsi="Times New Roman" w:cs="Times New Roman"/>
                <w:b/>
                <w:bCs w:val="0"/>
                <w:color w:val="auto"/>
                <w:sz w:val="21"/>
                <w:szCs w:val="21"/>
                <w:highlight w:val="none"/>
                <w:lang w:val="en-US" w:eastAsia="zh-CN"/>
              </w:rPr>
              <w:t>废水</w:t>
            </w:r>
            <w:r>
              <w:rPr>
                <w:rFonts w:hint="eastAsia"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lang w:val="en-US" w:eastAsia="zh-CN"/>
              </w:rPr>
              <w:t>锅炉</w:t>
            </w:r>
            <w:r>
              <w:rPr>
                <w:rFonts w:hint="eastAsia" w:cs="Times New Roman"/>
                <w:b/>
                <w:bCs w:val="0"/>
                <w:color w:val="auto"/>
                <w:sz w:val="21"/>
                <w:szCs w:val="21"/>
                <w:highlight w:val="none"/>
                <w:lang w:val="en-US" w:eastAsia="zh-CN"/>
              </w:rPr>
              <w:t>排水</w:t>
            </w:r>
            <w:r>
              <w:rPr>
                <w:rFonts w:hint="eastAsia"/>
                <w:b/>
                <w:bCs/>
                <w:color w:val="auto"/>
                <w:szCs w:val="24"/>
                <w:highlight w:val="none"/>
                <w:lang w:eastAsia="zh-CN" w:bidi="ar"/>
              </w:rPr>
              <w:t>排放源强</w:t>
            </w:r>
          </w:p>
          <w:tbl>
            <w:tblPr>
              <w:tblStyle w:val="22"/>
              <w:tblW w:w="7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2298"/>
              <w:gridCol w:w="2049"/>
              <w:gridCol w:w="1740"/>
            </w:tblGrid>
            <w:tr w14:paraId="7039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691" w:type="dxa"/>
                  <w:vMerge w:val="restart"/>
                  <w:noWrap w:val="0"/>
                  <w:vAlign w:val="center"/>
                </w:tcPr>
                <w:p w14:paraId="37060BAE">
                  <w:pPr>
                    <w:adjustRightInd w:val="0"/>
                    <w:snapToGrid w:val="0"/>
                    <w:spacing w:line="240" w:lineRule="auto"/>
                    <w:ind w:firstLine="0" w:firstLineChars="0"/>
                    <w:jc w:val="center"/>
                    <w:rPr>
                      <w:b/>
                      <w:bCs/>
                      <w:color w:val="auto"/>
                      <w:sz w:val="21"/>
                      <w:szCs w:val="21"/>
                      <w:highlight w:val="none"/>
                      <w:lang w:eastAsia="zh-CN"/>
                    </w:rPr>
                  </w:pPr>
                  <w:r>
                    <w:rPr>
                      <w:rFonts w:hint="eastAsia"/>
                      <w:b/>
                      <w:bCs/>
                      <w:color w:val="auto"/>
                      <w:sz w:val="21"/>
                      <w:szCs w:val="21"/>
                      <w:highlight w:val="none"/>
                    </w:rPr>
                    <w:t>废水</w:t>
                  </w:r>
                  <w:r>
                    <w:rPr>
                      <w:rFonts w:hint="eastAsia"/>
                      <w:b/>
                      <w:bCs/>
                      <w:color w:val="auto"/>
                      <w:sz w:val="21"/>
                      <w:szCs w:val="21"/>
                      <w:highlight w:val="none"/>
                      <w:lang w:eastAsia="zh-CN"/>
                    </w:rPr>
                    <w:t>来源</w:t>
                  </w:r>
                </w:p>
              </w:tc>
              <w:tc>
                <w:tcPr>
                  <w:tcW w:w="2298" w:type="dxa"/>
                  <w:vMerge w:val="restart"/>
                  <w:noWrap w:val="0"/>
                  <w:vAlign w:val="center"/>
                </w:tcPr>
                <w:p w14:paraId="4BDACCAB">
                  <w:pPr>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rPr>
                    <w:t>污染物名称</w:t>
                  </w:r>
                </w:p>
              </w:tc>
              <w:tc>
                <w:tcPr>
                  <w:tcW w:w="3789" w:type="dxa"/>
                  <w:gridSpan w:val="2"/>
                  <w:noWrap w:val="0"/>
                  <w:vAlign w:val="center"/>
                </w:tcPr>
                <w:p w14:paraId="704B92BA">
                  <w:pPr>
                    <w:adjustRightInd w:val="0"/>
                    <w:snapToGrid w:val="0"/>
                    <w:spacing w:line="240" w:lineRule="auto"/>
                    <w:ind w:firstLine="0" w:firstLineChars="0"/>
                    <w:jc w:val="center"/>
                    <w:rPr>
                      <w:rFonts w:hint="eastAsia"/>
                      <w:b/>
                      <w:bCs/>
                      <w:color w:val="auto"/>
                      <w:sz w:val="21"/>
                      <w:szCs w:val="21"/>
                      <w:highlight w:val="none"/>
                    </w:rPr>
                  </w:pPr>
                  <w:r>
                    <w:rPr>
                      <w:b/>
                      <w:bCs/>
                      <w:color w:val="auto"/>
                      <w:sz w:val="21"/>
                      <w:szCs w:val="21"/>
                      <w:highlight w:val="none"/>
                    </w:rPr>
                    <w:t>处理后</w:t>
                  </w:r>
                </w:p>
              </w:tc>
            </w:tr>
            <w:tr w14:paraId="2577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1" w:type="dxa"/>
                  <w:vMerge w:val="continue"/>
                  <w:noWrap w:val="0"/>
                  <w:vAlign w:val="center"/>
                </w:tcPr>
                <w:p w14:paraId="48277315">
                  <w:pPr>
                    <w:adjustRightInd w:val="0"/>
                    <w:snapToGrid w:val="0"/>
                    <w:spacing w:line="240" w:lineRule="auto"/>
                    <w:ind w:firstLine="0" w:firstLineChars="0"/>
                    <w:jc w:val="center"/>
                    <w:rPr>
                      <w:b/>
                      <w:bCs/>
                      <w:color w:val="auto"/>
                      <w:sz w:val="21"/>
                      <w:szCs w:val="21"/>
                      <w:highlight w:val="none"/>
                    </w:rPr>
                  </w:pPr>
                </w:p>
              </w:tc>
              <w:tc>
                <w:tcPr>
                  <w:tcW w:w="2298" w:type="dxa"/>
                  <w:vMerge w:val="continue"/>
                  <w:noWrap w:val="0"/>
                  <w:vAlign w:val="center"/>
                </w:tcPr>
                <w:p w14:paraId="7A9207CD">
                  <w:pPr>
                    <w:adjustRightInd w:val="0"/>
                    <w:snapToGrid w:val="0"/>
                    <w:spacing w:line="240" w:lineRule="auto"/>
                    <w:ind w:firstLine="0" w:firstLineChars="0"/>
                    <w:jc w:val="center"/>
                    <w:rPr>
                      <w:b/>
                      <w:bCs/>
                      <w:color w:val="auto"/>
                      <w:sz w:val="21"/>
                      <w:szCs w:val="21"/>
                      <w:highlight w:val="none"/>
                    </w:rPr>
                  </w:pPr>
                </w:p>
              </w:tc>
              <w:tc>
                <w:tcPr>
                  <w:tcW w:w="2049" w:type="dxa"/>
                  <w:noWrap w:val="0"/>
                  <w:vAlign w:val="center"/>
                </w:tcPr>
                <w:p w14:paraId="65441EA8">
                  <w:pPr>
                    <w:adjustRightInd w:val="0"/>
                    <w:snapToGrid w:val="0"/>
                    <w:spacing w:line="240" w:lineRule="auto"/>
                    <w:ind w:firstLine="0" w:firstLineChars="0"/>
                    <w:jc w:val="center"/>
                    <w:rPr>
                      <w:b/>
                      <w:bCs/>
                      <w:color w:val="auto"/>
                      <w:sz w:val="21"/>
                      <w:szCs w:val="21"/>
                      <w:highlight w:val="none"/>
                    </w:rPr>
                  </w:pPr>
                  <w:r>
                    <w:rPr>
                      <w:rFonts w:hint="eastAsia"/>
                      <w:b/>
                      <w:bCs/>
                      <w:color w:val="auto"/>
                      <w:sz w:val="21"/>
                      <w:szCs w:val="21"/>
                      <w:highlight w:val="none"/>
                      <w:lang w:val="en-US" w:eastAsia="zh-CN"/>
                    </w:rPr>
                    <w:t>废水</w:t>
                  </w:r>
                  <w:r>
                    <w:rPr>
                      <w:b/>
                      <w:bCs/>
                      <w:color w:val="auto"/>
                      <w:sz w:val="21"/>
                      <w:szCs w:val="21"/>
                      <w:highlight w:val="none"/>
                    </w:rPr>
                    <w:t>浓度（mg/L）</w:t>
                  </w:r>
                </w:p>
              </w:tc>
              <w:tc>
                <w:tcPr>
                  <w:tcW w:w="1740" w:type="dxa"/>
                  <w:noWrap w:val="0"/>
                  <w:vAlign w:val="center"/>
                </w:tcPr>
                <w:p w14:paraId="3B1682BC">
                  <w:pPr>
                    <w:adjustRightInd w:val="0"/>
                    <w:snapToGrid w:val="0"/>
                    <w:spacing w:line="240" w:lineRule="auto"/>
                    <w:ind w:firstLine="0" w:firstLineChars="0"/>
                    <w:jc w:val="center"/>
                    <w:rPr>
                      <w:b/>
                      <w:bCs/>
                      <w:color w:val="auto"/>
                      <w:sz w:val="21"/>
                      <w:szCs w:val="21"/>
                      <w:highlight w:val="none"/>
                    </w:rPr>
                  </w:pPr>
                  <w:r>
                    <w:rPr>
                      <w:rFonts w:hint="eastAsia"/>
                      <w:b/>
                      <w:bCs/>
                      <w:color w:val="auto"/>
                      <w:sz w:val="21"/>
                      <w:szCs w:val="21"/>
                      <w:highlight w:val="none"/>
                      <w:lang w:val="en-US" w:eastAsia="zh-CN"/>
                    </w:rPr>
                    <w:t>废水</w:t>
                  </w:r>
                  <w:r>
                    <w:rPr>
                      <w:b/>
                      <w:bCs/>
                      <w:color w:val="auto"/>
                      <w:sz w:val="21"/>
                      <w:szCs w:val="21"/>
                      <w:highlight w:val="none"/>
                    </w:rPr>
                    <w:t>排放量（t/a）</w:t>
                  </w:r>
                </w:p>
              </w:tc>
            </w:tr>
            <w:tr w14:paraId="3102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1" w:type="dxa"/>
                  <w:vMerge w:val="restart"/>
                  <w:noWrap w:val="0"/>
                  <w:vAlign w:val="center"/>
                </w:tcPr>
                <w:p w14:paraId="1571F917">
                  <w:pPr>
                    <w:adjustRightInd w:val="0"/>
                    <w:snapToGrid w:val="0"/>
                    <w:spacing w:line="240" w:lineRule="auto"/>
                    <w:ind w:firstLine="0" w:firstLineChars="0"/>
                    <w:jc w:val="center"/>
                    <w:rPr>
                      <w:rFonts w:hint="default"/>
                      <w:color w:val="auto"/>
                      <w:sz w:val="21"/>
                      <w:szCs w:val="21"/>
                      <w:highlight w:val="none"/>
                      <w:lang w:val="en-US"/>
                    </w:rPr>
                  </w:pPr>
                  <w:r>
                    <w:rPr>
                      <w:rFonts w:hint="default" w:ascii="Times New Roman" w:hAnsi="Times New Roman" w:cs="Times New Roman"/>
                      <w:b w:val="0"/>
                      <w:bCs/>
                      <w:color w:val="auto"/>
                      <w:sz w:val="21"/>
                      <w:szCs w:val="21"/>
                      <w:highlight w:val="none"/>
                    </w:rPr>
                    <w:t>纯水</w:t>
                  </w:r>
                  <w:r>
                    <w:rPr>
                      <w:rFonts w:hint="default" w:ascii="Times New Roman" w:hAnsi="Times New Roman" w:cs="Times New Roman"/>
                      <w:b w:val="0"/>
                      <w:bCs/>
                      <w:color w:val="auto"/>
                      <w:sz w:val="21"/>
                      <w:szCs w:val="21"/>
                      <w:highlight w:val="none"/>
                      <w:lang w:val="en-US" w:eastAsia="zh-CN"/>
                    </w:rPr>
                    <w:t>制备</w:t>
                  </w:r>
                  <w:r>
                    <w:rPr>
                      <w:rFonts w:hint="default" w:ascii="Times New Roman" w:hAnsi="Times New Roman" w:cs="Times New Roman"/>
                      <w:b w:val="0"/>
                      <w:bCs/>
                      <w:color w:val="auto"/>
                      <w:sz w:val="21"/>
                      <w:szCs w:val="21"/>
                      <w:highlight w:val="none"/>
                    </w:rPr>
                    <w:t>系统</w:t>
                  </w:r>
                  <w:r>
                    <w:rPr>
                      <w:rFonts w:hint="eastAsia" w:ascii="Times New Roman" w:hAnsi="Times New Roman" w:cs="Times New Roman"/>
                      <w:b w:val="0"/>
                      <w:bCs/>
                      <w:color w:val="auto"/>
                      <w:sz w:val="21"/>
                      <w:szCs w:val="21"/>
                      <w:highlight w:val="none"/>
                      <w:lang w:val="en-US" w:eastAsia="zh-CN"/>
                    </w:rPr>
                    <w:t>废水</w:t>
                  </w:r>
                  <w:r>
                    <w:rPr>
                      <w:rFonts w:hint="eastAsia"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锅炉</w:t>
                  </w:r>
                  <w:r>
                    <w:rPr>
                      <w:rFonts w:hint="eastAsia" w:cs="Times New Roman"/>
                      <w:b w:val="0"/>
                      <w:bCs/>
                      <w:color w:val="auto"/>
                      <w:sz w:val="21"/>
                      <w:szCs w:val="21"/>
                      <w:highlight w:val="none"/>
                      <w:lang w:val="en-US" w:eastAsia="zh-CN"/>
                    </w:rPr>
                    <w:t>排水</w:t>
                  </w:r>
                </w:p>
              </w:tc>
              <w:tc>
                <w:tcPr>
                  <w:tcW w:w="2298" w:type="dxa"/>
                  <w:noWrap w:val="0"/>
                  <w:vAlign w:val="center"/>
                </w:tcPr>
                <w:p w14:paraId="291BBA57">
                  <w:pPr>
                    <w:adjustRightInd w:val="0"/>
                    <w:snapToGrid w:val="0"/>
                    <w:spacing w:line="240" w:lineRule="auto"/>
                    <w:ind w:firstLine="0" w:firstLineChars="0"/>
                    <w:jc w:val="center"/>
                    <w:rPr>
                      <w:rFonts w:hint="eastAsia"/>
                      <w:b/>
                      <w:bCs/>
                      <w:color w:val="auto"/>
                      <w:sz w:val="21"/>
                      <w:szCs w:val="21"/>
                      <w:highlight w:val="none"/>
                      <w:lang w:eastAsia="zh-CN"/>
                    </w:rPr>
                  </w:pPr>
                  <w:r>
                    <w:rPr>
                      <w:rFonts w:hint="eastAsia"/>
                      <w:color w:val="auto"/>
                      <w:sz w:val="21"/>
                      <w:szCs w:val="21"/>
                      <w:highlight w:val="none"/>
                      <w:lang w:eastAsia="zh-CN"/>
                    </w:rPr>
                    <w:t>水量（</w:t>
                  </w:r>
                  <w:r>
                    <w:rPr>
                      <w:color w:val="auto"/>
                      <w:sz w:val="21"/>
                      <w:szCs w:val="21"/>
                      <w:highlight w:val="none"/>
                    </w:rPr>
                    <w:t>m</w:t>
                  </w:r>
                  <w:r>
                    <w:rPr>
                      <w:color w:val="auto"/>
                      <w:sz w:val="21"/>
                      <w:szCs w:val="21"/>
                      <w:highlight w:val="none"/>
                      <w:vertAlign w:val="superscript"/>
                    </w:rPr>
                    <w:t>3</w:t>
                  </w:r>
                  <w:r>
                    <w:rPr>
                      <w:color w:val="auto"/>
                      <w:sz w:val="21"/>
                      <w:szCs w:val="21"/>
                      <w:highlight w:val="none"/>
                    </w:rPr>
                    <w:t>/a</w:t>
                  </w:r>
                  <w:r>
                    <w:rPr>
                      <w:rFonts w:hint="eastAsia"/>
                      <w:color w:val="auto"/>
                      <w:sz w:val="21"/>
                      <w:szCs w:val="21"/>
                      <w:highlight w:val="none"/>
                      <w:lang w:eastAsia="zh-CN"/>
                    </w:rPr>
                    <w:t>）</w:t>
                  </w:r>
                </w:p>
              </w:tc>
              <w:tc>
                <w:tcPr>
                  <w:tcW w:w="3789" w:type="dxa"/>
                  <w:gridSpan w:val="2"/>
                  <w:noWrap w:val="0"/>
                  <w:vAlign w:val="center"/>
                </w:tcPr>
                <w:p w14:paraId="66AD9CD9">
                  <w:pPr>
                    <w:adjustRightInd w:val="0"/>
                    <w:snapToGrid w:val="0"/>
                    <w:spacing w:line="240" w:lineRule="auto"/>
                    <w:ind w:firstLine="0" w:firstLineChars="0"/>
                    <w:jc w:val="center"/>
                    <w:rPr>
                      <w:rFonts w:hint="default"/>
                      <w:b/>
                      <w:bCs/>
                      <w:color w:val="auto"/>
                      <w:sz w:val="21"/>
                      <w:szCs w:val="21"/>
                      <w:highlight w:val="none"/>
                      <w:lang w:val="en-US"/>
                    </w:rPr>
                  </w:pPr>
                  <w:r>
                    <w:rPr>
                      <w:rFonts w:hint="eastAsia"/>
                      <w:color w:val="auto"/>
                      <w:sz w:val="21"/>
                      <w:szCs w:val="21"/>
                      <w:highlight w:val="none"/>
                      <w:lang w:val="en-US" w:eastAsia="zh-CN"/>
                    </w:rPr>
                    <w:t>877</w:t>
                  </w:r>
                </w:p>
              </w:tc>
            </w:tr>
            <w:tr w14:paraId="298D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1" w:type="dxa"/>
                  <w:vMerge w:val="continue"/>
                  <w:noWrap w:val="0"/>
                  <w:vAlign w:val="center"/>
                </w:tcPr>
                <w:p w14:paraId="24666181">
                  <w:pPr>
                    <w:adjustRightInd w:val="0"/>
                    <w:snapToGrid w:val="0"/>
                    <w:spacing w:line="240" w:lineRule="auto"/>
                    <w:ind w:firstLine="0" w:firstLineChars="0"/>
                    <w:jc w:val="center"/>
                    <w:rPr>
                      <w:color w:val="auto"/>
                      <w:sz w:val="21"/>
                      <w:szCs w:val="21"/>
                      <w:highlight w:val="none"/>
                    </w:rPr>
                  </w:pPr>
                </w:p>
              </w:tc>
              <w:tc>
                <w:tcPr>
                  <w:tcW w:w="2298" w:type="dxa"/>
                  <w:noWrap w:val="0"/>
                  <w:vAlign w:val="center"/>
                </w:tcPr>
                <w:p w14:paraId="2DEEA10C">
                  <w:pPr>
                    <w:adjustRightInd w:val="0"/>
                    <w:snapToGrid w:val="0"/>
                    <w:spacing w:line="240" w:lineRule="auto"/>
                    <w:ind w:firstLine="0" w:firstLineChars="0"/>
                    <w:jc w:val="center"/>
                    <w:rPr>
                      <w:color w:val="auto"/>
                      <w:sz w:val="21"/>
                      <w:szCs w:val="21"/>
                      <w:highlight w:val="none"/>
                    </w:rPr>
                  </w:pPr>
                  <w:r>
                    <w:rPr>
                      <w:color w:val="auto"/>
                      <w:sz w:val="21"/>
                      <w:szCs w:val="21"/>
                      <w:highlight w:val="none"/>
                    </w:rPr>
                    <w:t>CODcr</w:t>
                  </w:r>
                </w:p>
              </w:tc>
              <w:tc>
                <w:tcPr>
                  <w:tcW w:w="2049" w:type="dxa"/>
                  <w:noWrap w:val="0"/>
                  <w:vAlign w:val="center"/>
                </w:tcPr>
                <w:p w14:paraId="4165579A">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1740" w:type="dxa"/>
                  <w:noWrap w:val="0"/>
                  <w:vAlign w:val="center"/>
                </w:tcPr>
                <w:p w14:paraId="0AE40E31">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0.008</w:t>
                  </w:r>
                </w:p>
              </w:tc>
            </w:tr>
            <w:tr w14:paraId="5187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691" w:type="dxa"/>
                  <w:vMerge w:val="continue"/>
                  <w:noWrap w:val="0"/>
                  <w:vAlign w:val="center"/>
                </w:tcPr>
                <w:p w14:paraId="1B5D1966">
                  <w:pPr>
                    <w:adjustRightInd w:val="0"/>
                    <w:snapToGrid w:val="0"/>
                    <w:spacing w:line="240" w:lineRule="auto"/>
                    <w:ind w:firstLine="0" w:firstLineChars="0"/>
                    <w:jc w:val="center"/>
                    <w:rPr>
                      <w:color w:val="auto"/>
                      <w:sz w:val="21"/>
                      <w:szCs w:val="21"/>
                      <w:highlight w:val="none"/>
                    </w:rPr>
                  </w:pPr>
                </w:p>
              </w:tc>
              <w:tc>
                <w:tcPr>
                  <w:tcW w:w="2298" w:type="dxa"/>
                  <w:noWrap w:val="0"/>
                  <w:vAlign w:val="center"/>
                </w:tcPr>
                <w:p w14:paraId="0E5B2AA4">
                  <w:pPr>
                    <w:adjustRightInd w:val="0"/>
                    <w:snapToGrid w:val="0"/>
                    <w:spacing w:line="240" w:lineRule="auto"/>
                    <w:ind w:firstLine="0" w:firstLineChars="0"/>
                    <w:jc w:val="center"/>
                    <w:rPr>
                      <w:color w:val="auto"/>
                      <w:sz w:val="21"/>
                      <w:szCs w:val="21"/>
                      <w:highlight w:val="none"/>
                    </w:rPr>
                  </w:pPr>
                  <w:r>
                    <w:rPr>
                      <w:color w:val="auto"/>
                      <w:sz w:val="21"/>
                      <w:szCs w:val="21"/>
                      <w:highlight w:val="none"/>
                    </w:rPr>
                    <w:t>SS</w:t>
                  </w:r>
                </w:p>
              </w:tc>
              <w:tc>
                <w:tcPr>
                  <w:tcW w:w="2049" w:type="dxa"/>
                  <w:noWrap w:val="0"/>
                  <w:vAlign w:val="center"/>
                </w:tcPr>
                <w:p w14:paraId="250C20D4">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42</w:t>
                  </w:r>
                </w:p>
              </w:tc>
              <w:tc>
                <w:tcPr>
                  <w:tcW w:w="1740" w:type="dxa"/>
                  <w:noWrap w:val="0"/>
                  <w:vAlign w:val="center"/>
                </w:tcPr>
                <w:p w14:paraId="01D285EE">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0.037</w:t>
                  </w:r>
                </w:p>
              </w:tc>
            </w:tr>
            <w:tr w14:paraId="65E2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691" w:type="dxa"/>
                  <w:vMerge w:val="continue"/>
                  <w:noWrap w:val="0"/>
                  <w:vAlign w:val="center"/>
                </w:tcPr>
                <w:p w14:paraId="46542513">
                  <w:pPr>
                    <w:adjustRightInd w:val="0"/>
                    <w:snapToGrid w:val="0"/>
                    <w:spacing w:line="240" w:lineRule="auto"/>
                    <w:ind w:firstLine="0" w:firstLineChars="0"/>
                    <w:jc w:val="center"/>
                    <w:rPr>
                      <w:color w:val="auto"/>
                      <w:sz w:val="21"/>
                      <w:szCs w:val="21"/>
                      <w:highlight w:val="none"/>
                    </w:rPr>
                  </w:pPr>
                </w:p>
              </w:tc>
              <w:tc>
                <w:tcPr>
                  <w:tcW w:w="2298" w:type="dxa"/>
                  <w:noWrap w:val="0"/>
                  <w:vAlign w:val="center"/>
                </w:tcPr>
                <w:p w14:paraId="52AD67AA">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eastAsia="zh-CN"/>
                    </w:rPr>
                    <w:t>TP</w:t>
                  </w:r>
                </w:p>
              </w:tc>
              <w:tc>
                <w:tcPr>
                  <w:tcW w:w="2049" w:type="dxa"/>
                  <w:noWrap w:val="0"/>
                  <w:vAlign w:val="center"/>
                </w:tcPr>
                <w:p w14:paraId="1812F334">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1740" w:type="dxa"/>
                  <w:noWrap w:val="0"/>
                  <w:vAlign w:val="center"/>
                </w:tcPr>
                <w:p w14:paraId="42DA802E">
                  <w:pPr>
                    <w:keepNext w:val="0"/>
                    <w:keepLines w:val="0"/>
                    <w:widowControl/>
                    <w:suppressLineNumbers w:val="0"/>
                    <w:jc w:val="center"/>
                    <w:textAlignment w:val="center"/>
                    <w:rPr>
                      <w:rFonts w:hint="default" w:ascii="Times New Roman" w:hAnsi="Times New Roman" w:cs="Times New Roman"/>
                      <w:color w:val="auto"/>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0.0001</w:t>
                  </w:r>
                </w:p>
              </w:tc>
            </w:tr>
            <w:tr w14:paraId="28D3D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691" w:type="dxa"/>
                  <w:vMerge w:val="continue"/>
                  <w:noWrap w:val="0"/>
                  <w:vAlign w:val="center"/>
                </w:tcPr>
                <w:p w14:paraId="206C7952">
                  <w:pPr>
                    <w:adjustRightInd w:val="0"/>
                    <w:snapToGrid w:val="0"/>
                    <w:spacing w:line="240" w:lineRule="auto"/>
                    <w:ind w:firstLine="0" w:firstLineChars="0"/>
                    <w:jc w:val="center"/>
                    <w:rPr>
                      <w:color w:val="auto"/>
                      <w:sz w:val="21"/>
                      <w:szCs w:val="21"/>
                      <w:highlight w:val="none"/>
                    </w:rPr>
                  </w:pPr>
                </w:p>
              </w:tc>
              <w:tc>
                <w:tcPr>
                  <w:tcW w:w="2298" w:type="dxa"/>
                  <w:noWrap w:val="0"/>
                  <w:vAlign w:val="center"/>
                </w:tcPr>
                <w:p w14:paraId="1833C7BC">
                  <w:pPr>
                    <w:adjustRightInd w:val="0"/>
                    <w:snapToGrid w:val="0"/>
                    <w:spacing w:line="240" w:lineRule="auto"/>
                    <w:ind w:firstLine="0" w:firstLineChars="0"/>
                    <w:jc w:val="center"/>
                    <w:rPr>
                      <w:color w:val="auto"/>
                      <w:sz w:val="21"/>
                      <w:szCs w:val="21"/>
                      <w:highlight w:val="none"/>
                    </w:rPr>
                  </w:pPr>
                  <w:r>
                    <w:rPr>
                      <w:rFonts w:hint="eastAsia"/>
                      <w:b w:val="0"/>
                      <w:bCs w:val="0"/>
                      <w:color w:val="auto"/>
                      <w:highlight w:val="none"/>
                      <w:lang w:eastAsia="zh-CN"/>
                    </w:rPr>
                    <w:t>溶解性总固体</w:t>
                  </w:r>
                </w:p>
              </w:tc>
              <w:tc>
                <w:tcPr>
                  <w:tcW w:w="2049" w:type="dxa"/>
                  <w:noWrap w:val="0"/>
                  <w:vAlign w:val="center"/>
                </w:tcPr>
                <w:p w14:paraId="20E2C92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1211</w:t>
                  </w:r>
                </w:p>
              </w:tc>
              <w:tc>
                <w:tcPr>
                  <w:tcW w:w="1740" w:type="dxa"/>
                  <w:noWrap w:val="0"/>
                  <w:vAlign w:val="center"/>
                </w:tcPr>
                <w:p w14:paraId="4EFDD1DC">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1.062</w:t>
                  </w:r>
                </w:p>
              </w:tc>
            </w:tr>
          </w:tbl>
          <w:p w14:paraId="4D3226DE">
            <w:pPr>
              <w:spacing w:line="240" w:lineRule="auto"/>
              <w:ind w:firstLine="482"/>
              <w:jc w:val="center"/>
              <w:rPr>
                <w:b/>
                <w:bCs/>
                <w:color w:val="auto"/>
                <w:szCs w:val="24"/>
                <w:highlight w:val="none"/>
                <w:lang w:eastAsia="zh-CN" w:bidi="ar"/>
              </w:rPr>
            </w:pPr>
          </w:p>
          <w:p w14:paraId="34554114">
            <w:pPr>
              <w:spacing w:line="240" w:lineRule="auto"/>
              <w:ind w:firstLine="482"/>
              <w:jc w:val="center"/>
              <w:rPr>
                <w:color w:val="auto"/>
                <w:highlight w:val="none"/>
                <w:lang w:eastAsia="zh-CN"/>
              </w:rPr>
            </w:pPr>
            <w:r>
              <w:rPr>
                <w:b/>
                <w:bCs/>
                <w:color w:val="auto"/>
                <w:szCs w:val="24"/>
                <w:highlight w:val="none"/>
                <w:lang w:eastAsia="zh-CN" w:bidi="ar"/>
              </w:rPr>
              <w:t>表</w:t>
            </w:r>
            <w:r>
              <w:rPr>
                <w:rFonts w:hint="eastAsia"/>
                <w:b/>
                <w:bCs/>
                <w:color w:val="auto"/>
                <w:szCs w:val="24"/>
                <w:highlight w:val="none"/>
                <w:lang w:val="en-US" w:eastAsia="zh-CN" w:bidi="ar"/>
              </w:rPr>
              <w:t>4-12</w:t>
            </w:r>
            <w:r>
              <w:rPr>
                <w:rFonts w:hint="eastAsia"/>
                <w:b/>
                <w:bCs/>
                <w:color w:val="auto"/>
                <w:szCs w:val="24"/>
                <w:highlight w:val="none"/>
                <w:lang w:eastAsia="zh-CN" w:bidi="ar"/>
              </w:rPr>
              <w:t xml:space="preserve"> </w:t>
            </w:r>
            <w:r>
              <w:rPr>
                <w:rFonts w:hint="eastAsia"/>
                <w:b/>
                <w:bCs/>
                <w:color w:val="auto"/>
                <w:szCs w:val="24"/>
                <w:highlight w:val="none"/>
                <w:lang w:val="en-US" w:eastAsia="zh-CN" w:bidi="ar"/>
              </w:rPr>
              <w:t>本次技改增加</w:t>
            </w:r>
            <w:r>
              <w:rPr>
                <w:rFonts w:hint="eastAsia" w:cs="Times New Roman"/>
                <w:b/>
                <w:bCs/>
                <w:color w:val="auto"/>
                <w:sz w:val="21"/>
                <w:szCs w:val="21"/>
                <w:highlight w:val="none"/>
                <w:lang w:val="en-US" w:eastAsia="zh-CN"/>
              </w:rPr>
              <w:t>CIP清洗系统设备清洗废水</w:t>
            </w:r>
            <w:r>
              <w:rPr>
                <w:rFonts w:hint="eastAsia"/>
                <w:b/>
                <w:bCs/>
                <w:color w:val="auto"/>
                <w:szCs w:val="24"/>
                <w:highlight w:val="none"/>
                <w:lang w:eastAsia="zh-CN" w:bidi="ar"/>
              </w:rPr>
              <w:t>排放源强</w:t>
            </w:r>
          </w:p>
          <w:tbl>
            <w:tblPr>
              <w:tblStyle w:val="22"/>
              <w:tblW w:w="7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2298"/>
              <w:gridCol w:w="2049"/>
              <w:gridCol w:w="1740"/>
            </w:tblGrid>
            <w:tr w14:paraId="6DE6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691" w:type="dxa"/>
                  <w:vMerge w:val="restart"/>
                  <w:noWrap w:val="0"/>
                  <w:vAlign w:val="center"/>
                </w:tcPr>
                <w:p w14:paraId="0C6CBFD8">
                  <w:pPr>
                    <w:adjustRightInd w:val="0"/>
                    <w:snapToGrid w:val="0"/>
                    <w:spacing w:line="240" w:lineRule="auto"/>
                    <w:ind w:firstLine="0" w:firstLineChars="0"/>
                    <w:jc w:val="center"/>
                    <w:rPr>
                      <w:b/>
                      <w:bCs/>
                      <w:color w:val="auto"/>
                      <w:sz w:val="21"/>
                      <w:szCs w:val="21"/>
                      <w:highlight w:val="none"/>
                      <w:lang w:eastAsia="zh-CN"/>
                    </w:rPr>
                  </w:pPr>
                  <w:r>
                    <w:rPr>
                      <w:rFonts w:hint="eastAsia"/>
                      <w:b/>
                      <w:bCs/>
                      <w:color w:val="auto"/>
                      <w:sz w:val="21"/>
                      <w:szCs w:val="21"/>
                      <w:highlight w:val="none"/>
                    </w:rPr>
                    <w:t>废水</w:t>
                  </w:r>
                  <w:r>
                    <w:rPr>
                      <w:rFonts w:hint="eastAsia"/>
                      <w:b/>
                      <w:bCs/>
                      <w:color w:val="auto"/>
                      <w:sz w:val="21"/>
                      <w:szCs w:val="21"/>
                      <w:highlight w:val="none"/>
                      <w:lang w:eastAsia="zh-CN"/>
                    </w:rPr>
                    <w:t>来源</w:t>
                  </w:r>
                </w:p>
              </w:tc>
              <w:tc>
                <w:tcPr>
                  <w:tcW w:w="2298" w:type="dxa"/>
                  <w:vMerge w:val="restart"/>
                  <w:noWrap w:val="0"/>
                  <w:vAlign w:val="center"/>
                </w:tcPr>
                <w:p w14:paraId="0092B47A">
                  <w:pPr>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rPr>
                    <w:t>污染物名称</w:t>
                  </w:r>
                </w:p>
              </w:tc>
              <w:tc>
                <w:tcPr>
                  <w:tcW w:w="3789" w:type="dxa"/>
                  <w:gridSpan w:val="2"/>
                  <w:noWrap w:val="0"/>
                  <w:vAlign w:val="center"/>
                </w:tcPr>
                <w:p w14:paraId="13C8B99F">
                  <w:pPr>
                    <w:adjustRightInd w:val="0"/>
                    <w:snapToGrid w:val="0"/>
                    <w:spacing w:line="240" w:lineRule="auto"/>
                    <w:ind w:firstLine="0" w:firstLineChars="0"/>
                    <w:jc w:val="center"/>
                    <w:rPr>
                      <w:rFonts w:hint="eastAsia"/>
                      <w:b/>
                      <w:bCs/>
                      <w:color w:val="auto"/>
                      <w:sz w:val="21"/>
                      <w:szCs w:val="21"/>
                      <w:highlight w:val="none"/>
                    </w:rPr>
                  </w:pPr>
                  <w:r>
                    <w:rPr>
                      <w:b/>
                      <w:bCs/>
                      <w:color w:val="auto"/>
                      <w:sz w:val="21"/>
                      <w:szCs w:val="21"/>
                      <w:highlight w:val="none"/>
                    </w:rPr>
                    <w:t>处理后</w:t>
                  </w:r>
                </w:p>
              </w:tc>
            </w:tr>
            <w:tr w14:paraId="5BD1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1" w:type="dxa"/>
                  <w:vMerge w:val="continue"/>
                  <w:noWrap w:val="0"/>
                  <w:vAlign w:val="center"/>
                </w:tcPr>
                <w:p w14:paraId="7C8133E1">
                  <w:pPr>
                    <w:adjustRightInd w:val="0"/>
                    <w:snapToGrid w:val="0"/>
                    <w:spacing w:line="240" w:lineRule="auto"/>
                    <w:ind w:firstLine="0" w:firstLineChars="0"/>
                    <w:jc w:val="center"/>
                    <w:rPr>
                      <w:b/>
                      <w:bCs/>
                      <w:color w:val="auto"/>
                      <w:sz w:val="21"/>
                      <w:szCs w:val="21"/>
                      <w:highlight w:val="none"/>
                    </w:rPr>
                  </w:pPr>
                </w:p>
              </w:tc>
              <w:tc>
                <w:tcPr>
                  <w:tcW w:w="2298" w:type="dxa"/>
                  <w:vMerge w:val="continue"/>
                  <w:noWrap w:val="0"/>
                  <w:vAlign w:val="center"/>
                </w:tcPr>
                <w:p w14:paraId="306574CF">
                  <w:pPr>
                    <w:adjustRightInd w:val="0"/>
                    <w:snapToGrid w:val="0"/>
                    <w:spacing w:line="240" w:lineRule="auto"/>
                    <w:ind w:firstLine="0" w:firstLineChars="0"/>
                    <w:jc w:val="center"/>
                    <w:rPr>
                      <w:b/>
                      <w:bCs/>
                      <w:color w:val="auto"/>
                      <w:sz w:val="21"/>
                      <w:szCs w:val="21"/>
                      <w:highlight w:val="none"/>
                    </w:rPr>
                  </w:pPr>
                </w:p>
              </w:tc>
              <w:tc>
                <w:tcPr>
                  <w:tcW w:w="2049" w:type="dxa"/>
                  <w:noWrap w:val="0"/>
                  <w:vAlign w:val="center"/>
                </w:tcPr>
                <w:p w14:paraId="75F7D724">
                  <w:pPr>
                    <w:adjustRightInd w:val="0"/>
                    <w:snapToGrid w:val="0"/>
                    <w:spacing w:line="240" w:lineRule="auto"/>
                    <w:ind w:firstLine="0" w:firstLineChars="0"/>
                    <w:jc w:val="center"/>
                    <w:rPr>
                      <w:b/>
                      <w:bCs/>
                      <w:color w:val="auto"/>
                      <w:sz w:val="21"/>
                      <w:szCs w:val="21"/>
                      <w:highlight w:val="none"/>
                    </w:rPr>
                  </w:pPr>
                  <w:r>
                    <w:rPr>
                      <w:rFonts w:hint="eastAsia"/>
                      <w:b/>
                      <w:bCs/>
                      <w:color w:val="auto"/>
                      <w:sz w:val="21"/>
                      <w:szCs w:val="21"/>
                      <w:highlight w:val="none"/>
                      <w:lang w:val="en-US" w:eastAsia="zh-CN"/>
                    </w:rPr>
                    <w:t>废水</w:t>
                  </w:r>
                  <w:r>
                    <w:rPr>
                      <w:b/>
                      <w:bCs/>
                      <w:color w:val="auto"/>
                      <w:sz w:val="21"/>
                      <w:szCs w:val="21"/>
                      <w:highlight w:val="none"/>
                    </w:rPr>
                    <w:t>浓度（mg/L）</w:t>
                  </w:r>
                </w:p>
              </w:tc>
              <w:tc>
                <w:tcPr>
                  <w:tcW w:w="1740" w:type="dxa"/>
                  <w:noWrap w:val="0"/>
                  <w:vAlign w:val="center"/>
                </w:tcPr>
                <w:p w14:paraId="4C34E2B3">
                  <w:pPr>
                    <w:adjustRightInd w:val="0"/>
                    <w:snapToGrid w:val="0"/>
                    <w:spacing w:line="240" w:lineRule="auto"/>
                    <w:ind w:firstLine="0" w:firstLineChars="0"/>
                    <w:jc w:val="center"/>
                    <w:rPr>
                      <w:b/>
                      <w:bCs/>
                      <w:color w:val="auto"/>
                      <w:sz w:val="21"/>
                      <w:szCs w:val="21"/>
                      <w:highlight w:val="none"/>
                    </w:rPr>
                  </w:pPr>
                  <w:r>
                    <w:rPr>
                      <w:rFonts w:hint="eastAsia"/>
                      <w:b/>
                      <w:bCs/>
                      <w:color w:val="auto"/>
                      <w:sz w:val="21"/>
                      <w:szCs w:val="21"/>
                      <w:highlight w:val="none"/>
                      <w:lang w:val="en-US" w:eastAsia="zh-CN"/>
                    </w:rPr>
                    <w:t>废水</w:t>
                  </w:r>
                  <w:r>
                    <w:rPr>
                      <w:b/>
                      <w:bCs/>
                      <w:color w:val="auto"/>
                      <w:sz w:val="21"/>
                      <w:szCs w:val="21"/>
                      <w:highlight w:val="none"/>
                    </w:rPr>
                    <w:t>排放量（t/a）</w:t>
                  </w:r>
                </w:p>
              </w:tc>
            </w:tr>
            <w:tr w14:paraId="4601F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1" w:type="dxa"/>
                  <w:vMerge w:val="restart"/>
                  <w:noWrap w:val="0"/>
                  <w:vAlign w:val="center"/>
                </w:tcPr>
                <w:p w14:paraId="5F138E7B">
                  <w:pPr>
                    <w:adjustRightInd w:val="0"/>
                    <w:snapToGrid w:val="0"/>
                    <w:spacing w:line="240" w:lineRule="auto"/>
                    <w:ind w:firstLine="0" w:firstLineChars="0"/>
                    <w:jc w:val="center"/>
                    <w:rPr>
                      <w:rFonts w:hint="default"/>
                      <w:color w:val="auto"/>
                      <w:sz w:val="21"/>
                      <w:szCs w:val="21"/>
                      <w:highlight w:val="none"/>
                      <w:lang w:val="en-US"/>
                    </w:rPr>
                  </w:pPr>
                  <w:r>
                    <w:rPr>
                      <w:rFonts w:hint="eastAsia" w:cs="Times New Roman"/>
                      <w:b w:val="0"/>
                      <w:bCs w:val="0"/>
                      <w:color w:val="auto"/>
                      <w:sz w:val="21"/>
                      <w:szCs w:val="21"/>
                      <w:highlight w:val="none"/>
                      <w:lang w:val="en-US" w:eastAsia="zh-CN"/>
                    </w:rPr>
                    <w:t>CIP清洗系统设备清洗废水</w:t>
                  </w:r>
                </w:p>
              </w:tc>
              <w:tc>
                <w:tcPr>
                  <w:tcW w:w="2298" w:type="dxa"/>
                  <w:noWrap w:val="0"/>
                  <w:vAlign w:val="center"/>
                </w:tcPr>
                <w:p w14:paraId="1B966F24">
                  <w:pPr>
                    <w:adjustRightInd w:val="0"/>
                    <w:snapToGrid w:val="0"/>
                    <w:spacing w:line="240" w:lineRule="auto"/>
                    <w:ind w:firstLine="0" w:firstLineChars="0"/>
                    <w:jc w:val="center"/>
                    <w:rPr>
                      <w:rFonts w:hint="eastAsia"/>
                      <w:b/>
                      <w:bCs/>
                      <w:color w:val="auto"/>
                      <w:sz w:val="21"/>
                      <w:szCs w:val="21"/>
                      <w:highlight w:val="none"/>
                      <w:lang w:eastAsia="zh-CN"/>
                    </w:rPr>
                  </w:pPr>
                  <w:r>
                    <w:rPr>
                      <w:rFonts w:hint="eastAsia"/>
                      <w:color w:val="auto"/>
                      <w:sz w:val="21"/>
                      <w:szCs w:val="21"/>
                      <w:highlight w:val="none"/>
                      <w:lang w:eastAsia="zh-CN"/>
                    </w:rPr>
                    <w:t>水量（</w:t>
                  </w:r>
                  <w:r>
                    <w:rPr>
                      <w:color w:val="auto"/>
                      <w:sz w:val="21"/>
                      <w:szCs w:val="21"/>
                      <w:highlight w:val="none"/>
                    </w:rPr>
                    <w:t>m</w:t>
                  </w:r>
                  <w:r>
                    <w:rPr>
                      <w:color w:val="auto"/>
                      <w:sz w:val="21"/>
                      <w:szCs w:val="21"/>
                      <w:highlight w:val="none"/>
                      <w:vertAlign w:val="superscript"/>
                    </w:rPr>
                    <w:t>3</w:t>
                  </w:r>
                  <w:r>
                    <w:rPr>
                      <w:color w:val="auto"/>
                      <w:sz w:val="21"/>
                      <w:szCs w:val="21"/>
                      <w:highlight w:val="none"/>
                    </w:rPr>
                    <w:t>/a</w:t>
                  </w:r>
                  <w:r>
                    <w:rPr>
                      <w:rFonts w:hint="eastAsia"/>
                      <w:color w:val="auto"/>
                      <w:sz w:val="21"/>
                      <w:szCs w:val="21"/>
                      <w:highlight w:val="none"/>
                      <w:lang w:eastAsia="zh-CN"/>
                    </w:rPr>
                    <w:t>）</w:t>
                  </w:r>
                </w:p>
              </w:tc>
              <w:tc>
                <w:tcPr>
                  <w:tcW w:w="3789" w:type="dxa"/>
                  <w:gridSpan w:val="2"/>
                  <w:noWrap w:val="0"/>
                  <w:vAlign w:val="center"/>
                </w:tcPr>
                <w:p w14:paraId="606B5B9F">
                  <w:pPr>
                    <w:adjustRightInd w:val="0"/>
                    <w:snapToGrid w:val="0"/>
                    <w:spacing w:line="240" w:lineRule="auto"/>
                    <w:ind w:firstLine="0" w:firstLineChars="0"/>
                    <w:jc w:val="center"/>
                    <w:rPr>
                      <w:rFonts w:hint="default"/>
                      <w:b/>
                      <w:bCs/>
                      <w:color w:val="auto"/>
                      <w:sz w:val="21"/>
                      <w:szCs w:val="21"/>
                      <w:highlight w:val="none"/>
                      <w:lang w:val="en-US"/>
                    </w:rPr>
                  </w:pPr>
                  <w:r>
                    <w:rPr>
                      <w:rFonts w:hint="eastAsia"/>
                      <w:color w:val="auto"/>
                      <w:sz w:val="21"/>
                      <w:szCs w:val="21"/>
                      <w:highlight w:val="none"/>
                      <w:lang w:val="en-US" w:eastAsia="zh-CN"/>
                    </w:rPr>
                    <w:t>432</w:t>
                  </w:r>
                </w:p>
              </w:tc>
            </w:tr>
            <w:tr w14:paraId="43971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1" w:type="dxa"/>
                  <w:vMerge w:val="continue"/>
                  <w:noWrap w:val="0"/>
                  <w:vAlign w:val="center"/>
                </w:tcPr>
                <w:p w14:paraId="6F46E1D2">
                  <w:pPr>
                    <w:adjustRightInd w:val="0"/>
                    <w:snapToGrid w:val="0"/>
                    <w:spacing w:line="240" w:lineRule="auto"/>
                    <w:ind w:firstLine="0" w:firstLineChars="0"/>
                    <w:jc w:val="center"/>
                    <w:rPr>
                      <w:color w:val="auto"/>
                      <w:sz w:val="21"/>
                      <w:szCs w:val="21"/>
                      <w:highlight w:val="none"/>
                    </w:rPr>
                  </w:pPr>
                </w:p>
              </w:tc>
              <w:tc>
                <w:tcPr>
                  <w:tcW w:w="2298" w:type="dxa"/>
                  <w:noWrap w:val="0"/>
                  <w:vAlign w:val="center"/>
                </w:tcPr>
                <w:p w14:paraId="7E2DFEE3">
                  <w:pPr>
                    <w:keepNext w:val="0"/>
                    <w:keepLines w:val="0"/>
                    <w:pageBreakBefore w:val="0"/>
                    <w:kinsoku/>
                    <w:wordWrap/>
                    <w:overflowPunct/>
                    <w:topLinePunct w:val="0"/>
                    <w:autoSpaceDE/>
                    <w:autoSpaceDN/>
                    <w:bidi w:val="0"/>
                    <w:adjustRightInd w:val="0"/>
                    <w:snapToGrid w:val="0"/>
                    <w:jc w:val="center"/>
                    <w:rPr>
                      <w:color w:val="auto"/>
                      <w:sz w:val="21"/>
                      <w:szCs w:val="21"/>
                      <w:highlight w:val="none"/>
                    </w:rPr>
                  </w:pPr>
                  <w:r>
                    <w:rPr>
                      <w:rFonts w:hint="default" w:ascii="Times New Roman" w:hAnsi="Times New Roman" w:cs="Times New Roman"/>
                      <w:bCs/>
                      <w:color w:val="auto"/>
                      <w:sz w:val="21"/>
                      <w:szCs w:val="21"/>
                      <w:highlight w:val="none"/>
                    </w:rPr>
                    <w:t>CODcr</w:t>
                  </w:r>
                </w:p>
              </w:tc>
              <w:tc>
                <w:tcPr>
                  <w:tcW w:w="2049" w:type="dxa"/>
                  <w:noWrap w:val="0"/>
                  <w:vAlign w:val="center"/>
                </w:tcPr>
                <w:p w14:paraId="19EBB606">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185</w:t>
                  </w:r>
                </w:p>
              </w:tc>
              <w:tc>
                <w:tcPr>
                  <w:tcW w:w="1740" w:type="dxa"/>
                  <w:noWrap w:val="0"/>
                  <w:vAlign w:val="center"/>
                </w:tcPr>
                <w:p w14:paraId="0F8EF9A9">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0.080 </w:t>
                  </w:r>
                </w:p>
              </w:tc>
            </w:tr>
            <w:tr w14:paraId="4CE03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691" w:type="dxa"/>
                  <w:vMerge w:val="continue"/>
                  <w:noWrap w:val="0"/>
                  <w:vAlign w:val="center"/>
                </w:tcPr>
                <w:p w14:paraId="7E1BB284">
                  <w:pPr>
                    <w:adjustRightInd w:val="0"/>
                    <w:snapToGrid w:val="0"/>
                    <w:spacing w:line="240" w:lineRule="auto"/>
                    <w:ind w:firstLine="0" w:firstLineChars="0"/>
                    <w:jc w:val="center"/>
                    <w:rPr>
                      <w:color w:val="auto"/>
                      <w:sz w:val="21"/>
                      <w:szCs w:val="21"/>
                      <w:highlight w:val="none"/>
                    </w:rPr>
                  </w:pPr>
                </w:p>
              </w:tc>
              <w:tc>
                <w:tcPr>
                  <w:tcW w:w="2298" w:type="dxa"/>
                  <w:noWrap w:val="0"/>
                  <w:vAlign w:val="center"/>
                </w:tcPr>
                <w:p w14:paraId="357B2D75">
                  <w:pPr>
                    <w:keepNext w:val="0"/>
                    <w:keepLines w:val="0"/>
                    <w:pageBreakBefore w:val="0"/>
                    <w:kinsoku/>
                    <w:wordWrap/>
                    <w:overflowPunct/>
                    <w:topLinePunct w:val="0"/>
                    <w:autoSpaceDE/>
                    <w:autoSpaceDN/>
                    <w:bidi w:val="0"/>
                    <w:adjustRightInd w:val="0"/>
                    <w:snapToGrid w:val="0"/>
                    <w:jc w:val="center"/>
                    <w:rPr>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2049" w:type="dxa"/>
                  <w:noWrap w:val="0"/>
                  <w:vAlign w:val="center"/>
                </w:tcPr>
                <w:p w14:paraId="684632A0">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145</w:t>
                  </w:r>
                </w:p>
              </w:tc>
              <w:tc>
                <w:tcPr>
                  <w:tcW w:w="1740" w:type="dxa"/>
                  <w:noWrap w:val="0"/>
                  <w:vAlign w:val="center"/>
                </w:tcPr>
                <w:p w14:paraId="3F56803E">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0.063 </w:t>
                  </w:r>
                </w:p>
              </w:tc>
            </w:tr>
            <w:tr w14:paraId="78F6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1" w:type="dxa"/>
                  <w:vMerge w:val="continue"/>
                  <w:noWrap w:val="0"/>
                  <w:vAlign w:val="center"/>
                </w:tcPr>
                <w:p w14:paraId="290809D0">
                  <w:pPr>
                    <w:adjustRightInd w:val="0"/>
                    <w:snapToGrid w:val="0"/>
                    <w:spacing w:line="240" w:lineRule="auto"/>
                    <w:ind w:firstLine="0" w:firstLineChars="0"/>
                    <w:jc w:val="center"/>
                    <w:rPr>
                      <w:color w:val="auto"/>
                      <w:sz w:val="21"/>
                      <w:szCs w:val="21"/>
                      <w:highlight w:val="none"/>
                    </w:rPr>
                  </w:pPr>
                </w:p>
              </w:tc>
              <w:tc>
                <w:tcPr>
                  <w:tcW w:w="2298" w:type="dxa"/>
                  <w:noWrap w:val="0"/>
                  <w:vAlign w:val="center"/>
                </w:tcPr>
                <w:p w14:paraId="6006A43E">
                  <w:pPr>
                    <w:keepNext w:val="0"/>
                    <w:keepLines w:val="0"/>
                    <w:pageBreakBefore w:val="0"/>
                    <w:kinsoku/>
                    <w:wordWrap/>
                    <w:overflowPunct/>
                    <w:topLinePunct w:val="0"/>
                    <w:autoSpaceDE/>
                    <w:autoSpaceDN/>
                    <w:bidi w:val="0"/>
                    <w:adjustRightInd w:val="0"/>
                    <w:snapToGrid w:val="0"/>
                    <w:jc w:val="center"/>
                    <w:rPr>
                      <w:color w:val="auto"/>
                      <w:sz w:val="21"/>
                      <w:szCs w:val="21"/>
                      <w:highlight w:val="none"/>
                    </w:rPr>
                  </w:pPr>
                  <w:r>
                    <w:rPr>
                      <w:rFonts w:hint="default" w:ascii="Times New Roman" w:hAnsi="Times New Roman" w:cs="Times New Roman"/>
                      <w:color w:val="auto"/>
                      <w:sz w:val="21"/>
                      <w:szCs w:val="21"/>
                      <w:highlight w:val="none"/>
                      <w:lang w:val="en-US" w:eastAsia="zh-CN"/>
                    </w:rPr>
                    <w:t>氨氮</w:t>
                  </w:r>
                </w:p>
              </w:tc>
              <w:tc>
                <w:tcPr>
                  <w:tcW w:w="2049" w:type="dxa"/>
                  <w:noWrap w:val="0"/>
                  <w:vAlign w:val="center"/>
                </w:tcPr>
                <w:p w14:paraId="06C93D70">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bidi="ar"/>
                    </w:rPr>
                  </w:pPr>
                  <w:r>
                    <w:rPr>
                      <w:rFonts w:hint="eastAsia" w:cs="Times New Roman"/>
                      <w:i w:val="0"/>
                      <w:iCs w:val="0"/>
                      <w:color w:val="auto"/>
                      <w:kern w:val="0"/>
                      <w:sz w:val="21"/>
                      <w:szCs w:val="21"/>
                      <w:highlight w:val="none"/>
                      <w:u w:val="none"/>
                      <w:lang w:val="en-US" w:eastAsia="zh-CN" w:bidi="ar"/>
                    </w:rPr>
                    <w:t>3.75</w:t>
                  </w:r>
                </w:p>
              </w:tc>
              <w:tc>
                <w:tcPr>
                  <w:tcW w:w="1740" w:type="dxa"/>
                  <w:noWrap w:val="0"/>
                  <w:vAlign w:val="center"/>
                </w:tcPr>
                <w:p w14:paraId="57E69E8F">
                  <w:pPr>
                    <w:keepNext w:val="0"/>
                    <w:keepLines w:val="0"/>
                    <w:widowControl/>
                    <w:suppressLineNumbers w:val="0"/>
                    <w:jc w:val="center"/>
                    <w:textAlignment w:val="center"/>
                    <w:rPr>
                      <w:rFonts w:hint="default" w:ascii="Times New Roman" w:hAnsi="Times New Roman" w:cs="Times New Roman"/>
                      <w:color w:val="auto"/>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r>
            <w:tr w14:paraId="7A63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691" w:type="dxa"/>
                  <w:vMerge w:val="continue"/>
                  <w:noWrap w:val="0"/>
                  <w:vAlign w:val="center"/>
                </w:tcPr>
                <w:p w14:paraId="667BB363">
                  <w:pPr>
                    <w:adjustRightInd w:val="0"/>
                    <w:snapToGrid w:val="0"/>
                    <w:spacing w:line="240" w:lineRule="auto"/>
                    <w:ind w:firstLine="0" w:firstLineChars="0"/>
                    <w:jc w:val="center"/>
                    <w:rPr>
                      <w:color w:val="auto"/>
                      <w:sz w:val="21"/>
                      <w:szCs w:val="21"/>
                      <w:highlight w:val="none"/>
                    </w:rPr>
                  </w:pPr>
                </w:p>
              </w:tc>
              <w:tc>
                <w:tcPr>
                  <w:tcW w:w="2298" w:type="dxa"/>
                  <w:noWrap w:val="0"/>
                  <w:vAlign w:val="center"/>
                </w:tcPr>
                <w:p w14:paraId="19C23707">
                  <w:pPr>
                    <w:keepNext w:val="0"/>
                    <w:keepLines w:val="0"/>
                    <w:pageBreakBefore w:val="0"/>
                    <w:kinsoku/>
                    <w:wordWrap/>
                    <w:overflowPunct/>
                    <w:topLinePunct w:val="0"/>
                    <w:autoSpaceDE/>
                    <w:autoSpaceDN/>
                    <w:bidi w:val="0"/>
                    <w:adjustRightInd w:val="0"/>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总磷</w:t>
                  </w:r>
                </w:p>
              </w:tc>
              <w:tc>
                <w:tcPr>
                  <w:tcW w:w="2049" w:type="dxa"/>
                  <w:noWrap w:val="0"/>
                  <w:vAlign w:val="center"/>
                </w:tcPr>
                <w:p w14:paraId="5D158F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1740" w:type="dxa"/>
                  <w:noWrap w:val="0"/>
                  <w:vAlign w:val="center"/>
                </w:tcPr>
                <w:p w14:paraId="1C7613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0.0004 </w:t>
                  </w:r>
                </w:p>
              </w:tc>
            </w:tr>
          </w:tbl>
          <w:p w14:paraId="5CD9B8A5">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cs="Times New Roman"/>
                <w:b/>
                <w:bCs w:val="0"/>
                <w:color w:val="auto"/>
                <w:sz w:val="21"/>
                <w:szCs w:val="21"/>
                <w:highlight w:val="none"/>
                <w:lang w:val="en-US" w:eastAsia="zh-CN"/>
              </w:rPr>
            </w:pPr>
            <w:r>
              <w:rPr>
                <w:rFonts w:hint="eastAsia" w:cs="Times New Roman"/>
                <w:b w:val="0"/>
                <w:bCs/>
                <w:color w:val="auto"/>
                <w:sz w:val="24"/>
                <w:szCs w:val="24"/>
                <w:highlight w:val="none"/>
                <w:lang w:val="en-US" w:eastAsia="zh-CN"/>
              </w:rPr>
              <w:t>本次技改后全厂生产废水总排放量如下表所示</w:t>
            </w:r>
            <w:r>
              <w:rPr>
                <w:rFonts w:hint="default" w:ascii="Times New Roman" w:hAnsi="Times New Roman" w:cs="Times New Roman"/>
                <w:b w:val="0"/>
                <w:bCs/>
                <w:color w:val="auto"/>
                <w:sz w:val="24"/>
                <w:szCs w:val="24"/>
                <w:highlight w:val="none"/>
                <w:lang w:val="en-US" w:eastAsia="zh-CN"/>
              </w:rPr>
              <w:t>：</w:t>
            </w:r>
          </w:p>
          <w:p w14:paraId="4BB8C5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表4-1</w:t>
            </w:r>
            <w:r>
              <w:rPr>
                <w:rFonts w:hint="eastAsia" w:cs="Times New Roman"/>
                <w:b/>
                <w:bCs w:val="0"/>
                <w:color w:val="auto"/>
                <w:sz w:val="21"/>
                <w:szCs w:val="21"/>
                <w:highlight w:val="none"/>
                <w:lang w:val="en-US" w:eastAsia="zh-CN"/>
              </w:rPr>
              <w:t>3</w:t>
            </w:r>
            <w:r>
              <w:rPr>
                <w:rFonts w:hint="default" w:ascii="Times New Roman" w:hAnsi="Times New Roman" w:cs="Times New Roman"/>
                <w:b/>
                <w:bCs w:val="0"/>
                <w:color w:val="auto"/>
                <w:sz w:val="21"/>
                <w:szCs w:val="21"/>
                <w:highlight w:val="none"/>
                <w:lang w:val="en-US" w:eastAsia="zh-CN"/>
              </w:rPr>
              <w:t xml:space="preserve">  </w:t>
            </w:r>
            <w:r>
              <w:rPr>
                <w:rFonts w:hint="eastAsia" w:cs="Times New Roman"/>
                <w:b/>
                <w:bCs w:val="0"/>
                <w:color w:val="auto"/>
                <w:sz w:val="21"/>
                <w:szCs w:val="21"/>
                <w:highlight w:val="none"/>
                <w:lang w:val="en-US" w:eastAsia="zh-CN"/>
              </w:rPr>
              <w:t>技改后全厂生产废水总</w:t>
            </w:r>
            <w:r>
              <w:rPr>
                <w:rFonts w:hint="default" w:ascii="Times New Roman" w:hAnsi="Times New Roman" w:cs="Times New Roman"/>
                <w:b/>
                <w:bCs w:val="0"/>
                <w:color w:val="auto"/>
                <w:sz w:val="21"/>
                <w:szCs w:val="21"/>
                <w:highlight w:val="none"/>
                <w:lang w:val="en-US" w:eastAsia="zh-CN"/>
              </w:rPr>
              <w:t>排放</w:t>
            </w:r>
            <w:r>
              <w:rPr>
                <w:rFonts w:hint="eastAsia" w:cs="Times New Roman"/>
                <w:b/>
                <w:bCs w:val="0"/>
                <w:color w:val="auto"/>
                <w:sz w:val="21"/>
                <w:szCs w:val="21"/>
                <w:highlight w:val="none"/>
                <w:lang w:val="en-US" w:eastAsia="zh-CN"/>
              </w:rPr>
              <w:t>量汇总一览表</w:t>
            </w:r>
          </w:p>
          <w:tbl>
            <w:tblPr>
              <w:tblStyle w:val="22"/>
              <w:tblW w:w="7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240"/>
              <w:gridCol w:w="1434"/>
              <w:gridCol w:w="1270"/>
              <w:gridCol w:w="1527"/>
              <w:gridCol w:w="1467"/>
              <w:gridCol w:w="4"/>
              <w:gridCol w:w="4"/>
            </w:tblGrid>
            <w:tr w14:paraId="3763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241" w:hRule="atLeast"/>
                <w:jc w:val="center"/>
              </w:trPr>
              <w:tc>
                <w:tcPr>
                  <w:tcW w:w="840" w:type="dxa"/>
                  <w:vMerge w:val="restart"/>
                  <w:vAlign w:val="center"/>
                </w:tcPr>
                <w:p w14:paraId="4AEB05E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污染源</w:t>
                  </w:r>
                </w:p>
              </w:tc>
              <w:tc>
                <w:tcPr>
                  <w:tcW w:w="1240" w:type="dxa"/>
                  <w:vMerge w:val="restart"/>
                  <w:vAlign w:val="center"/>
                </w:tcPr>
                <w:p w14:paraId="02ABE3A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治理措施</w:t>
                  </w:r>
                </w:p>
              </w:tc>
              <w:tc>
                <w:tcPr>
                  <w:tcW w:w="1434" w:type="dxa"/>
                  <w:vMerge w:val="restart"/>
                  <w:vAlign w:val="center"/>
                </w:tcPr>
                <w:p w14:paraId="342188B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污染物名称</w:t>
                  </w:r>
                </w:p>
              </w:tc>
              <w:tc>
                <w:tcPr>
                  <w:tcW w:w="4268" w:type="dxa"/>
                  <w:gridSpan w:val="4"/>
                  <w:vAlign w:val="center"/>
                </w:tcPr>
                <w:p w14:paraId="44729847">
                  <w:pPr>
                    <w:keepNext w:val="0"/>
                    <w:keepLines w:val="0"/>
                    <w:pageBreakBefore w:val="0"/>
                    <w:kinsoku/>
                    <w:wordWrap/>
                    <w:overflowPunct/>
                    <w:topLinePunct w:val="0"/>
                    <w:autoSpaceDE/>
                    <w:autoSpaceDN/>
                    <w:bidi w:val="0"/>
                    <w:adjustRightInd w:val="0"/>
                    <w:snapToGrid w:val="0"/>
                    <w:jc w:val="center"/>
                    <w:rPr>
                      <w:rFonts w:hint="eastAsia" w:cs="Times New Roman"/>
                      <w:b/>
                      <w:color w:val="auto"/>
                      <w:szCs w:val="21"/>
                      <w:highlight w:val="none"/>
                      <w:lang w:val="en-US" w:eastAsia="zh-CN"/>
                    </w:rPr>
                  </w:pPr>
                  <w:r>
                    <w:rPr>
                      <w:rFonts w:hint="default" w:ascii="Times New Roman" w:hAnsi="Times New Roman" w:cs="Times New Roman"/>
                      <w:b/>
                      <w:color w:val="auto"/>
                      <w:szCs w:val="21"/>
                      <w:highlight w:val="none"/>
                    </w:rPr>
                    <w:t>排放量（t/a）</w:t>
                  </w:r>
                </w:p>
              </w:tc>
            </w:tr>
            <w:tr w14:paraId="6E02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840" w:type="dxa"/>
                  <w:vMerge w:val="continue"/>
                  <w:vAlign w:val="center"/>
                </w:tcPr>
                <w:p w14:paraId="4743506A">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Cs w:val="21"/>
                      <w:highlight w:val="none"/>
                    </w:rPr>
                  </w:pPr>
                </w:p>
              </w:tc>
              <w:tc>
                <w:tcPr>
                  <w:tcW w:w="1240" w:type="dxa"/>
                  <w:vMerge w:val="continue"/>
                  <w:vAlign w:val="center"/>
                </w:tcPr>
                <w:p w14:paraId="53107CD6">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Cs w:val="21"/>
                      <w:highlight w:val="none"/>
                    </w:rPr>
                  </w:pPr>
                </w:p>
              </w:tc>
              <w:tc>
                <w:tcPr>
                  <w:tcW w:w="1434" w:type="dxa"/>
                  <w:vMerge w:val="continue"/>
                  <w:vAlign w:val="center"/>
                </w:tcPr>
                <w:p w14:paraId="06E5A466">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Cs w:val="21"/>
                      <w:highlight w:val="none"/>
                    </w:rPr>
                  </w:pPr>
                </w:p>
              </w:tc>
              <w:tc>
                <w:tcPr>
                  <w:tcW w:w="1270" w:type="dxa"/>
                  <w:vAlign w:val="center"/>
                </w:tcPr>
                <w:p w14:paraId="0F1BCE5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
                      <w:color w:val="auto"/>
                      <w:szCs w:val="21"/>
                      <w:highlight w:val="none"/>
                    </w:rPr>
                  </w:pPr>
                  <w:r>
                    <w:rPr>
                      <w:rFonts w:hint="eastAsia" w:cs="Times New Roman"/>
                      <w:b/>
                      <w:color w:val="auto"/>
                      <w:szCs w:val="21"/>
                      <w:highlight w:val="none"/>
                      <w:lang w:val="en-US" w:eastAsia="zh-CN"/>
                    </w:rPr>
                    <w:t>技改前</w:t>
                  </w:r>
                </w:p>
              </w:tc>
              <w:tc>
                <w:tcPr>
                  <w:tcW w:w="1527" w:type="dxa"/>
                  <w:vAlign w:val="center"/>
                </w:tcPr>
                <w:p w14:paraId="19EE164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
                      <w:color w:val="auto"/>
                      <w:szCs w:val="21"/>
                      <w:highlight w:val="none"/>
                      <w:lang w:val="en-US"/>
                    </w:rPr>
                  </w:pPr>
                  <w:r>
                    <w:rPr>
                      <w:rFonts w:hint="eastAsia" w:cs="Times New Roman"/>
                      <w:b/>
                      <w:color w:val="auto"/>
                      <w:szCs w:val="21"/>
                      <w:highlight w:val="none"/>
                      <w:lang w:val="en-US" w:eastAsia="zh-CN"/>
                    </w:rPr>
                    <w:t>本次技改增加</w:t>
                  </w:r>
                </w:p>
              </w:tc>
              <w:tc>
                <w:tcPr>
                  <w:tcW w:w="1475" w:type="dxa"/>
                  <w:gridSpan w:val="3"/>
                  <w:vAlign w:val="center"/>
                </w:tcPr>
                <w:p w14:paraId="653052DA">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
                      <w:color w:val="auto"/>
                      <w:szCs w:val="21"/>
                      <w:highlight w:val="none"/>
                    </w:rPr>
                  </w:pPr>
                  <w:r>
                    <w:rPr>
                      <w:rFonts w:hint="eastAsia" w:cs="Times New Roman"/>
                      <w:b/>
                      <w:color w:val="auto"/>
                      <w:szCs w:val="21"/>
                      <w:highlight w:val="none"/>
                      <w:lang w:val="en-US" w:eastAsia="zh-CN"/>
                    </w:rPr>
                    <w:t>技改后全厂</w:t>
                  </w:r>
                </w:p>
              </w:tc>
            </w:tr>
            <w:tr w14:paraId="30D85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 w:type="dxa"/>
                <w:trHeight w:val="90" w:hRule="atLeast"/>
                <w:jc w:val="center"/>
              </w:trPr>
              <w:tc>
                <w:tcPr>
                  <w:tcW w:w="840" w:type="dxa"/>
                  <w:vMerge w:val="restart"/>
                  <w:vAlign w:val="center"/>
                </w:tcPr>
                <w:p w14:paraId="41EF0FD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生产废水</w:t>
                  </w:r>
                </w:p>
              </w:tc>
              <w:tc>
                <w:tcPr>
                  <w:tcW w:w="1240" w:type="dxa"/>
                  <w:vMerge w:val="restart"/>
                  <w:vAlign w:val="center"/>
                </w:tcPr>
                <w:p w14:paraId="33221BA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沉淀池</w:t>
                  </w:r>
                  <w:r>
                    <w:rPr>
                      <w:rFonts w:hint="eastAsia" w:cs="Times New Roman"/>
                      <w:color w:val="auto"/>
                      <w:sz w:val="21"/>
                      <w:szCs w:val="21"/>
                      <w:highlight w:val="none"/>
                      <w:lang w:val="en-US" w:eastAsia="zh-CN"/>
                    </w:rPr>
                    <w:t>（</w:t>
                  </w:r>
                  <w:r>
                    <w:rPr>
                      <w:rFonts w:hint="eastAsia"/>
                      <w:color w:val="auto"/>
                      <w:sz w:val="21"/>
                      <w:szCs w:val="21"/>
                      <w:highlight w:val="none"/>
                      <w:lang w:val="en-US" w:eastAsia="zh-CN"/>
                    </w:rPr>
                    <w:t>调</w:t>
                  </w:r>
                  <w:r>
                    <w:rPr>
                      <w:rFonts w:hint="eastAsia"/>
                      <w:color w:val="auto"/>
                      <w:sz w:val="21"/>
                      <w:szCs w:val="21"/>
                      <w:lang w:val="en-US" w:eastAsia="zh-CN"/>
                    </w:rPr>
                    <w:t>节+气浮沉淀</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、自建一体化污水处理站</w:t>
                  </w:r>
                </w:p>
              </w:tc>
              <w:tc>
                <w:tcPr>
                  <w:tcW w:w="1434" w:type="dxa"/>
                  <w:vAlign w:val="center"/>
                </w:tcPr>
                <w:p w14:paraId="0772D04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废水量</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/a</w:t>
                  </w:r>
                </w:p>
              </w:tc>
              <w:tc>
                <w:tcPr>
                  <w:tcW w:w="1270" w:type="dxa"/>
                  <w:vAlign w:val="center"/>
                </w:tcPr>
                <w:p w14:paraId="12DA0D72">
                  <w:pPr>
                    <w:keepNext w:val="0"/>
                    <w:keepLines w:val="0"/>
                    <w:widowControl/>
                    <w:suppressLineNumbers w:val="0"/>
                    <w:spacing w:line="240" w:lineRule="auto"/>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8673</w:t>
                  </w:r>
                </w:p>
              </w:tc>
              <w:tc>
                <w:tcPr>
                  <w:tcW w:w="1527" w:type="dxa"/>
                  <w:vAlign w:val="center"/>
                </w:tcPr>
                <w:p w14:paraId="7B4A6B7C">
                  <w:pPr>
                    <w:keepNext w:val="0"/>
                    <w:keepLines w:val="0"/>
                    <w:widowControl/>
                    <w:suppressLineNumbers w:val="0"/>
                    <w:spacing w:line="240" w:lineRule="auto"/>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1309</w:t>
                  </w:r>
                </w:p>
              </w:tc>
              <w:tc>
                <w:tcPr>
                  <w:tcW w:w="1467" w:type="dxa"/>
                  <w:vAlign w:val="center"/>
                </w:tcPr>
                <w:p w14:paraId="2BEC1E9A">
                  <w:pPr>
                    <w:pStyle w:val="33"/>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9982</w:t>
                  </w:r>
                </w:p>
              </w:tc>
            </w:tr>
            <w:tr w14:paraId="562F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 w:type="dxa"/>
                <w:trHeight w:val="122" w:hRule="atLeast"/>
                <w:jc w:val="center"/>
              </w:trPr>
              <w:tc>
                <w:tcPr>
                  <w:tcW w:w="840" w:type="dxa"/>
                  <w:vMerge w:val="continue"/>
                  <w:vAlign w:val="center"/>
                </w:tcPr>
                <w:p w14:paraId="73E3A26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1240" w:type="dxa"/>
                  <w:vMerge w:val="continue"/>
                  <w:vAlign w:val="center"/>
                </w:tcPr>
                <w:p w14:paraId="59ED5CD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1434" w:type="dxa"/>
                  <w:vAlign w:val="center"/>
                </w:tcPr>
                <w:p w14:paraId="741C3A8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CODcr</w:t>
                  </w:r>
                </w:p>
              </w:tc>
              <w:tc>
                <w:tcPr>
                  <w:tcW w:w="1270" w:type="dxa"/>
                  <w:vAlign w:val="center"/>
                </w:tcPr>
                <w:p w14:paraId="3112AE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4.154 </w:t>
                  </w:r>
                </w:p>
              </w:tc>
              <w:tc>
                <w:tcPr>
                  <w:tcW w:w="1527" w:type="dxa"/>
                  <w:vAlign w:val="center"/>
                </w:tcPr>
                <w:p w14:paraId="2959C14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0.088</w:t>
                  </w:r>
                </w:p>
              </w:tc>
              <w:tc>
                <w:tcPr>
                  <w:tcW w:w="1467" w:type="dxa"/>
                  <w:vAlign w:val="center"/>
                </w:tcPr>
                <w:p w14:paraId="142701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4.242 </w:t>
                  </w:r>
                </w:p>
              </w:tc>
            </w:tr>
            <w:tr w14:paraId="56CA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 w:type="dxa"/>
                <w:trHeight w:val="215" w:hRule="atLeast"/>
                <w:jc w:val="center"/>
              </w:trPr>
              <w:tc>
                <w:tcPr>
                  <w:tcW w:w="840" w:type="dxa"/>
                  <w:vMerge w:val="continue"/>
                  <w:vAlign w:val="center"/>
                </w:tcPr>
                <w:p w14:paraId="7D0E81BA">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1240" w:type="dxa"/>
                  <w:vMerge w:val="continue"/>
                  <w:vAlign w:val="center"/>
                </w:tcPr>
                <w:p w14:paraId="7EF3E8E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1434" w:type="dxa"/>
                  <w:vAlign w:val="center"/>
                </w:tcPr>
                <w:p w14:paraId="4A49463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1270" w:type="dxa"/>
                  <w:vAlign w:val="center"/>
                </w:tcPr>
                <w:p w14:paraId="1A985E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1.813 </w:t>
                  </w:r>
                </w:p>
              </w:tc>
              <w:tc>
                <w:tcPr>
                  <w:tcW w:w="1527" w:type="dxa"/>
                  <w:vAlign w:val="center"/>
                </w:tcPr>
                <w:p w14:paraId="0FB73FB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0.063</w:t>
                  </w:r>
                </w:p>
              </w:tc>
              <w:tc>
                <w:tcPr>
                  <w:tcW w:w="1467" w:type="dxa"/>
                  <w:vAlign w:val="center"/>
                </w:tcPr>
                <w:p w14:paraId="3A6D03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1.87</w:t>
                  </w:r>
                  <w:r>
                    <w:rPr>
                      <w:rFonts w:hint="eastAsia"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 xml:space="preserve"> </w:t>
                  </w:r>
                </w:p>
              </w:tc>
            </w:tr>
            <w:tr w14:paraId="50EF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 w:type="dxa"/>
                <w:trHeight w:val="241" w:hRule="atLeast"/>
                <w:jc w:val="center"/>
              </w:trPr>
              <w:tc>
                <w:tcPr>
                  <w:tcW w:w="840" w:type="dxa"/>
                  <w:vMerge w:val="continue"/>
                  <w:vAlign w:val="center"/>
                </w:tcPr>
                <w:p w14:paraId="00EBA99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1240" w:type="dxa"/>
                  <w:vMerge w:val="continue"/>
                  <w:vAlign w:val="center"/>
                </w:tcPr>
                <w:p w14:paraId="1EA1F98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1434" w:type="dxa"/>
                  <w:vAlign w:val="center"/>
                </w:tcPr>
                <w:p w14:paraId="7AF9E92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氨氮</w:t>
                  </w:r>
                </w:p>
              </w:tc>
              <w:tc>
                <w:tcPr>
                  <w:tcW w:w="1270" w:type="dxa"/>
                  <w:vAlign w:val="center"/>
                </w:tcPr>
                <w:p w14:paraId="3C1B61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0.020 </w:t>
                  </w:r>
                </w:p>
              </w:tc>
              <w:tc>
                <w:tcPr>
                  <w:tcW w:w="1527" w:type="dxa"/>
                  <w:vAlign w:val="center"/>
                </w:tcPr>
                <w:p w14:paraId="41EC4F1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467" w:type="dxa"/>
                  <w:vAlign w:val="center"/>
                </w:tcPr>
                <w:p w14:paraId="2E8591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w:t>
                  </w:r>
                  <w:r>
                    <w:rPr>
                      <w:rFonts w:hint="eastAsia"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 xml:space="preserve"> </w:t>
                  </w:r>
                </w:p>
              </w:tc>
            </w:tr>
            <w:tr w14:paraId="7F8C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 w:type="dxa"/>
                <w:trHeight w:val="241" w:hRule="atLeast"/>
                <w:jc w:val="center"/>
              </w:trPr>
              <w:tc>
                <w:tcPr>
                  <w:tcW w:w="840" w:type="dxa"/>
                  <w:vMerge w:val="continue"/>
                  <w:vAlign w:val="center"/>
                </w:tcPr>
                <w:p w14:paraId="100FC8F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1240" w:type="dxa"/>
                  <w:vMerge w:val="continue"/>
                  <w:vAlign w:val="center"/>
                </w:tcPr>
                <w:p w14:paraId="7FF83EC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1434" w:type="dxa"/>
                  <w:vAlign w:val="center"/>
                </w:tcPr>
                <w:p w14:paraId="0A3B937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悬浮物</w:t>
                  </w:r>
                </w:p>
              </w:tc>
              <w:tc>
                <w:tcPr>
                  <w:tcW w:w="1270" w:type="dxa"/>
                  <w:vAlign w:val="center"/>
                </w:tcPr>
                <w:p w14:paraId="1B59B4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0.278 </w:t>
                  </w:r>
                </w:p>
              </w:tc>
              <w:tc>
                <w:tcPr>
                  <w:tcW w:w="1527" w:type="dxa"/>
                  <w:vAlign w:val="center"/>
                </w:tcPr>
                <w:p w14:paraId="141DE0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0.037</w:t>
                  </w:r>
                </w:p>
              </w:tc>
              <w:tc>
                <w:tcPr>
                  <w:tcW w:w="1467" w:type="dxa"/>
                  <w:vAlign w:val="center"/>
                </w:tcPr>
                <w:p w14:paraId="67C8CE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0.315</w:t>
                  </w:r>
                </w:p>
              </w:tc>
            </w:tr>
            <w:tr w14:paraId="415D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 w:type="dxa"/>
                <w:trHeight w:val="261" w:hRule="atLeast"/>
                <w:jc w:val="center"/>
              </w:trPr>
              <w:tc>
                <w:tcPr>
                  <w:tcW w:w="840" w:type="dxa"/>
                  <w:vMerge w:val="continue"/>
                  <w:vAlign w:val="center"/>
                </w:tcPr>
                <w:p w14:paraId="13BCA506">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1240" w:type="dxa"/>
                  <w:vMerge w:val="continue"/>
                  <w:vAlign w:val="center"/>
                </w:tcPr>
                <w:p w14:paraId="689CC74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1434" w:type="dxa"/>
                  <w:vAlign w:val="center"/>
                </w:tcPr>
                <w:p w14:paraId="46C0CF6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总磷</w:t>
                  </w:r>
                </w:p>
              </w:tc>
              <w:tc>
                <w:tcPr>
                  <w:tcW w:w="1270" w:type="dxa"/>
                  <w:vAlign w:val="center"/>
                </w:tcPr>
                <w:p w14:paraId="4305BB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c>
                <w:tcPr>
                  <w:tcW w:w="1527" w:type="dxa"/>
                  <w:vAlign w:val="center"/>
                </w:tcPr>
                <w:p w14:paraId="49B3EC3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0.0005</w:t>
                  </w:r>
                </w:p>
              </w:tc>
              <w:tc>
                <w:tcPr>
                  <w:tcW w:w="1467" w:type="dxa"/>
                  <w:vAlign w:val="center"/>
                </w:tcPr>
                <w:p w14:paraId="15210D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0.002</w:t>
                  </w:r>
                  <w:r>
                    <w:rPr>
                      <w:rFonts w:hint="eastAsia" w:cs="Times New Roman"/>
                      <w:i w:val="0"/>
                      <w:iCs w:val="0"/>
                      <w:color w:val="auto"/>
                      <w:kern w:val="0"/>
                      <w:sz w:val="21"/>
                      <w:szCs w:val="21"/>
                      <w:u w:val="none"/>
                      <w:lang w:val="en-US" w:eastAsia="zh-CN" w:bidi="ar"/>
                    </w:rPr>
                    <w:t>5</w:t>
                  </w:r>
                </w:p>
              </w:tc>
            </w:tr>
          </w:tbl>
          <w:p w14:paraId="3100DC67">
            <w:pPr>
              <w:spacing w:line="360" w:lineRule="auto"/>
              <w:ind w:firstLine="482" w:firstLineChars="200"/>
              <w:textAlignment w:val="center"/>
              <w:rPr>
                <w:rFonts w:hint="default" w:ascii="Times New Roman" w:hAnsi="Times New Roman" w:eastAsia="宋体" w:cs="Times New Roman"/>
                <w:color w:val="auto"/>
                <w:sz w:val="24"/>
                <w:szCs w:val="24"/>
                <w:highlight w:val="none"/>
                <w:lang w:val="en-US" w:eastAsia="zh-CN"/>
              </w:rPr>
            </w:pPr>
            <w:r>
              <w:rPr>
                <w:rFonts w:hint="eastAsia"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rPr>
              <w:t>非正常排放情况</w:t>
            </w:r>
          </w:p>
          <w:p w14:paraId="2B246AD3">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b w:val="0"/>
                <w:bCs w:val="0"/>
                <w:color w:val="auto"/>
                <w:sz w:val="24"/>
                <w:szCs w:val="24"/>
                <w:lang w:val="en-US" w:eastAsia="zh-CN"/>
              </w:rPr>
            </w:pPr>
            <w:r>
              <w:rPr>
                <w:rFonts w:hint="eastAsia"/>
                <w:b w:val="0"/>
                <w:bCs w:val="0"/>
                <w:color w:val="auto"/>
                <w:sz w:val="24"/>
                <w:szCs w:val="24"/>
                <w:highlight w:val="none"/>
                <w:lang w:val="en-US" w:eastAsia="zh-CN"/>
              </w:rPr>
              <w:t>若厂区自建污水处理设施出现故障，势必造成污水处理效率下降，影响废水总排口出水水质，最终不能达标排放。</w:t>
            </w:r>
            <w:r>
              <w:rPr>
                <w:rFonts w:hint="eastAsia"/>
                <w:b w:val="0"/>
                <w:bCs w:val="0"/>
                <w:color w:val="auto"/>
                <w:sz w:val="24"/>
                <w:szCs w:val="24"/>
                <w:lang w:val="en-US" w:eastAsia="zh-CN"/>
              </w:rPr>
              <w:t>建设单位应定期对环保设施进行巡检，保证污水处理设施去除效果，当出现设备故障时，应及时停止生产，并对处理设施进行检修。</w:t>
            </w:r>
          </w:p>
          <w:p w14:paraId="0C859570">
            <w:pPr>
              <w:spacing w:line="360" w:lineRule="auto"/>
              <w:ind w:firstLine="482" w:firstLineChars="200"/>
              <w:rPr>
                <w:rFonts w:hint="default" w:ascii="Times New Roman" w:hAnsi="Times New Roman" w:cs="Times New Roman"/>
                <w:b/>
                <w:bCs/>
                <w:color w:val="auto"/>
                <w:sz w:val="24"/>
                <w:lang w:val="en-US" w:eastAsia="zh-CN"/>
              </w:rPr>
            </w:pPr>
            <w:r>
              <w:rPr>
                <w:rFonts w:hint="eastAsia" w:cs="Times New Roman"/>
                <w:b/>
                <w:bCs/>
                <w:color w:val="auto"/>
                <w:sz w:val="24"/>
                <w:lang w:val="en-US" w:eastAsia="zh-CN"/>
              </w:rPr>
              <w:t>4、废水治理设施及排放口基本信息</w:t>
            </w:r>
          </w:p>
          <w:p w14:paraId="2FD116D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rPr>
            </w:pPr>
            <w:r>
              <w:rPr>
                <w:rFonts w:ascii="宋体" w:hAnsi="宋体" w:eastAsia="宋体" w:cs="宋体"/>
                <w:color w:val="auto"/>
                <w:spacing w:val="0"/>
                <w:w w:val="100"/>
                <w:position w:val="0"/>
                <w:sz w:val="24"/>
                <w:szCs w:val="24"/>
              </w:rPr>
              <w:t>项目废水间接</w:t>
            </w:r>
            <w:r>
              <w:rPr>
                <w:rFonts w:hint="default" w:ascii="Times New Roman" w:hAnsi="Times New Roman" w:eastAsia="宋体" w:cs="Times New Roman"/>
                <w:color w:val="auto"/>
                <w:spacing w:val="0"/>
                <w:w w:val="100"/>
                <w:position w:val="0"/>
                <w:sz w:val="24"/>
                <w:szCs w:val="24"/>
              </w:rPr>
              <w:t>排放，废水间接排放口基本情况见</w:t>
            </w:r>
            <w:r>
              <w:rPr>
                <w:rFonts w:hint="eastAsia" w:ascii="Times New Roman" w:hAnsi="Times New Roman" w:eastAsia="宋体" w:cs="Times New Roman"/>
                <w:color w:val="auto"/>
                <w:spacing w:val="0"/>
                <w:w w:val="100"/>
                <w:position w:val="0"/>
                <w:sz w:val="24"/>
                <w:szCs w:val="24"/>
                <w:lang w:val="en-US" w:eastAsia="zh-CN"/>
              </w:rPr>
              <w:t>下表</w:t>
            </w:r>
            <w:r>
              <w:rPr>
                <w:rFonts w:hint="default" w:ascii="Times New Roman" w:hAnsi="Times New Roman" w:eastAsia="宋体" w:cs="Times New Roman"/>
                <w:color w:val="auto"/>
                <w:spacing w:val="0"/>
                <w:w w:val="100"/>
                <w:position w:val="0"/>
                <w:sz w:val="24"/>
                <w:szCs w:val="24"/>
              </w:rPr>
              <w:t>。</w:t>
            </w:r>
          </w:p>
          <w:p w14:paraId="25F23E9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highlight w:val="none"/>
              </w:rPr>
              <w:t>表4-</w:t>
            </w:r>
            <w:r>
              <w:rPr>
                <w:rFonts w:hint="eastAsia" w:ascii="Times New Roman" w:hAnsi="Times New Roman" w:eastAsia="宋体" w:cs="Times New Roman"/>
                <w:b/>
                <w:bCs/>
                <w:color w:val="auto"/>
                <w:spacing w:val="0"/>
                <w:w w:val="100"/>
                <w:position w:val="0"/>
                <w:sz w:val="21"/>
                <w:szCs w:val="21"/>
                <w:highlight w:val="none"/>
                <w:lang w:val="en-US" w:eastAsia="zh-CN"/>
              </w:rPr>
              <w:t>1</w:t>
            </w:r>
            <w:r>
              <w:rPr>
                <w:rFonts w:hint="eastAsia" w:cs="Times New Roman"/>
                <w:b/>
                <w:bCs/>
                <w:color w:val="auto"/>
                <w:spacing w:val="0"/>
                <w:w w:val="100"/>
                <w:position w:val="0"/>
                <w:sz w:val="21"/>
                <w:szCs w:val="21"/>
                <w:highlight w:val="none"/>
                <w:lang w:val="en-US" w:eastAsia="zh-CN"/>
              </w:rPr>
              <w:t>4</w:t>
            </w:r>
            <w:r>
              <w:rPr>
                <w:rFonts w:hint="default" w:ascii="Times New Roman" w:hAnsi="Times New Roman" w:eastAsia="宋体" w:cs="Times New Roman"/>
                <w:b/>
                <w:bCs/>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olor w:val="auto"/>
                <w:spacing w:val="0"/>
                <w:w w:val="100"/>
                <w:position w:val="0"/>
                <w:sz w:val="21"/>
                <w:szCs w:val="21"/>
              </w:rPr>
              <w:t>项目</w:t>
            </w:r>
            <w:r>
              <w:rPr>
                <w:rFonts w:ascii="宋体" w:hAnsi="宋体" w:eastAsia="宋体" w:cs="宋体"/>
                <w:b/>
                <w:bCs/>
                <w:color w:val="auto"/>
                <w:spacing w:val="0"/>
                <w:w w:val="100"/>
                <w:position w:val="0"/>
                <w:sz w:val="21"/>
                <w:szCs w:val="21"/>
              </w:rPr>
              <w:t>废水间接排放口基本情况表</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390"/>
              <w:gridCol w:w="895"/>
              <w:gridCol w:w="912"/>
              <w:gridCol w:w="1088"/>
              <w:gridCol w:w="964"/>
              <w:gridCol w:w="463"/>
              <w:gridCol w:w="1923"/>
              <w:gridCol w:w="660"/>
            </w:tblGrid>
            <w:tr w14:paraId="0D26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6" w:type="pct"/>
                  <w:vMerge w:val="restart"/>
                  <w:noWrap w:val="0"/>
                  <w:vAlign w:val="center"/>
                </w:tcPr>
                <w:p w14:paraId="488AF0D8">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b/>
                      <w:bCs/>
                      <w:color w:val="auto"/>
                      <w:sz w:val="21"/>
                      <w:szCs w:val="21"/>
                    </w:rPr>
                  </w:pPr>
                  <w:r>
                    <w:rPr>
                      <w:b/>
                      <w:bCs/>
                      <w:color w:val="auto"/>
                      <w:sz w:val="21"/>
                      <w:szCs w:val="21"/>
                    </w:rPr>
                    <w:t>排放口编号</w:t>
                  </w:r>
                </w:p>
              </w:tc>
              <w:tc>
                <w:tcPr>
                  <w:tcW w:w="241" w:type="pct"/>
                  <w:vMerge w:val="restart"/>
                  <w:noWrap w:val="0"/>
                  <w:vAlign w:val="center"/>
                </w:tcPr>
                <w:p w14:paraId="28C95D16">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b/>
                      <w:bCs/>
                      <w:color w:val="auto"/>
                      <w:sz w:val="21"/>
                      <w:szCs w:val="21"/>
                    </w:rPr>
                  </w:pPr>
                  <w:r>
                    <w:rPr>
                      <w:b/>
                      <w:bCs/>
                      <w:color w:val="auto"/>
                      <w:sz w:val="21"/>
                      <w:szCs w:val="21"/>
                    </w:rPr>
                    <w:t>排放口名称</w:t>
                  </w:r>
                </w:p>
              </w:tc>
              <w:tc>
                <w:tcPr>
                  <w:tcW w:w="1117" w:type="pct"/>
                  <w:gridSpan w:val="2"/>
                  <w:noWrap w:val="0"/>
                  <w:vAlign w:val="center"/>
                </w:tcPr>
                <w:p w14:paraId="73442D90">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b/>
                      <w:bCs/>
                      <w:color w:val="auto"/>
                      <w:sz w:val="21"/>
                      <w:szCs w:val="21"/>
                    </w:rPr>
                  </w:pPr>
                  <w:r>
                    <w:rPr>
                      <w:b/>
                      <w:bCs/>
                      <w:color w:val="auto"/>
                      <w:sz w:val="21"/>
                      <w:szCs w:val="21"/>
                    </w:rPr>
                    <w:t>排放口地理坐标</w:t>
                  </w:r>
                </w:p>
              </w:tc>
              <w:tc>
                <w:tcPr>
                  <w:tcW w:w="673" w:type="pct"/>
                  <w:vMerge w:val="restart"/>
                  <w:noWrap w:val="0"/>
                  <w:vAlign w:val="center"/>
                </w:tcPr>
                <w:p w14:paraId="6914084E">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b/>
                      <w:bCs/>
                      <w:color w:val="auto"/>
                      <w:sz w:val="21"/>
                      <w:szCs w:val="21"/>
                    </w:rPr>
                  </w:pPr>
                  <w:r>
                    <w:rPr>
                      <w:b/>
                      <w:bCs/>
                      <w:color w:val="auto"/>
                      <w:sz w:val="21"/>
                      <w:szCs w:val="21"/>
                    </w:rPr>
                    <w:t>排放去向</w:t>
                  </w:r>
                </w:p>
              </w:tc>
              <w:tc>
                <w:tcPr>
                  <w:tcW w:w="596" w:type="pct"/>
                  <w:vMerge w:val="restart"/>
                  <w:noWrap w:val="0"/>
                  <w:vAlign w:val="center"/>
                </w:tcPr>
                <w:p w14:paraId="23706F24">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b/>
                      <w:bCs/>
                      <w:color w:val="auto"/>
                      <w:sz w:val="21"/>
                      <w:szCs w:val="21"/>
                    </w:rPr>
                  </w:pPr>
                  <w:r>
                    <w:rPr>
                      <w:b/>
                      <w:bCs/>
                      <w:color w:val="auto"/>
                      <w:sz w:val="21"/>
                      <w:szCs w:val="21"/>
                    </w:rPr>
                    <w:t>排放规律</w:t>
                  </w:r>
                </w:p>
              </w:tc>
              <w:tc>
                <w:tcPr>
                  <w:tcW w:w="286" w:type="pct"/>
                  <w:vMerge w:val="restart"/>
                  <w:noWrap w:val="0"/>
                  <w:vAlign w:val="center"/>
                </w:tcPr>
                <w:p w14:paraId="6D877B37">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b/>
                      <w:bCs/>
                      <w:color w:val="auto"/>
                      <w:sz w:val="21"/>
                      <w:szCs w:val="21"/>
                    </w:rPr>
                  </w:pPr>
                  <w:r>
                    <w:rPr>
                      <w:b/>
                      <w:bCs/>
                      <w:color w:val="auto"/>
                      <w:sz w:val="21"/>
                      <w:szCs w:val="21"/>
                    </w:rPr>
                    <w:t>间歇排放时段</w:t>
                  </w:r>
                </w:p>
              </w:tc>
              <w:tc>
                <w:tcPr>
                  <w:tcW w:w="1597" w:type="pct"/>
                  <w:gridSpan w:val="2"/>
                  <w:noWrap w:val="0"/>
                  <w:vAlign w:val="center"/>
                </w:tcPr>
                <w:p w14:paraId="747B67F6">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b/>
                      <w:bCs/>
                      <w:color w:val="auto"/>
                      <w:sz w:val="21"/>
                      <w:szCs w:val="21"/>
                    </w:rPr>
                  </w:pPr>
                  <w:r>
                    <w:rPr>
                      <w:b/>
                      <w:bCs/>
                      <w:color w:val="auto"/>
                      <w:sz w:val="21"/>
                      <w:szCs w:val="21"/>
                    </w:rPr>
                    <w:t>国家或地方污染物排放标准及其他按规定商定的排放协议</w:t>
                  </w:r>
                </w:p>
              </w:tc>
            </w:tr>
            <w:tr w14:paraId="4980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6" w:type="pct"/>
                  <w:vMerge w:val="continue"/>
                  <w:noWrap w:val="0"/>
                  <w:vAlign w:val="center"/>
                </w:tcPr>
                <w:p w14:paraId="7CE53BAE">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b/>
                      <w:bCs/>
                      <w:color w:val="auto"/>
                      <w:sz w:val="21"/>
                      <w:szCs w:val="21"/>
                    </w:rPr>
                  </w:pPr>
                </w:p>
              </w:tc>
              <w:tc>
                <w:tcPr>
                  <w:tcW w:w="241" w:type="pct"/>
                  <w:vMerge w:val="continue"/>
                  <w:noWrap w:val="0"/>
                  <w:vAlign w:val="center"/>
                </w:tcPr>
                <w:p w14:paraId="5D356EB3">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b/>
                      <w:bCs/>
                      <w:color w:val="auto"/>
                      <w:sz w:val="21"/>
                      <w:szCs w:val="21"/>
                    </w:rPr>
                  </w:pPr>
                </w:p>
              </w:tc>
              <w:tc>
                <w:tcPr>
                  <w:tcW w:w="553" w:type="pct"/>
                  <w:noWrap w:val="0"/>
                  <w:vAlign w:val="center"/>
                </w:tcPr>
                <w:p w14:paraId="6C4C6212">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b/>
                      <w:bCs/>
                      <w:color w:val="auto"/>
                      <w:sz w:val="21"/>
                      <w:szCs w:val="21"/>
                    </w:rPr>
                  </w:pPr>
                  <w:r>
                    <w:rPr>
                      <w:b/>
                      <w:bCs/>
                      <w:color w:val="auto"/>
                      <w:sz w:val="21"/>
                      <w:szCs w:val="21"/>
                    </w:rPr>
                    <w:t>经度</w:t>
                  </w:r>
                </w:p>
              </w:tc>
              <w:tc>
                <w:tcPr>
                  <w:tcW w:w="564" w:type="pct"/>
                  <w:noWrap w:val="0"/>
                  <w:vAlign w:val="center"/>
                </w:tcPr>
                <w:p w14:paraId="78209937">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b/>
                      <w:bCs/>
                      <w:color w:val="auto"/>
                      <w:sz w:val="21"/>
                      <w:szCs w:val="21"/>
                    </w:rPr>
                  </w:pPr>
                  <w:r>
                    <w:rPr>
                      <w:b/>
                      <w:bCs/>
                      <w:color w:val="auto"/>
                      <w:sz w:val="21"/>
                      <w:szCs w:val="21"/>
                    </w:rPr>
                    <w:t>纬度</w:t>
                  </w:r>
                </w:p>
              </w:tc>
              <w:tc>
                <w:tcPr>
                  <w:tcW w:w="673" w:type="pct"/>
                  <w:vMerge w:val="continue"/>
                  <w:noWrap w:val="0"/>
                  <w:vAlign w:val="center"/>
                </w:tcPr>
                <w:p w14:paraId="5D3019B5">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b/>
                      <w:bCs/>
                      <w:color w:val="auto"/>
                      <w:sz w:val="21"/>
                      <w:szCs w:val="21"/>
                    </w:rPr>
                  </w:pPr>
                </w:p>
              </w:tc>
              <w:tc>
                <w:tcPr>
                  <w:tcW w:w="596" w:type="pct"/>
                  <w:vMerge w:val="continue"/>
                  <w:noWrap w:val="0"/>
                  <w:vAlign w:val="center"/>
                </w:tcPr>
                <w:p w14:paraId="29733BFA">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b/>
                      <w:bCs/>
                      <w:color w:val="auto"/>
                      <w:sz w:val="21"/>
                      <w:szCs w:val="21"/>
                    </w:rPr>
                  </w:pPr>
                </w:p>
              </w:tc>
              <w:tc>
                <w:tcPr>
                  <w:tcW w:w="286" w:type="pct"/>
                  <w:vMerge w:val="continue"/>
                  <w:noWrap w:val="0"/>
                  <w:vAlign w:val="center"/>
                </w:tcPr>
                <w:p w14:paraId="39532A31">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b/>
                      <w:bCs/>
                      <w:color w:val="auto"/>
                      <w:sz w:val="21"/>
                      <w:szCs w:val="21"/>
                    </w:rPr>
                  </w:pPr>
                </w:p>
              </w:tc>
              <w:tc>
                <w:tcPr>
                  <w:tcW w:w="1189" w:type="pct"/>
                  <w:noWrap w:val="0"/>
                  <w:vAlign w:val="center"/>
                </w:tcPr>
                <w:p w14:paraId="0CE3C3C0">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b/>
                      <w:bCs/>
                      <w:color w:val="auto"/>
                      <w:sz w:val="21"/>
                      <w:szCs w:val="21"/>
                    </w:rPr>
                  </w:pPr>
                  <w:r>
                    <w:rPr>
                      <w:b/>
                      <w:bCs/>
                      <w:color w:val="auto"/>
                      <w:sz w:val="21"/>
                      <w:szCs w:val="21"/>
                    </w:rPr>
                    <w:t>名称</w:t>
                  </w:r>
                </w:p>
              </w:tc>
              <w:tc>
                <w:tcPr>
                  <w:tcW w:w="408" w:type="pct"/>
                  <w:noWrap w:val="0"/>
                  <w:vAlign w:val="center"/>
                </w:tcPr>
                <w:p w14:paraId="487C18F3">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b/>
                      <w:bCs/>
                      <w:color w:val="auto"/>
                      <w:sz w:val="21"/>
                      <w:szCs w:val="21"/>
                    </w:rPr>
                  </w:pPr>
                  <w:r>
                    <w:rPr>
                      <w:b/>
                      <w:bCs/>
                      <w:color w:val="auto"/>
                      <w:sz w:val="21"/>
                      <w:szCs w:val="21"/>
                    </w:rPr>
                    <w:t>污染物种类</w:t>
                  </w:r>
                </w:p>
              </w:tc>
            </w:tr>
            <w:tr w14:paraId="5611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486" w:type="pct"/>
                  <w:noWrap w:val="0"/>
                  <w:vAlign w:val="center"/>
                </w:tcPr>
                <w:p w14:paraId="180DD075">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color w:val="auto"/>
                      <w:sz w:val="21"/>
                      <w:szCs w:val="21"/>
                    </w:rPr>
                  </w:pPr>
                  <w:r>
                    <w:rPr>
                      <w:color w:val="auto"/>
                      <w:sz w:val="21"/>
                      <w:szCs w:val="21"/>
                    </w:rPr>
                    <w:t>DW001</w:t>
                  </w:r>
                </w:p>
              </w:tc>
              <w:tc>
                <w:tcPr>
                  <w:tcW w:w="241" w:type="pct"/>
                  <w:noWrap w:val="0"/>
                  <w:vAlign w:val="center"/>
                </w:tcPr>
                <w:p w14:paraId="303E5CD4">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eastAsia="宋体"/>
                      <w:color w:val="auto"/>
                      <w:sz w:val="21"/>
                      <w:szCs w:val="21"/>
                      <w:lang w:val="en-US" w:eastAsia="zh-CN"/>
                    </w:rPr>
                  </w:pPr>
                  <w:r>
                    <w:rPr>
                      <w:rFonts w:hint="eastAsia"/>
                      <w:color w:val="auto"/>
                      <w:sz w:val="21"/>
                      <w:szCs w:val="21"/>
                      <w:lang w:val="en-US" w:eastAsia="zh-CN"/>
                    </w:rPr>
                    <w:t>生产</w:t>
                  </w:r>
                  <w:r>
                    <w:rPr>
                      <w:rFonts w:hint="eastAsia" w:eastAsia="宋体"/>
                      <w:color w:val="auto"/>
                      <w:sz w:val="21"/>
                      <w:szCs w:val="21"/>
                      <w:lang w:val="en-US" w:eastAsia="zh-CN"/>
                    </w:rPr>
                    <w:t>废水总排口</w:t>
                  </w:r>
                </w:p>
              </w:tc>
              <w:tc>
                <w:tcPr>
                  <w:tcW w:w="553" w:type="pct"/>
                  <w:noWrap w:val="0"/>
                  <w:vAlign w:val="center"/>
                </w:tcPr>
                <w:p w14:paraId="4535CF0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sz w:val="21"/>
                      <w:szCs w:val="21"/>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101</w:t>
                  </w:r>
                  <w:r>
                    <w:rPr>
                      <w:rFonts w:hint="default" w:ascii="Times New Roman" w:hAnsi="Times New Roman" w:eastAsia="Times New Roman" w:cs="Times New Roman"/>
                      <w:color w:val="auto"/>
                      <w:spacing w:val="0"/>
                      <w:w w:val="100"/>
                      <w:position w:val="0"/>
                      <w:sz w:val="21"/>
                      <w:szCs w:val="21"/>
                      <w:highlight w:val="none"/>
                    </w:rPr>
                    <w:t>°5</w:t>
                  </w:r>
                  <w:r>
                    <w:rPr>
                      <w:rFonts w:hint="eastAsia" w:ascii="Times New Roman" w:hAnsi="Times New Roman" w:eastAsia="宋体" w:cs="Times New Roman"/>
                      <w:color w:val="auto"/>
                      <w:spacing w:val="0"/>
                      <w:w w:val="100"/>
                      <w:position w:val="0"/>
                      <w:sz w:val="21"/>
                      <w:szCs w:val="21"/>
                      <w:highlight w:val="none"/>
                      <w:lang w:val="en-US" w:eastAsia="zh-CN"/>
                    </w:rPr>
                    <w:t>7</w:t>
                  </w:r>
                  <w:r>
                    <w:rPr>
                      <w:rFonts w:hint="default" w:ascii="Times New Roman" w:hAnsi="Times New Roman" w:eastAsia="Times New Roman" w:cs="Times New Roman"/>
                      <w:color w:val="auto"/>
                      <w:spacing w:val="0"/>
                      <w:w w:val="100"/>
                      <w:position w:val="0"/>
                      <w:sz w:val="21"/>
                      <w:szCs w:val="21"/>
                      <w:highlight w:val="none"/>
                    </w:rPr>
                    <w:t>′</w:t>
                  </w:r>
                  <w:r>
                    <w:rPr>
                      <w:rFonts w:hint="eastAsia" w:ascii="Times New Roman" w:hAnsi="Times New Roman" w:eastAsia="宋体" w:cs="Times New Roman"/>
                      <w:color w:val="auto"/>
                      <w:spacing w:val="0"/>
                      <w:w w:val="100"/>
                      <w:position w:val="0"/>
                      <w:sz w:val="21"/>
                      <w:szCs w:val="21"/>
                      <w:highlight w:val="none"/>
                      <w:lang w:val="en-US" w:eastAsia="zh-CN"/>
                    </w:rPr>
                    <w:t>40.68</w:t>
                  </w:r>
                  <w:r>
                    <w:rPr>
                      <w:rFonts w:hint="default" w:ascii="Times New Roman" w:hAnsi="Times New Roman" w:eastAsia="Times New Roman" w:cs="Times New Roman"/>
                      <w:color w:val="auto"/>
                      <w:spacing w:val="0"/>
                      <w:w w:val="100"/>
                      <w:position w:val="0"/>
                      <w:sz w:val="21"/>
                      <w:szCs w:val="21"/>
                      <w:highlight w:val="none"/>
                    </w:rPr>
                    <w:t>″</w:t>
                  </w:r>
                </w:p>
              </w:tc>
              <w:tc>
                <w:tcPr>
                  <w:tcW w:w="564" w:type="pct"/>
                  <w:noWrap w:val="0"/>
                  <w:vAlign w:val="center"/>
                </w:tcPr>
                <w:p w14:paraId="17E2D02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sz w:val="21"/>
                      <w:szCs w:val="21"/>
                      <w:lang w:val="en-US" w:eastAsia="zh-CN"/>
                    </w:rPr>
                  </w:pPr>
                  <w:r>
                    <w:rPr>
                      <w:rFonts w:hint="default" w:ascii="Times New Roman" w:hAnsi="Times New Roman" w:eastAsia="Times New Roman" w:cs="Times New Roman"/>
                      <w:color w:val="auto"/>
                      <w:spacing w:val="0"/>
                      <w:w w:val="100"/>
                      <w:position w:val="0"/>
                      <w:sz w:val="21"/>
                      <w:szCs w:val="21"/>
                      <w:highlight w:val="none"/>
                    </w:rPr>
                    <w:t>2</w:t>
                  </w:r>
                  <w:r>
                    <w:rPr>
                      <w:rFonts w:hint="eastAsia" w:ascii="Times New Roman" w:hAnsi="Times New Roman" w:eastAsia="宋体" w:cs="Times New Roman"/>
                      <w:color w:val="auto"/>
                      <w:spacing w:val="0"/>
                      <w:w w:val="100"/>
                      <w:position w:val="0"/>
                      <w:sz w:val="21"/>
                      <w:szCs w:val="21"/>
                      <w:highlight w:val="none"/>
                      <w:lang w:val="en-US" w:eastAsia="zh-CN"/>
                    </w:rPr>
                    <w:t>3</w:t>
                  </w:r>
                  <w:r>
                    <w:rPr>
                      <w:rFonts w:hint="default" w:ascii="Times New Roman" w:hAnsi="Times New Roman" w:eastAsia="Times New Roman" w:cs="Times New Roman"/>
                      <w:color w:val="auto"/>
                      <w:spacing w:val="0"/>
                      <w:w w:val="100"/>
                      <w:position w:val="0"/>
                      <w:sz w:val="21"/>
                      <w:szCs w:val="21"/>
                      <w:highlight w:val="none"/>
                    </w:rPr>
                    <w:t>°</w:t>
                  </w:r>
                  <w:r>
                    <w:rPr>
                      <w:rFonts w:hint="eastAsia" w:ascii="Times New Roman" w:hAnsi="Times New Roman" w:eastAsia="宋体" w:cs="Times New Roman"/>
                      <w:color w:val="auto"/>
                      <w:spacing w:val="0"/>
                      <w:w w:val="100"/>
                      <w:position w:val="0"/>
                      <w:sz w:val="21"/>
                      <w:szCs w:val="21"/>
                      <w:highlight w:val="none"/>
                      <w:lang w:val="en-US" w:eastAsia="zh-CN"/>
                    </w:rPr>
                    <w:t>41</w:t>
                  </w:r>
                  <w:r>
                    <w:rPr>
                      <w:rFonts w:hint="default" w:ascii="Times New Roman" w:hAnsi="Times New Roman" w:eastAsia="Times New Roman" w:cs="Times New Roman"/>
                      <w:color w:val="auto"/>
                      <w:spacing w:val="0"/>
                      <w:w w:val="100"/>
                      <w:position w:val="0"/>
                      <w:sz w:val="21"/>
                      <w:szCs w:val="21"/>
                      <w:highlight w:val="none"/>
                    </w:rPr>
                    <w:t>′</w:t>
                  </w:r>
                  <w:r>
                    <w:rPr>
                      <w:rFonts w:hint="eastAsia" w:ascii="Times New Roman" w:hAnsi="Times New Roman" w:eastAsia="宋体" w:cs="Times New Roman"/>
                      <w:color w:val="auto"/>
                      <w:spacing w:val="0"/>
                      <w:w w:val="100"/>
                      <w:position w:val="0"/>
                      <w:sz w:val="21"/>
                      <w:szCs w:val="21"/>
                      <w:highlight w:val="none"/>
                      <w:lang w:val="en-US" w:eastAsia="zh-CN"/>
                    </w:rPr>
                    <w:t>24.29</w:t>
                  </w:r>
                  <w:r>
                    <w:rPr>
                      <w:rFonts w:hint="default" w:ascii="Times New Roman" w:hAnsi="Times New Roman" w:eastAsia="Times New Roman" w:cs="Times New Roman"/>
                      <w:color w:val="auto"/>
                      <w:spacing w:val="0"/>
                      <w:w w:val="100"/>
                      <w:position w:val="0"/>
                      <w:sz w:val="21"/>
                      <w:szCs w:val="21"/>
                      <w:highlight w:val="none"/>
                    </w:rPr>
                    <w:t>″</w:t>
                  </w:r>
                </w:p>
              </w:tc>
              <w:tc>
                <w:tcPr>
                  <w:tcW w:w="673" w:type="pct"/>
                  <w:noWrap w:val="0"/>
                  <w:vAlign w:val="center"/>
                </w:tcPr>
                <w:p w14:paraId="79061A63">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元江工业园区MBR膜一体化300m</w:t>
                  </w:r>
                  <w:r>
                    <w:rPr>
                      <w:rFonts w:hint="eastAsia"/>
                      <w:color w:val="auto"/>
                      <w:sz w:val="21"/>
                      <w:szCs w:val="21"/>
                      <w:vertAlign w:val="superscript"/>
                      <w:lang w:val="en-US" w:eastAsia="zh-CN"/>
                    </w:rPr>
                    <w:t>3</w:t>
                  </w:r>
                  <w:r>
                    <w:rPr>
                      <w:rFonts w:hint="eastAsia"/>
                      <w:color w:val="auto"/>
                      <w:sz w:val="21"/>
                      <w:szCs w:val="21"/>
                      <w:lang w:val="en-US" w:eastAsia="zh-CN"/>
                    </w:rPr>
                    <w:t>/d过渡式污水处理站</w:t>
                  </w:r>
                </w:p>
              </w:tc>
              <w:tc>
                <w:tcPr>
                  <w:tcW w:w="596" w:type="pct"/>
                  <w:noWrap w:val="0"/>
                  <w:vAlign w:val="center"/>
                </w:tcPr>
                <w:p w14:paraId="0572CF8C">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color w:val="auto"/>
                      <w:sz w:val="21"/>
                      <w:szCs w:val="21"/>
                    </w:rPr>
                  </w:pPr>
                  <w:r>
                    <w:rPr>
                      <w:rFonts w:hint="eastAsia"/>
                      <w:color w:val="auto"/>
                      <w:sz w:val="21"/>
                      <w:szCs w:val="21"/>
                    </w:rPr>
                    <w:t>间断排放，排放期间流量不稳定且无规律，但不属于冲击型排放</w:t>
                  </w:r>
                </w:p>
              </w:tc>
              <w:tc>
                <w:tcPr>
                  <w:tcW w:w="286" w:type="pct"/>
                  <w:noWrap w:val="0"/>
                  <w:vAlign w:val="center"/>
                </w:tcPr>
                <w:p w14:paraId="26FAF431">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color w:val="auto"/>
                      <w:sz w:val="21"/>
                      <w:szCs w:val="21"/>
                    </w:rPr>
                  </w:pPr>
                  <w:r>
                    <w:rPr>
                      <w:color w:val="auto"/>
                      <w:sz w:val="21"/>
                      <w:szCs w:val="21"/>
                      <w:shd w:val="clear" w:color="auto" w:fill="FFFFFF"/>
                    </w:rPr>
                    <w:t>0:00-24:00</w:t>
                  </w:r>
                </w:p>
              </w:tc>
              <w:tc>
                <w:tcPr>
                  <w:tcW w:w="1189" w:type="pct"/>
                  <w:noWrap w:val="0"/>
                  <w:vAlign w:val="center"/>
                </w:tcPr>
                <w:p w14:paraId="331AC331">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color w:val="auto"/>
                      <w:sz w:val="21"/>
                      <w:szCs w:val="21"/>
                      <w:lang w:val="en-US"/>
                    </w:rPr>
                  </w:pPr>
                  <w:r>
                    <w:rPr>
                      <w:rFonts w:hint="eastAsia"/>
                      <w:color w:val="auto"/>
                      <w:sz w:val="21"/>
                      <w:szCs w:val="21"/>
                      <w:shd w:val="clear" w:color="auto" w:fill="FFFFFF"/>
                    </w:rPr>
                    <w:t>《食品加工制造业水污染物排放标准》（GB 46817-2025）表1间接排放标准</w:t>
                  </w:r>
                  <w:r>
                    <w:rPr>
                      <w:rFonts w:hint="eastAsia"/>
                      <w:color w:val="auto"/>
                      <w:sz w:val="21"/>
                      <w:szCs w:val="21"/>
                      <w:shd w:val="clear" w:color="auto" w:fill="FFFFFF"/>
                      <w:lang w:eastAsia="zh-CN"/>
                    </w:rPr>
                    <w:t>、</w:t>
                  </w:r>
                  <w:r>
                    <w:rPr>
                      <w:rFonts w:hint="eastAsia"/>
                      <w:color w:val="auto"/>
                      <w:sz w:val="21"/>
                      <w:szCs w:val="21"/>
                      <w:shd w:val="clear" w:color="auto" w:fill="FFFFFF"/>
                    </w:rPr>
                    <w:t>《污水综合排放标准》（GB8978-1996）三级标准，氨氮、</w:t>
                  </w:r>
                  <w:r>
                    <w:rPr>
                      <w:rFonts w:hint="eastAsia"/>
                      <w:color w:val="auto"/>
                      <w:sz w:val="21"/>
                      <w:szCs w:val="21"/>
                      <w:shd w:val="clear" w:color="auto" w:fill="FFFFFF"/>
                      <w:lang w:val="en-US" w:eastAsia="zh-CN"/>
                    </w:rPr>
                    <w:t>执行</w:t>
                  </w:r>
                  <w:r>
                    <w:rPr>
                      <w:rFonts w:hint="eastAsia"/>
                      <w:color w:val="auto"/>
                      <w:sz w:val="21"/>
                      <w:szCs w:val="21"/>
                      <w:shd w:val="clear" w:color="auto" w:fill="FFFFFF"/>
                    </w:rPr>
                    <w:t>《污水排入城镇下水道水质标准》（GB/T31962-2015）B等级标准</w:t>
                  </w:r>
                </w:p>
              </w:tc>
              <w:tc>
                <w:tcPr>
                  <w:tcW w:w="408" w:type="pct"/>
                  <w:noWrap w:val="0"/>
                  <w:vAlign w:val="center"/>
                </w:tcPr>
                <w:p w14:paraId="4FD1E849">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eastAsia="宋体"/>
                      <w:color w:val="auto"/>
                      <w:sz w:val="21"/>
                      <w:szCs w:val="21"/>
                      <w:lang w:val="en-US" w:eastAsia="zh-CN"/>
                    </w:rPr>
                  </w:pPr>
                  <w:r>
                    <w:rPr>
                      <w:rFonts w:hint="eastAsia"/>
                      <w:color w:val="auto"/>
                      <w:kern w:val="0"/>
                      <w:sz w:val="21"/>
                      <w:szCs w:val="21"/>
                      <w:highlight w:val="none"/>
                      <w:lang w:val="en-US" w:eastAsia="zh-CN"/>
                    </w:rPr>
                    <w:t>pH、</w:t>
                  </w:r>
                  <w:r>
                    <w:rPr>
                      <w:color w:val="auto"/>
                      <w:kern w:val="0"/>
                      <w:sz w:val="21"/>
                      <w:szCs w:val="21"/>
                      <w:highlight w:val="none"/>
                    </w:rPr>
                    <w:t>CODcr、BOD</w:t>
                  </w:r>
                  <w:r>
                    <w:rPr>
                      <w:color w:val="auto"/>
                      <w:kern w:val="0"/>
                      <w:sz w:val="21"/>
                      <w:szCs w:val="21"/>
                      <w:highlight w:val="none"/>
                      <w:vertAlign w:val="subscript"/>
                    </w:rPr>
                    <w:t>5</w:t>
                  </w:r>
                  <w:r>
                    <w:rPr>
                      <w:color w:val="auto"/>
                      <w:kern w:val="0"/>
                      <w:sz w:val="21"/>
                      <w:szCs w:val="21"/>
                      <w:highlight w:val="none"/>
                    </w:rPr>
                    <w:t>、</w:t>
                  </w:r>
                  <w:r>
                    <w:rPr>
                      <w:rFonts w:hint="eastAsia"/>
                      <w:color w:val="auto"/>
                      <w:kern w:val="0"/>
                      <w:sz w:val="21"/>
                      <w:szCs w:val="21"/>
                      <w:highlight w:val="none"/>
                      <w:lang w:val="en-US" w:eastAsia="zh-CN"/>
                    </w:rPr>
                    <w:t>氨氮</w:t>
                  </w:r>
                  <w:r>
                    <w:rPr>
                      <w:color w:val="auto"/>
                      <w:kern w:val="0"/>
                      <w:sz w:val="21"/>
                      <w:szCs w:val="21"/>
                      <w:highlight w:val="none"/>
                    </w:rPr>
                    <w:t>、总磷、悬浮物</w:t>
                  </w:r>
                </w:p>
              </w:tc>
            </w:tr>
          </w:tbl>
          <w:p w14:paraId="386C3BC0">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4</w:t>
            </w:r>
            <w:r>
              <w:rPr>
                <w:rFonts w:hint="default" w:ascii="Times New Roman" w:hAnsi="Times New Roman" w:cs="Times New Roman"/>
                <w:b/>
                <w:bCs/>
                <w:color w:val="auto"/>
                <w:sz w:val="24"/>
                <w:lang w:val="en-US" w:eastAsia="zh-CN"/>
              </w:rPr>
              <w:t>、生产</w:t>
            </w:r>
            <w:r>
              <w:rPr>
                <w:rFonts w:hint="eastAsia" w:cs="Times New Roman"/>
                <w:b/>
                <w:bCs/>
                <w:color w:val="auto"/>
                <w:sz w:val="24"/>
                <w:lang w:val="en-US" w:eastAsia="zh-CN"/>
              </w:rPr>
              <w:t>废水依托现有处理设施的</w:t>
            </w:r>
            <w:r>
              <w:rPr>
                <w:rFonts w:hint="default" w:ascii="Times New Roman" w:hAnsi="Times New Roman" w:cs="Times New Roman"/>
                <w:b/>
                <w:bCs/>
                <w:color w:val="auto"/>
                <w:sz w:val="24"/>
                <w:lang w:val="en-US" w:eastAsia="zh-CN"/>
              </w:rPr>
              <w:t>可行性分析</w:t>
            </w:r>
          </w:p>
          <w:p w14:paraId="7585C5D1">
            <w:pPr>
              <w:spacing w:line="360" w:lineRule="auto"/>
              <w:ind w:firstLine="482"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b/>
                <w:bCs/>
                <w:color w:val="auto"/>
                <w:sz w:val="24"/>
                <w:lang w:val="en-US" w:eastAsia="zh-CN"/>
              </w:rPr>
              <w:t>（1）沉淀池</w:t>
            </w:r>
          </w:p>
          <w:p w14:paraId="6A8AB2A1">
            <w:pPr>
              <w:widowControl/>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eastAsia" w:cs="Times New Roman"/>
                <w:color w:val="auto"/>
                <w:sz w:val="24"/>
                <w:lang w:val="en-US" w:eastAsia="zh-CN"/>
              </w:rPr>
              <w:t>厂区</w:t>
            </w:r>
            <w:r>
              <w:rPr>
                <w:rFonts w:hint="default" w:ascii="Times New Roman" w:hAnsi="Times New Roman" w:cs="Times New Roman"/>
                <w:color w:val="auto"/>
                <w:sz w:val="24"/>
                <w:lang w:val="en-US" w:eastAsia="zh-CN"/>
              </w:rPr>
              <w:t>已设置1座容积为70m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的沉淀池，</w:t>
            </w:r>
            <w:r>
              <w:rPr>
                <w:rFonts w:hint="eastAsia" w:cs="Times New Roman"/>
                <w:b w:val="0"/>
                <w:bCs w:val="0"/>
                <w:color w:val="auto"/>
                <w:sz w:val="24"/>
                <w:szCs w:val="24"/>
                <w:lang w:val="en-US" w:eastAsia="zh-CN"/>
              </w:rPr>
              <w:t>采用“调节+气浮沉淀”工艺，</w:t>
            </w:r>
            <w:r>
              <w:rPr>
                <w:rFonts w:hint="eastAsia" w:cs="Times New Roman"/>
                <w:color w:val="auto"/>
                <w:sz w:val="24"/>
                <w:lang w:val="en-US" w:eastAsia="zh-CN"/>
              </w:rPr>
              <w:t>本次技改后全厂</w:t>
            </w:r>
            <w:r>
              <w:rPr>
                <w:rFonts w:hint="default" w:ascii="Times New Roman" w:hAnsi="Times New Roman" w:cs="Times New Roman"/>
                <w:b w:val="0"/>
                <w:bCs w:val="0"/>
                <w:color w:val="auto"/>
                <w:sz w:val="24"/>
                <w:szCs w:val="24"/>
                <w:lang w:val="en-US" w:eastAsia="zh-CN"/>
              </w:rPr>
              <w:t>进入沉淀池</w:t>
            </w:r>
            <w:r>
              <w:rPr>
                <w:rFonts w:hint="eastAsia" w:cs="Times New Roman"/>
                <w:b w:val="0"/>
                <w:bCs w:val="0"/>
                <w:color w:val="auto"/>
                <w:sz w:val="24"/>
                <w:szCs w:val="24"/>
                <w:lang w:val="en-US" w:eastAsia="zh-CN"/>
              </w:rPr>
              <w:t>废水水量</w:t>
            </w:r>
            <w:r>
              <w:rPr>
                <w:rFonts w:hint="default" w:ascii="Times New Roman" w:hAnsi="Times New Roman" w:cs="Times New Roman"/>
                <w:b w:val="0"/>
                <w:bCs w:val="0"/>
                <w:color w:val="auto"/>
                <w:sz w:val="24"/>
                <w:szCs w:val="24"/>
                <w:lang w:val="en-US" w:eastAsia="zh-CN"/>
              </w:rPr>
              <w:t>为</w:t>
            </w:r>
            <w:r>
              <w:rPr>
                <w:rFonts w:hint="eastAsia" w:cs="Times New Roman"/>
                <w:b w:val="0"/>
                <w:bCs w:val="0"/>
                <w:color w:val="auto"/>
                <w:sz w:val="24"/>
                <w:szCs w:val="24"/>
                <w:lang w:val="en-US" w:eastAsia="zh-CN"/>
              </w:rPr>
              <w:t>37.9</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/d</w:t>
            </w:r>
            <w:r>
              <w:rPr>
                <w:rFonts w:hint="default" w:ascii="Times New Roman" w:hAnsi="Times New Roman" w:cs="Times New Roman"/>
                <w:b w:val="0"/>
                <w:bCs w:val="0"/>
                <w:color w:val="auto"/>
                <w:sz w:val="24"/>
                <w:szCs w:val="24"/>
                <w:lang w:val="en-US" w:eastAsia="zh-CN"/>
              </w:rPr>
              <w:t>，</w:t>
            </w:r>
            <w:r>
              <w:rPr>
                <w:rFonts w:hint="eastAsia" w:cs="Times New Roman"/>
                <w:b w:val="0"/>
                <w:bCs w:val="0"/>
                <w:color w:val="auto"/>
                <w:sz w:val="24"/>
                <w:szCs w:val="24"/>
                <w:lang w:val="en-US" w:eastAsia="zh-CN"/>
              </w:rPr>
              <w:t>因此，现有沉淀池容积满足</w:t>
            </w:r>
            <w:r>
              <w:rPr>
                <w:rFonts w:hint="default" w:ascii="Times New Roman" w:hAnsi="Times New Roman" w:cs="Times New Roman"/>
                <w:b w:val="0"/>
                <w:bCs w:val="0"/>
                <w:color w:val="auto"/>
                <w:sz w:val="24"/>
                <w:szCs w:val="24"/>
                <w:lang w:val="en-US" w:eastAsia="zh-CN"/>
              </w:rPr>
              <w:t>，废水处置要求。</w:t>
            </w:r>
          </w:p>
          <w:p w14:paraId="77D336D0">
            <w:pPr>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（2）一体化污水处理站</w:t>
            </w:r>
          </w:p>
          <w:p w14:paraId="44F52B7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b w:val="0"/>
                <w:bCs w:val="0"/>
                <w:color w:val="auto"/>
                <w:sz w:val="24"/>
                <w:szCs w:val="24"/>
                <w:vertAlign w:val="baseline"/>
                <w:lang w:val="en-US" w:eastAsia="zh-CN"/>
              </w:rPr>
            </w:pPr>
            <w:r>
              <w:rPr>
                <w:rFonts w:hint="eastAsia" w:cs="Times New Roman"/>
                <w:color w:val="auto"/>
                <w:sz w:val="24"/>
                <w:szCs w:val="24"/>
                <w:lang w:val="en-US" w:eastAsia="zh-CN"/>
              </w:rPr>
              <w:t>厂区内设置</w:t>
            </w:r>
            <w:r>
              <w:rPr>
                <w:rFonts w:hint="default" w:ascii="Times New Roman" w:hAnsi="Times New Roman" w:cs="Times New Roman"/>
                <w:color w:val="auto"/>
                <w:sz w:val="24"/>
                <w:szCs w:val="24"/>
                <w:lang w:val="en-US" w:eastAsia="zh-CN"/>
              </w:rPr>
              <w:t>有1座处理规模为15m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/d的一体化污水处理站，</w:t>
            </w:r>
            <w:r>
              <w:rPr>
                <w:rFonts w:hint="default" w:ascii="Times New Roman" w:hAnsi="Times New Roman" w:cs="Times New Roman"/>
                <w:b w:val="0"/>
                <w:bCs w:val="0"/>
                <w:color w:val="auto"/>
                <w:sz w:val="24"/>
                <w:szCs w:val="24"/>
                <w:vertAlign w:val="baseline"/>
                <w:lang w:val="en-US" w:eastAsia="zh-CN"/>
              </w:rPr>
              <w:t>采用“</w:t>
            </w:r>
            <w:r>
              <w:rPr>
                <w:rFonts w:hint="default" w:ascii="Times New Roman" w:hAnsi="Times New Roman" w:cs="Times New Roman"/>
                <w:bCs/>
                <w:color w:val="auto"/>
                <w:sz w:val="24"/>
                <w:szCs w:val="24"/>
              </w:rPr>
              <w:t>UASB+AO+MBR（膜生物反应器）</w:t>
            </w:r>
            <w:r>
              <w:rPr>
                <w:rFonts w:hint="default" w:ascii="Times New Roman" w:hAnsi="Times New Roman" w:cs="Times New Roman"/>
                <w:b w:val="0"/>
                <w:bCs w:val="0"/>
                <w:color w:val="auto"/>
                <w:sz w:val="24"/>
                <w:szCs w:val="24"/>
                <w:vertAlign w:val="baseline"/>
                <w:lang w:val="en-US" w:eastAsia="zh-CN"/>
              </w:rPr>
              <w:t>”</w:t>
            </w:r>
            <w:r>
              <w:rPr>
                <w:rFonts w:hint="default" w:ascii="Times New Roman" w:hAnsi="Times New Roman" w:cs="Times New Roman"/>
                <w:bCs/>
                <w:color w:val="auto"/>
                <w:sz w:val="24"/>
                <w:szCs w:val="24"/>
              </w:rPr>
              <w:t>组合处理工艺</w:t>
            </w:r>
            <w:r>
              <w:rPr>
                <w:rFonts w:hint="default" w:ascii="Times New Roman" w:hAnsi="Times New Roman" w:cs="Times New Roman"/>
                <w:b w:val="0"/>
                <w:bCs w:val="0"/>
                <w:color w:val="auto"/>
                <w:sz w:val="24"/>
                <w:szCs w:val="24"/>
                <w:vertAlign w:val="baseline"/>
                <w:lang w:val="en-US" w:eastAsia="zh-CN"/>
              </w:rPr>
              <w:t>。</w:t>
            </w:r>
            <w:r>
              <w:rPr>
                <w:rFonts w:hint="eastAsia" w:cs="Times New Roman"/>
                <w:b w:val="0"/>
                <w:bCs w:val="0"/>
                <w:color w:val="auto"/>
                <w:sz w:val="24"/>
                <w:szCs w:val="24"/>
                <w:vertAlign w:val="baseline"/>
                <w:lang w:val="en-US" w:eastAsia="zh-CN"/>
              </w:rPr>
              <w:t>本次技改前后，进入</w:t>
            </w:r>
            <w:r>
              <w:rPr>
                <w:rFonts w:hint="default" w:ascii="Times New Roman" w:hAnsi="Times New Roman" w:cs="Times New Roman"/>
                <w:color w:val="auto"/>
                <w:sz w:val="24"/>
                <w:szCs w:val="24"/>
                <w:lang w:val="en-US" w:eastAsia="zh-CN"/>
              </w:rPr>
              <w:t>一体化污水处理站</w:t>
            </w:r>
            <w:r>
              <w:rPr>
                <w:rFonts w:hint="eastAsia" w:cs="Times New Roman"/>
                <w:color w:val="auto"/>
                <w:sz w:val="24"/>
                <w:szCs w:val="24"/>
                <w:lang w:val="en-US" w:eastAsia="zh-CN"/>
              </w:rPr>
              <w:t>的废水量不变，仍</w:t>
            </w:r>
            <w:r>
              <w:rPr>
                <w:rFonts w:hint="default" w:ascii="Times New Roman" w:hAnsi="Times New Roman" w:cs="Times New Roman"/>
                <w:b w:val="0"/>
                <w:bCs w:val="0"/>
                <w:color w:val="auto"/>
                <w:sz w:val="24"/>
                <w:szCs w:val="24"/>
                <w:lang w:val="en-US" w:eastAsia="zh-CN"/>
              </w:rPr>
              <w:t>为</w:t>
            </w:r>
            <w:r>
              <w:rPr>
                <w:rFonts w:hint="eastAsia" w:cs="Times New Roman"/>
                <w:b w:val="0"/>
                <w:bCs w:val="0"/>
                <w:color w:val="auto"/>
                <w:sz w:val="24"/>
                <w:szCs w:val="24"/>
                <w:lang w:val="en-US" w:eastAsia="zh-CN"/>
              </w:rPr>
              <w:t>12.01</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/d，处理规模满足需求</w:t>
            </w:r>
            <w:r>
              <w:rPr>
                <w:rFonts w:hint="eastAsia" w:cs="Times New Roman"/>
                <w:b w:val="0"/>
                <w:bCs w:val="0"/>
                <w:color w:val="auto"/>
                <w:sz w:val="24"/>
                <w:szCs w:val="24"/>
                <w:vertAlign w:val="baseline"/>
                <w:lang w:val="en-US" w:eastAsia="zh-CN"/>
              </w:rPr>
              <w:t>。</w:t>
            </w:r>
          </w:p>
          <w:p w14:paraId="2687190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eastAsia" w:cs="Times New Roman"/>
                <w:b w:val="0"/>
                <w:bCs w:val="0"/>
                <w:color w:val="auto"/>
                <w:sz w:val="24"/>
                <w:szCs w:val="24"/>
                <w:vertAlign w:val="baseline"/>
                <w:lang w:val="en-US" w:eastAsia="zh-CN"/>
              </w:rPr>
              <w:t>根据现有项目排污许可自行监测数据，生产废水经沉淀池、一体化污水处理站处理后外排生产废水可满足《食品加工制造业水污染物排放标准》（GB 46817-2025）表1间接排放标准，同时满足</w:t>
            </w:r>
            <w:r>
              <w:rPr>
                <w:rFonts w:hint="default" w:ascii="Times New Roman" w:hAnsi="Times New Roman" w:cs="Times New Roman"/>
                <w:b w:val="0"/>
                <w:bCs w:val="0"/>
                <w:color w:val="auto"/>
                <w:sz w:val="24"/>
                <w:szCs w:val="24"/>
              </w:rPr>
              <w:t>《污水综合排放标准》（GB8978-1996）</w:t>
            </w:r>
            <w:r>
              <w:rPr>
                <w:rFonts w:hint="eastAsia" w:ascii="Times New Roman" w:hAnsi="Times New Roman" w:cs="Times New Roman"/>
                <w:b w:val="0"/>
                <w:bCs w:val="0"/>
                <w:color w:val="auto"/>
                <w:sz w:val="24"/>
                <w:szCs w:val="24"/>
                <w:lang w:val="en-US" w:eastAsia="zh-CN"/>
              </w:rPr>
              <w:t>三级标准</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氨氮、总磷满足</w:t>
            </w:r>
            <w:r>
              <w:rPr>
                <w:color w:val="auto"/>
                <w:sz w:val="24"/>
                <w:szCs w:val="24"/>
                <w:highlight w:val="none"/>
              </w:rPr>
              <w:t>《</w:t>
            </w:r>
            <w:r>
              <w:rPr>
                <w:bCs/>
                <w:color w:val="auto"/>
                <w:sz w:val="24"/>
                <w:szCs w:val="24"/>
                <w:highlight w:val="none"/>
              </w:rPr>
              <w:t>污水排入城镇下水道水质标准</w:t>
            </w:r>
            <w:r>
              <w:rPr>
                <w:color w:val="auto"/>
                <w:sz w:val="24"/>
                <w:szCs w:val="24"/>
                <w:highlight w:val="none"/>
              </w:rPr>
              <w:t>》（</w:t>
            </w:r>
            <w:r>
              <w:rPr>
                <w:bCs/>
                <w:color w:val="auto"/>
                <w:sz w:val="24"/>
                <w:szCs w:val="24"/>
                <w:highlight w:val="none"/>
              </w:rPr>
              <w:t>GB/T31962-2015</w:t>
            </w:r>
            <w:r>
              <w:rPr>
                <w:color w:val="auto"/>
                <w:sz w:val="24"/>
                <w:szCs w:val="24"/>
                <w:highlight w:val="none"/>
              </w:rPr>
              <w:t>）</w:t>
            </w:r>
            <w:r>
              <w:rPr>
                <w:bCs/>
                <w:color w:val="auto"/>
                <w:sz w:val="24"/>
                <w:szCs w:val="24"/>
                <w:highlight w:val="none"/>
              </w:rPr>
              <w:t>B等级标准</w:t>
            </w:r>
            <w:r>
              <w:rPr>
                <w:rFonts w:hint="default" w:ascii="Times New Roman" w:hAnsi="Times New Roman" w:cs="Times New Roman"/>
                <w:bCs/>
                <w:color w:val="auto"/>
                <w:sz w:val="24"/>
                <w:szCs w:val="24"/>
                <w:highlight w:val="none"/>
                <w:lang w:val="en-US" w:eastAsia="zh-CN"/>
              </w:rPr>
              <w:t>要求。</w:t>
            </w:r>
          </w:p>
          <w:p w14:paraId="7C82DE34">
            <w:pPr>
              <w:spacing w:line="360" w:lineRule="auto"/>
              <w:ind w:firstLine="482" w:firstLineChars="200"/>
              <w:rPr>
                <w:rFonts w:hint="default" w:ascii="Times New Roman" w:hAnsi="Times New Roman" w:eastAsia="宋体" w:cs="Times New Roman"/>
                <w:color w:val="auto"/>
                <w:sz w:val="24"/>
                <w:lang w:val="en-US" w:eastAsia="zh-CN"/>
              </w:rPr>
            </w:pPr>
            <w:r>
              <w:rPr>
                <w:rFonts w:hint="eastAsia" w:cs="Times New Roman"/>
                <w:b/>
                <w:bCs/>
                <w:color w:val="auto"/>
                <w:sz w:val="24"/>
                <w:lang w:val="en-US" w:eastAsia="zh-CN"/>
              </w:rPr>
              <w:t>5</w:t>
            </w:r>
            <w:r>
              <w:rPr>
                <w:rFonts w:hint="default" w:ascii="Times New Roman" w:hAnsi="Times New Roman" w:cs="Times New Roman"/>
                <w:b/>
                <w:bCs/>
                <w:color w:val="auto"/>
                <w:sz w:val="24"/>
                <w:lang w:val="en-US" w:eastAsia="zh-CN"/>
              </w:rPr>
              <w:t>、</w:t>
            </w:r>
            <w:r>
              <w:rPr>
                <w:rFonts w:hint="eastAsia" w:cs="Times New Roman"/>
                <w:b/>
                <w:bCs/>
                <w:color w:val="auto"/>
                <w:sz w:val="24"/>
                <w:lang w:val="en-US" w:eastAsia="zh-CN"/>
              </w:rPr>
              <w:t>废水</w:t>
            </w:r>
            <w:r>
              <w:rPr>
                <w:rFonts w:hint="default" w:ascii="Times New Roman" w:hAnsi="Times New Roman" w:cs="Times New Roman"/>
                <w:b/>
                <w:bCs/>
                <w:color w:val="auto"/>
                <w:sz w:val="24"/>
                <w:lang w:val="en-US" w:eastAsia="zh-CN"/>
              </w:rPr>
              <w:t>依托</w:t>
            </w:r>
            <w:r>
              <w:rPr>
                <w:rFonts w:ascii="Times New Roman" w:hAnsi="Times New Roman"/>
                <w:b/>
                <w:bCs/>
                <w:color w:val="auto"/>
                <w:sz w:val="24"/>
                <w:szCs w:val="24"/>
              </w:rPr>
              <w:t>园区管网及污水处理</w:t>
            </w:r>
            <w:r>
              <w:rPr>
                <w:rFonts w:hint="eastAsia" w:ascii="Times New Roman" w:hAnsi="Times New Roman"/>
                <w:b/>
                <w:bCs/>
                <w:color w:val="auto"/>
                <w:sz w:val="24"/>
                <w:szCs w:val="24"/>
              </w:rPr>
              <w:t>站</w:t>
            </w:r>
            <w:r>
              <w:rPr>
                <w:rFonts w:hint="default" w:ascii="Times New Roman" w:hAnsi="Times New Roman" w:cs="Times New Roman"/>
                <w:b/>
                <w:bCs/>
                <w:color w:val="auto"/>
                <w:sz w:val="24"/>
                <w:lang w:val="en-US" w:eastAsia="zh-CN"/>
              </w:rPr>
              <w:t>处置可行性分析</w:t>
            </w:r>
          </w:p>
          <w:p w14:paraId="4D6C3FBD">
            <w:pPr>
              <w:pStyle w:val="69"/>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rPr>
              <w:t>根据调查，目前</w:t>
            </w:r>
            <w:r>
              <w:rPr>
                <w:rFonts w:hint="eastAsia" w:ascii="Times New Roman" w:hAnsi="Times New Roman" w:cs="Times New Roman"/>
                <w:color w:val="auto"/>
                <w:lang w:val="en-US" w:eastAsia="zh-CN"/>
              </w:rPr>
              <w:t>甘庄</w:t>
            </w:r>
            <w:r>
              <w:rPr>
                <w:rFonts w:hint="default" w:ascii="Times New Roman" w:hAnsi="Times New Roman" w:cs="Times New Roman"/>
                <w:color w:val="auto"/>
              </w:rPr>
              <w:t>片区设有1座</w:t>
            </w:r>
            <w:r>
              <w:rPr>
                <w:rFonts w:hint="default" w:ascii="Times New Roman" w:hAnsi="Times New Roman" w:cs="Times New Roman"/>
                <w:color w:val="auto"/>
                <w:sz w:val="24"/>
                <w:szCs w:val="24"/>
                <w:highlight w:val="none"/>
              </w:rPr>
              <w:t>元江工业园区MBR膜一体化300m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/d过渡式污水处理站</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因园区暂未建成污水处理厂，故建设该污水处理站</w:t>
            </w:r>
            <w:r>
              <w:rPr>
                <w:rFonts w:hint="default" w:ascii="Times New Roman" w:hAnsi="Times New Roman" w:cs="Times New Roman"/>
                <w:color w:val="auto"/>
                <w:sz w:val="24"/>
                <w:szCs w:val="24"/>
                <w:highlight w:val="none"/>
                <w:lang w:val="en-US" w:eastAsia="zh-CN"/>
              </w:rPr>
              <w:t>作为</w:t>
            </w:r>
            <w:r>
              <w:rPr>
                <w:rFonts w:hint="default" w:ascii="Times New Roman" w:hAnsi="Times New Roman" w:cs="Times New Roman"/>
                <w:color w:val="auto"/>
                <w:sz w:val="24"/>
                <w:szCs w:val="24"/>
                <w:highlight w:val="none"/>
              </w:rPr>
              <w:t>过渡</w:t>
            </w:r>
            <w:r>
              <w:rPr>
                <w:rFonts w:hint="default" w:ascii="Times New Roman" w:hAnsi="Times New Roman" w:cs="Times New Roman"/>
                <w:color w:val="auto"/>
                <w:sz w:val="24"/>
                <w:szCs w:val="24"/>
                <w:highlight w:val="none"/>
                <w:lang w:val="en-US" w:eastAsia="zh-CN"/>
              </w:rPr>
              <w:t>式污水处理站</w:t>
            </w:r>
            <w:r>
              <w:rPr>
                <w:rFonts w:hint="eastAsia" w:ascii="Times New Roman" w:hAnsi="Times New Roman" w:cs="Times New Roman"/>
                <w:color w:val="auto"/>
                <w:sz w:val="24"/>
                <w:szCs w:val="24"/>
                <w:highlight w:val="none"/>
                <w:lang w:val="en-US" w:eastAsia="zh-CN"/>
              </w:rPr>
              <w:t>，主要处理园</w:t>
            </w:r>
            <w:r>
              <w:rPr>
                <w:rFonts w:hint="default" w:ascii="Times New Roman" w:hAnsi="Times New Roman" w:cs="Times New Roman"/>
                <w:color w:val="auto"/>
                <w:sz w:val="24"/>
                <w:szCs w:val="24"/>
                <w:highlight w:val="none"/>
                <w:lang w:val="en-US" w:eastAsia="zh-CN"/>
              </w:rPr>
              <w:t>区现有企业</w:t>
            </w:r>
            <w:r>
              <w:rPr>
                <w:rFonts w:hint="eastAsia" w:ascii="Times New Roman" w:hAnsi="Times New Roman" w:cs="Times New Roman"/>
                <w:color w:val="auto"/>
                <w:sz w:val="24"/>
                <w:szCs w:val="24"/>
                <w:highlight w:val="none"/>
                <w:lang w:val="en-US" w:eastAsia="zh-CN"/>
              </w:rPr>
              <w:t>产生的生产废水及生活污水</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且项目所在区域污水管网已接通至该污水处理站</w:t>
            </w:r>
            <w:r>
              <w:rPr>
                <w:rFonts w:hint="default" w:ascii="Times New Roman" w:hAnsi="Times New Roman" w:cs="Times New Roman"/>
                <w:color w:val="auto"/>
                <w:sz w:val="24"/>
                <w:szCs w:val="24"/>
                <w:highlight w:val="none"/>
                <w:lang w:val="en-US" w:eastAsia="zh-CN"/>
              </w:rPr>
              <w:t>。根据《元江工业园区MBR膜一体化300m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/d过渡式污水处理项目环境影响报告书》及竣工环保验收报告，该</w:t>
            </w:r>
            <w:r>
              <w:rPr>
                <w:rFonts w:hint="default" w:ascii="Times New Roman" w:hAnsi="Times New Roman" w:cs="Times New Roman"/>
                <w:color w:val="auto"/>
                <w:sz w:val="24"/>
                <w:szCs w:val="24"/>
                <w:highlight w:val="none"/>
              </w:rPr>
              <w:t>过渡</w:t>
            </w:r>
            <w:r>
              <w:rPr>
                <w:rFonts w:hint="default" w:ascii="Times New Roman" w:hAnsi="Times New Roman" w:cs="Times New Roman"/>
                <w:color w:val="auto"/>
                <w:sz w:val="24"/>
                <w:szCs w:val="24"/>
                <w:highlight w:val="none"/>
                <w:lang w:val="en-US" w:eastAsia="zh-CN"/>
              </w:rPr>
              <w:t>式污水处理站主要处理元江产业园区</w:t>
            </w:r>
            <w:r>
              <w:rPr>
                <w:rFonts w:hint="eastAsia" w:ascii="Times New Roman" w:hAnsi="Times New Roman" w:cs="Times New Roman"/>
                <w:color w:val="auto"/>
                <w:sz w:val="24"/>
                <w:szCs w:val="24"/>
                <w:highlight w:val="none"/>
                <w:lang w:val="en-US" w:eastAsia="zh-CN"/>
              </w:rPr>
              <w:t>甘庄</w:t>
            </w:r>
            <w:r>
              <w:rPr>
                <w:rFonts w:hint="default" w:ascii="Times New Roman" w:hAnsi="Times New Roman" w:cs="Times New Roman"/>
                <w:color w:val="auto"/>
                <w:kern w:val="1"/>
                <w:sz w:val="24"/>
              </w:rPr>
              <w:t>片区</w:t>
            </w:r>
            <w:r>
              <w:rPr>
                <w:rFonts w:hint="eastAsia" w:ascii="Times New Roman" w:hAnsi="Times New Roman" w:cs="Times New Roman"/>
                <w:color w:val="auto"/>
                <w:kern w:val="1"/>
                <w:sz w:val="24"/>
                <w:lang w:val="en-US" w:eastAsia="zh-CN"/>
              </w:rPr>
              <w:t>现有</w:t>
            </w:r>
            <w:r>
              <w:rPr>
                <w:rFonts w:hint="default" w:ascii="Times New Roman" w:hAnsi="Times New Roman" w:cs="Times New Roman"/>
                <w:color w:val="auto"/>
                <w:kern w:val="1"/>
                <w:sz w:val="24"/>
                <w:lang w:val="en-US" w:eastAsia="zh-CN"/>
              </w:rPr>
              <w:t>企业</w:t>
            </w:r>
            <w:r>
              <w:rPr>
                <w:rFonts w:hint="default" w:ascii="Times New Roman" w:hAnsi="Times New Roman" w:cs="Times New Roman"/>
                <w:color w:val="auto"/>
                <w:kern w:val="1"/>
                <w:sz w:val="24"/>
              </w:rPr>
              <w:t>所产</w:t>
            </w:r>
            <w:r>
              <w:rPr>
                <w:rFonts w:hint="eastAsia" w:ascii="Times New Roman" w:hAnsi="Times New Roman" w:cs="Times New Roman"/>
                <w:color w:val="auto"/>
                <w:kern w:val="1"/>
                <w:sz w:val="24"/>
                <w:lang w:val="en-US" w:eastAsia="zh-CN"/>
              </w:rPr>
              <w:t>生的</w:t>
            </w:r>
            <w:r>
              <w:rPr>
                <w:rFonts w:hint="default" w:ascii="Times New Roman" w:hAnsi="Times New Roman" w:cs="Times New Roman"/>
                <w:color w:val="auto"/>
                <w:kern w:val="1"/>
                <w:sz w:val="24"/>
              </w:rPr>
              <w:t>生活污水及工业废水</w:t>
            </w:r>
            <w:r>
              <w:rPr>
                <w:rFonts w:hint="default" w:ascii="Times New Roman" w:hAnsi="Times New Roman" w:cs="Times New Roman"/>
                <w:color w:val="auto"/>
                <w:kern w:val="1"/>
                <w:sz w:val="24"/>
                <w:lang w:eastAsia="zh-CN"/>
              </w:rPr>
              <w:t>，</w:t>
            </w:r>
            <w:r>
              <w:rPr>
                <w:rFonts w:hint="default" w:ascii="Times New Roman" w:hAnsi="Times New Roman" w:cs="Times New Roman"/>
                <w:color w:val="auto"/>
                <w:kern w:val="1"/>
                <w:sz w:val="24"/>
                <w:lang w:val="en-US" w:eastAsia="zh-CN"/>
              </w:rPr>
              <w:t>采用</w:t>
            </w:r>
            <w:r>
              <w:rPr>
                <w:rFonts w:hint="default" w:ascii="Times New Roman" w:hAnsi="Times New Roman" w:cs="Times New Roman"/>
                <w:color w:val="auto"/>
                <w:sz w:val="24"/>
                <w:szCs w:val="24"/>
                <w:lang w:bidi="ar"/>
              </w:rPr>
              <w:t>MBR膜生物反应工艺，</w:t>
            </w:r>
            <w:r>
              <w:rPr>
                <w:rFonts w:hint="default" w:ascii="Times New Roman" w:hAnsi="Times New Roman" w:cs="Times New Roman"/>
                <w:color w:val="auto"/>
                <w:sz w:val="24"/>
                <w:szCs w:val="24"/>
                <w:highlight w:val="none"/>
                <w:lang w:val="en-US" w:eastAsia="zh-CN"/>
              </w:rPr>
              <w:t>设计进水水质为</w:t>
            </w:r>
            <w:r>
              <w:rPr>
                <w:rFonts w:hint="default" w:ascii="Times New Roman" w:hAnsi="Times New Roman" w:cs="Times New Roman"/>
                <w:b w:val="0"/>
                <w:bCs w:val="0"/>
                <w:color w:val="auto"/>
                <w:sz w:val="24"/>
                <w:szCs w:val="24"/>
              </w:rPr>
              <w:t>CODcr</w:t>
            </w:r>
            <w:r>
              <w:rPr>
                <w:rFonts w:hint="default" w:ascii="Times New Roman" w:hAnsi="Times New Roman" w:cs="Times New Roman"/>
                <w:b w:val="0"/>
                <w:bCs w:val="0"/>
                <w:color w:val="auto"/>
                <w:sz w:val="24"/>
                <w:szCs w:val="24"/>
                <w:lang w:val="en-US" w:eastAsia="zh-CN"/>
              </w:rPr>
              <w:t>500</w:t>
            </w:r>
            <w:r>
              <w:rPr>
                <w:rFonts w:hint="default" w:ascii="Times New Roman" w:hAnsi="Times New Roman" w:cs="Times New Roman"/>
                <w:b w:val="0"/>
                <w:bCs w:val="0"/>
                <w:color w:val="auto"/>
                <w:sz w:val="24"/>
                <w:szCs w:val="24"/>
              </w:rPr>
              <w:t>mg/L</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BOD</w:t>
            </w:r>
            <w:r>
              <w:rPr>
                <w:rFonts w:hint="default" w:ascii="Times New Roman" w:hAnsi="Times New Roman" w:cs="Times New Roman"/>
                <w:b w:val="0"/>
                <w:bCs w:val="0"/>
                <w:color w:val="auto"/>
                <w:sz w:val="24"/>
                <w:szCs w:val="24"/>
                <w:vertAlign w:val="subscript"/>
              </w:rPr>
              <w:t>5</w:t>
            </w:r>
            <w:r>
              <w:rPr>
                <w:rFonts w:hint="default" w:ascii="Times New Roman" w:hAnsi="Times New Roman" w:cs="Times New Roman"/>
                <w:b w:val="0"/>
                <w:bCs w:val="0"/>
                <w:color w:val="auto"/>
                <w:sz w:val="24"/>
                <w:szCs w:val="24"/>
                <w:lang w:val="en-US" w:eastAsia="zh-CN"/>
              </w:rPr>
              <w:t>300</w:t>
            </w:r>
            <w:r>
              <w:rPr>
                <w:rFonts w:hint="default" w:ascii="Times New Roman" w:hAnsi="Times New Roman" w:cs="Times New Roman"/>
                <w:b w:val="0"/>
                <w:bCs w:val="0"/>
                <w:color w:val="auto"/>
                <w:sz w:val="24"/>
                <w:szCs w:val="24"/>
              </w:rPr>
              <w:t>mg/L</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SS400</w:t>
            </w:r>
            <w:r>
              <w:rPr>
                <w:rFonts w:hint="default" w:ascii="Times New Roman" w:hAnsi="Times New Roman" w:cs="Times New Roman"/>
                <w:b w:val="0"/>
                <w:bCs w:val="0"/>
                <w:color w:val="auto"/>
                <w:sz w:val="21"/>
                <w:szCs w:val="21"/>
                <w:lang w:val="en-US" w:eastAsia="zh-CN"/>
              </w:rPr>
              <w:t>500</w:t>
            </w:r>
            <w:r>
              <w:rPr>
                <w:rFonts w:hint="default" w:ascii="Times New Roman" w:hAnsi="Times New Roman" w:cs="Times New Roman"/>
                <w:b w:val="0"/>
                <w:bCs w:val="0"/>
                <w:color w:val="auto"/>
                <w:sz w:val="21"/>
                <w:szCs w:val="21"/>
              </w:rPr>
              <w:t>mg/L</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NH</w:t>
            </w:r>
            <w:r>
              <w:rPr>
                <w:rFonts w:hint="default" w:ascii="Times New Roman" w:hAnsi="Times New Roman" w:cs="Times New Roman"/>
                <w:b w:val="0"/>
                <w:bCs w:val="0"/>
                <w:color w:val="auto"/>
                <w:sz w:val="21"/>
                <w:szCs w:val="21"/>
                <w:vertAlign w:val="subscript"/>
              </w:rPr>
              <w:t>3</w:t>
            </w:r>
            <w:r>
              <w:rPr>
                <w:rFonts w:hint="default" w:ascii="Times New Roman" w:hAnsi="Times New Roman" w:cs="Times New Roman"/>
                <w:b w:val="0"/>
                <w:bCs w:val="0"/>
                <w:color w:val="auto"/>
                <w:sz w:val="21"/>
                <w:szCs w:val="21"/>
              </w:rPr>
              <w:t>-N</w:t>
            </w:r>
            <w:r>
              <w:rPr>
                <w:rFonts w:hint="default" w:ascii="Times New Roman" w:hAnsi="Times New Roman" w:cs="Times New Roman"/>
                <w:b w:val="0"/>
                <w:bCs w:val="0"/>
                <w:color w:val="auto"/>
                <w:sz w:val="21"/>
                <w:szCs w:val="21"/>
                <w:lang w:val="en-US" w:eastAsia="zh-CN"/>
              </w:rPr>
              <w:t>45</w:t>
            </w:r>
            <w:r>
              <w:rPr>
                <w:rFonts w:hint="default" w:ascii="Times New Roman" w:hAnsi="Times New Roman" w:cs="Times New Roman"/>
                <w:b w:val="0"/>
                <w:bCs w:val="0"/>
                <w:color w:val="auto"/>
                <w:sz w:val="24"/>
                <w:szCs w:val="24"/>
              </w:rPr>
              <w:t>mg/L</w:t>
            </w:r>
            <w:r>
              <w:rPr>
                <w:rFonts w:hint="default"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TP</w:t>
            </w:r>
            <w:r>
              <w:rPr>
                <w:rFonts w:hint="default" w:ascii="Times New Roman" w:hAnsi="Times New Roman" w:cs="Times New Roman"/>
                <w:b w:val="0"/>
                <w:bCs w:val="0"/>
                <w:color w:val="auto"/>
                <w:sz w:val="24"/>
                <w:szCs w:val="24"/>
                <w:lang w:val="en-US" w:eastAsia="zh-CN"/>
              </w:rPr>
              <w:t>8</w:t>
            </w:r>
            <w:r>
              <w:rPr>
                <w:rFonts w:hint="default" w:ascii="Times New Roman" w:hAnsi="Times New Roman" w:cs="Times New Roman"/>
                <w:b w:val="0"/>
                <w:bCs w:val="0"/>
                <w:color w:val="auto"/>
                <w:sz w:val="24"/>
                <w:szCs w:val="24"/>
              </w:rPr>
              <w:t>mg/L</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color w:val="auto"/>
                <w:sz w:val="24"/>
                <w:szCs w:val="24"/>
                <w:lang w:val="en-US" w:eastAsia="zh-CN" w:bidi="ar"/>
              </w:rPr>
              <w:t>尾水</w:t>
            </w:r>
            <w:r>
              <w:rPr>
                <w:rFonts w:hint="default" w:ascii="Times New Roman" w:hAnsi="Times New Roman" w:cs="Times New Roman"/>
                <w:color w:val="auto"/>
                <w:sz w:val="24"/>
                <w:szCs w:val="24"/>
                <w:lang w:bidi="ar"/>
              </w:rPr>
              <w:t>执行（GB18918-2002）《城镇污水处理厂污染物排放标准》表1一级A标准及（GB/T18920-2002）《城市污水再生利用 城市杂用水水质》标准中城市绿化水质要求</w:t>
            </w:r>
            <w:r>
              <w:rPr>
                <w:rFonts w:hint="default" w:ascii="Times New Roman" w:hAnsi="Times New Roman" w:cs="Times New Roman"/>
                <w:color w:val="auto"/>
                <w:sz w:val="24"/>
                <w:szCs w:val="24"/>
                <w:lang w:eastAsia="zh-CN" w:bidi="ar"/>
              </w:rPr>
              <w:t>。</w:t>
            </w:r>
            <w:r>
              <w:rPr>
                <w:rFonts w:hint="default" w:ascii="Times New Roman" w:hAnsi="Times New Roman" w:cs="Times New Roman"/>
                <w:color w:val="auto"/>
                <w:sz w:val="24"/>
                <w:szCs w:val="24"/>
                <w:highlight w:val="none"/>
                <w:lang w:val="en-US" w:eastAsia="zh-CN"/>
              </w:rPr>
              <w:t>该</w:t>
            </w:r>
            <w:r>
              <w:rPr>
                <w:rFonts w:hint="default" w:ascii="Times New Roman" w:hAnsi="Times New Roman" w:cs="Times New Roman"/>
                <w:color w:val="auto"/>
                <w:sz w:val="24"/>
                <w:szCs w:val="24"/>
                <w:highlight w:val="none"/>
              </w:rPr>
              <w:t>过渡</w:t>
            </w:r>
            <w:r>
              <w:rPr>
                <w:rFonts w:hint="default" w:ascii="Times New Roman" w:hAnsi="Times New Roman" w:cs="Times New Roman"/>
                <w:color w:val="auto"/>
                <w:sz w:val="24"/>
                <w:szCs w:val="24"/>
                <w:highlight w:val="none"/>
                <w:lang w:val="en-US" w:eastAsia="zh-CN"/>
              </w:rPr>
              <w:t>式污水处理站要求</w:t>
            </w:r>
            <w:r>
              <w:rPr>
                <w:rFonts w:hint="eastAsia" w:ascii="Times New Roman" w:hAnsi="Times New Roman" w:cs="Times New Roman"/>
                <w:color w:val="auto"/>
                <w:sz w:val="24"/>
                <w:szCs w:val="24"/>
                <w:highlight w:val="none"/>
                <w:lang w:val="en-US" w:eastAsia="zh-CN"/>
              </w:rPr>
              <w:t>各企业</w:t>
            </w:r>
            <w:r>
              <w:rPr>
                <w:rFonts w:hint="default" w:ascii="Times New Roman" w:hAnsi="Times New Roman" w:cs="Times New Roman"/>
                <w:color w:val="auto"/>
                <w:sz w:val="24"/>
                <w:szCs w:val="24"/>
                <w:highlight w:val="none"/>
                <w:lang w:val="en-US" w:eastAsia="zh-CN"/>
              </w:rPr>
              <w:t>进入污水站</w:t>
            </w:r>
            <w:r>
              <w:rPr>
                <w:rFonts w:hint="eastAsia" w:ascii="Times New Roman" w:hAnsi="Times New Roman" w:cs="Times New Roman"/>
                <w:color w:val="auto"/>
                <w:sz w:val="24"/>
                <w:szCs w:val="24"/>
                <w:highlight w:val="none"/>
                <w:lang w:val="en-US" w:eastAsia="zh-CN"/>
              </w:rPr>
              <w:t>的</w:t>
            </w:r>
            <w:r>
              <w:rPr>
                <w:rFonts w:hint="default" w:ascii="Times New Roman" w:hAnsi="Times New Roman" w:cs="Times New Roman"/>
                <w:color w:val="auto"/>
                <w:sz w:val="24"/>
                <w:szCs w:val="24"/>
                <w:highlight w:val="none"/>
                <w:lang w:val="en-US" w:eastAsia="zh-CN"/>
              </w:rPr>
              <w:t>废水需</w:t>
            </w:r>
            <w:r>
              <w:rPr>
                <w:rFonts w:hint="eastAsia" w:ascii="Times New Roman" w:hAnsi="Times New Roman" w:cs="Times New Roman"/>
                <w:color w:val="auto"/>
                <w:sz w:val="24"/>
                <w:szCs w:val="24"/>
                <w:highlight w:val="none"/>
                <w:lang w:val="en-US" w:eastAsia="zh-CN"/>
              </w:rPr>
              <w:t>经</w:t>
            </w:r>
            <w:r>
              <w:rPr>
                <w:rFonts w:hint="default" w:ascii="Times New Roman" w:hAnsi="Times New Roman" w:cs="Times New Roman"/>
                <w:b w:val="0"/>
                <w:bCs w:val="0"/>
                <w:color w:val="auto"/>
                <w:sz w:val="24"/>
                <w:szCs w:val="24"/>
                <w:lang w:bidi="ar"/>
              </w:rPr>
              <w:t>预处理达到</w:t>
            </w:r>
            <w:r>
              <w:rPr>
                <w:rFonts w:hint="default" w:ascii="Times New Roman" w:hAnsi="Times New Roman" w:cs="Times New Roman"/>
                <w:b w:val="0"/>
                <w:bCs w:val="0"/>
                <w:color w:val="auto"/>
                <w:sz w:val="24"/>
                <w:szCs w:val="24"/>
              </w:rPr>
              <w:t>《污水排入城镇下水道水质标准》（GB/T 31962-2015）B等级及《污水综合排放标准》（GB8978-1996）三级标准后才可排入污水处理站。</w:t>
            </w:r>
          </w:p>
          <w:p w14:paraId="1BA4DF0E">
            <w:pPr>
              <w:pStyle w:val="69"/>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lang w:val="en-US" w:eastAsia="zh-CN"/>
              </w:rPr>
            </w:pPr>
            <w:r>
              <w:rPr>
                <w:rFonts w:hint="eastAsia" w:ascii="Times New Roman" w:hAnsi="Times New Roman" w:cs="Times New Roman"/>
                <w:color w:val="auto"/>
                <w:sz w:val="24"/>
                <w:szCs w:val="24"/>
                <w:highlight w:val="none"/>
                <w:lang w:val="en-US" w:eastAsia="zh-CN"/>
              </w:rPr>
              <w:t>根据调查，目前该污水处理站主要接纳</w:t>
            </w:r>
            <w:r>
              <w:rPr>
                <w:rFonts w:hint="default" w:ascii="Times New Roman" w:hAnsi="Times New Roman" w:cs="Times New Roman"/>
                <w:color w:val="auto"/>
                <w:sz w:val="24"/>
                <w:szCs w:val="24"/>
              </w:rPr>
              <w:t>云南康福茶业有限公司</w:t>
            </w:r>
            <w:r>
              <w:rPr>
                <w:rFonts w:hint="eastAsia" w:ascii="Times New Roman" w:hAnsi="Times New Roman" w:cs="Times New Roman"/>
                <w:color w:val="auto"/>
                <w:sz w:val="24"/>
                <w:szCs w:val="24"/>
                <w:lang w:val="en-US" w:eastAsia="zh-CN"/>
              </w:rPr>
              <w:t>废水以及园区办公生活污水</w:t>
            </w:r>
            <w:r>
              <w:rPr>
                <w:rFonts w:hint="eastAsia"/>
                <w:color w:val="auto"/>
                <w:sz w:val="24"/>
                <w:szCs w:val="24"/>
                <w:lang w:val="en-US" w:eastAsia="zh-CN"/>
              </w:rPr>
              <w:t>，</w:t>
            </w:r>
            <w:r>
              <w:rPr>
                <w:rFonts w:hint="default" w:ascii="Times New Roman" w:hAnsi="Times New Roman" w:cs="Times New Roman"/>
                <w:color w:val="auto"/>
                <w:lang w:val="en-US" w:eastAsia="zh-CN"/>
              </w:rPr>
              <w:t>目前</w:t>
            </w:r>
            <w:r>
              <w:rPr>
                <w:rFonts w:hint="default" w:ascii="Times New Roman" w:hAnsi="Times New Roman" w:cs="Times New Roman"/>
                <w:color w:val="auto"/>
              </w:rPr>
              <w:t>处理量约为100m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hAnsi="Times New Roman" w:cs="Times New Roman"/>
                <w:color w:val="auto"/>
                <w:lang w:val="en-US" w:eastAsia="zh-CN"/>
              </w:rPr>
              <w:t>。本次技改后，厂区</w:t>
            </w:r>
            <w:r>
              <w:rPr>
                <w:rFonts w:hint="eastAsia" w:ascii="Times New Roman" w:hAnsi="Times New Roman" w:cs="Times New Roman"/>
                <w:color w:val="auto"/>
                <w:sz w:val="24"/>
                <w:szCs w:val="24"/>
                <w:lang w:val="en-US" w:eastAsia="zh-CN"/>
              </w:rPr>
              <w:t>进入该污水处理站的生产废水总量为49.91</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废水中主要污染物为</w:t>
            </w:r>
            <w:r>
              <w:rPr>
                <w:rFonts w:hint="default" w:ascii="Times New Roman" w:hAnsi="Times New Roman" w:cs="Times New Roman"/>
                <w:b w:val="0"/>
                <w:bCs w:val="0"/>
                <w:color w:val="auto"/>
                <w:sz w:val="24"/>
                <w:szCs w:val="24"/>
              </w:rPr>
              <w:t>COD</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BOD</w:t>
            </w:r>
            <w:r>
              <w:rPr>
                <w:rFonts w:hint="default" w:ascii="Times New Roman" w:hAnsi="Times New Roman" w:cs="Times New Roman"/>
                <w:b w:val="0"/>
                <w:bCs w:val="0"/>
                <w:color w:val="auto"/>
                <w:sz w:val="24"/>
                <w:szCs w:val="24"/>
                <w:vertAlign w:val="subscript"/>
              </w:rPr>
              <w:t>5</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SS</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NH</w:t>
            </w:r>
            <w:r>
              <w:rPr>
                <w:rFonts w:hint="default" w:ascii="Times New Roman" w:hAnsi="Times New Roman" w:cs="Times New Roman"/>
                <w:b w:val="0"/>
                <w:bCs w:val="0"/>
                <w:color w:val="auto"/>
                <w:sz w:val="24"/>
                <w:szCs w:val="24"/>
                <w:vertAlign w:val="subscript"/>
              </w:rPr>
              <w:t>3</w:t>
            </w:r>
            <w:r>
              <w:rPr>
                <w:rFonts w:hint="default" w:ascii="Times New Roman" w:hAnsi="Times New Roman" w:cs="Times New Roman"/>
                <w:b w:val="0"/>
                <w:bCs w:val="0"/>
                <w:color w:val="auto"/>
                <w:sz w:val="24"/>
                <w:szCs w:val="24"/>
              </w:rPr>
              <w:t>-N</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TP，不涉及酸碱废水、重金属废水、化工有毒废水，且根据</w:t>
            </w:r>
            <w:r>
              <w:rPr>
                <w:rFonts w:hint="default" w:ascii="Times New Roman" w:hAnsi="Times New Roman" w:cs="Times New Roman"/>
                <w:caps w:val="0"/>
                <w:smallCaps w:val="0"/>
                <w:color w:val="auto"/>
                <w:sz w:val="24"/>
                <w:szCs w:val="24"/>
                <w:highlight w:val="none"/>
                <w:lang w:val="en-US" w:eastAsia="zh-CN"/>
              </w:rPr>
              <w:t>2024年《云南果研社农业科技发展有限公司自行监测（第三季度）检测报告》（YNHP24080510），厂区生产废水总排口</w:t>
            </w:r>
            <w:r>
              <w:rPr>
                <w:rFonts w:hint="default" w:ascii="Times New Roman" w:hAnsi="Times New Roman" w:eastAsia="宋体" w:cs="Times New Roman"/>
                <w:color w:val="auto"/>
                <w:highlight w:val="none"/>
                <w:lang w:val="en-US" w:eastAsia="zh-CN"/>
              </w:rPr>
              <w:t>水质</w:t>
            </w:r>
            <w:r>
              <w:rPr>
                <w:rFonts w:hint="default" w:ascii="Times New Roman" w:hAnsi="Times New Roman" w:cs="Times New Roman"/>
                <w:color w:val="auto"/>
                <w:highlight w:val="none"/>
                <w:lang w:val="en-US" w:eastAsia="zh-CN"/>
              </w:rPr>
              <w:t>可</w:t>
            </w:r>
            <w:r>
              <w:rPr>
                <w:rFonts w:hint="default" w:ascii="Times New Roman" w:hAnsi="Times New Roman" w:eastAsia="宋体" w:cs="Times New Roman"/>
                <w:color w:val="auto"/>
                <w:highlight w:val="none"/>
                <w:lang w:val="en-US" w:eastAsia="zh-CN"/>
              </w:rPr>
              <w:t>满足</w:t>
            </w:r>
            <w:r>
              <w:rPr>
                <w:rFonts w:hint="default" w:ascii="Times New Roman" w:hAnsi="Times New Roman" w:cs="Times New Roman"/>
                <w:color w:val="auto"/>
                <w:sz w:val="24"/>
                <w:szCs w:val="24"/>
                <w:highlight w:val="none"/>
                <w:lang w:val="en-US" w:eastAsia="zh-CN"/>
              </w:rPr>
              <w:t>《食品加工制造业水污染物排放标准》（GB 46817-2025）表1间接排放标准，同时满足</w:t>
            </w:r>
            <w:r>
              <w:rPr>
                <w:rFonts w:hint="default" w:ascii="Times New Roman" w:hAnsi="Times New Roman" w:cs="Times New Roman"/>
                <w:b w:val="0"/>
                <w:bCs w:val="0"/>
                <w:color w:val="auto"/>
                <w:sz w:val="24"/>
                <w:szCs w:val="24"/>
              </w:rPr>
              <w:t>《污水综合排放标准》（GB8978-1996）</w:t>
            </w:r>
            <w:r>
              <w:rPr>
                <w:rFonts w:hint="default" w:ascii="Times New Roman" w:hAnsi="Times New Roman" w:cs="Times New Roman"/>
                <w:b w:val="0"/>
                <w:bCs w:val="0"/>
                <w:color w:val="auto"/>
                <w:sz w:val="24"/>
                <w:szCs w:val="24"/>
                <w:lang w:val="en-US" w:eastAsia="zh-CN"/>
              </w:rPr>
              <w:t>三级标准</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氨氮、总磷</w:t>
            </w:r>
            <w:r>
              <w:rPr>
                <w:rFonts w:hint="eastAsia" w:ascii="Times New Roman" w:hAnsi="Times New Roman" w:cs="Times New Roman"/>
                <w:b w:val="0"/>
                <w:bCs w:val="0"/>
                <w:color w:val="auto"/>
                <w:sz w:val="24"/>
                <w:szCs w:val="24"/>
                <w:lang w:val="en-US" w:eastAsia="zh-CN"/>
              </w:rPr>
              <w:t>满足</w:t>
            </w:r>
            <w:r>
              <w:rPr>
                <w:rFonts w:hint="default" w:ascii="Times New Roman" w:hAnsi="Times New Roman" w:cs="Times New Roman"/>
                <w:color w:val="auto"/>
                <w:sz w:val="24"/>
                <w:szCs w:val="24"/>
                <w:highlight w:val="none"/>
              </w:rPr>
              <w:t>《</w:t>
            </w:r>
            <w:r>
              <w:rPr>
                <w:rFonts w:hint="default" w:ascii="Times New Roman" w:hAnsi="Times New Roman" w:cs="Times New Roman"/>
                <w:bCs/>
                <w:color w:val="auto"/>
                <w:sz w:val="24"/>
                <w:szCs w:val="24"/>
                <w:highlight w:val="none"/>
              </w:rPr>
              <w:t>污水排入城镇下水道水质标准</w:t>
            </w:r>
            <w:r>
              <w:rPr>
                <w:rFonts w:hint="default" w:ascii="Times New Roman" w:hAnsi="Times New Roman" w:cs="Times New Roman"/>
                <w:color w:val="auto"/>
                <w:sz w:val="24"/>
                <w:szCs w:val="24"/>
                <w:highlight w:val="none"/>
              </w:rPr>
              <w:t>》（</w:t>
            </w:r>
            <w:r>
              <w:rPr>
                <w:rFonts w:hint="default" w:ascii="Times New Roman" w:hAnsi="Times New Roman" w:cs="Times New Roman"/>
                <w:bCs/>
                <w:color w:val="auto"/>
                <w:sz w:val="24"/>
                <w:szCs w:val="24"/>
                <w:highlight w:val="none"/>
              </w:rPr>
              <w:t>GB/T31962-2015</w:t>
            </w:r>
            <w:r>
              <w:rPr>
                <w:rFonts w:hint="default" w:ascii="Times New Roman" w:hAnsi="Times New Roman" w:cs="Times New Roman"/>
                <w:color w:val="auto"/>
                <w:sz w:val="24"/>
                <w:szCs w:val="24"/>
                <w:highlight w:val="none"/>
              </w:rPr>
              <w:t>）</w:t>
            </w:r>
            <w:r>
              <w:rPr>
                <w:rFonts w:hint="default" w:ascii="Times New Roman" w:hAnsi="Times New Roman" w:cs="Times New Roman"/>
                <w:bCs/>
                <w:color w:val="auto"/>
                <w:sz w:val="24"/>
                <w:szCs w:val="24"/>
                <w:highlight w:val="none"/>
              </w:rPr>
              <w:t>B等级标准</w:t>
            </w:r>
            <w:r>
              <w:rPr>
                <w:rFonts w:hint="default" w:ascii="Times New Roman" w:hAnsi="Times New Roman" w:cs="Times New Roman"/>
                <w:color w:val="auto"/>
                <w:highlight w:val="none"/>
                <w:lang w:val="en-US" w:eastAsia="zh-CN"/>
              </w:rPr>
              <w:t>。</w:t>
            </w:r>
          </w:p>
          <w:p w14:paraId="40637B7E">
            <w:pPr>
              <w:pStyle w:val="69"/>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lang w:val="en-US" w:eastAsia="zh-CN"/>
              </w:rPr>
              <w:t>综上所述，厂区生产废水排入</w:t>
            </w:r>
            <w:r>
              <w:rPr>
                <w:rFonts w:hint="default" w:ascii="Times New Roman" w:hAnsi="Times New Roman" w:cs="Times New Roman"/>
                <w:color w:val="auto"/>
                <w:sz w:val="24"/>
                <w:szCs w:val="24"/>
                <w:highlight w:val="none"/>
              </w:rPr>
              <w:t>元江工业园区MBR膜一体化300m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/d过渡式污水处理站</w:t>
            </w:r>
            <w:r>
              <w:rPr>
                <w:rFonts w:hint="eastAsia" w:ascii="Times New Roman" w:hAnsi="Times New Roman" w:cs="Times New Roman"/>
                <w:color w:val="auto"/>
                <w:sz w:val="24"/>
                <w:szCs w:val="24"/>
                <w:highlight w:val="none"/>
                <w:lang w:val="en-US" w:eastAsia="zh-CN"/>
              </w:rPr>
              <w:t>是可行的</w:t>
            </w:r>
            <w:r>
              <w:rPr>
                <w:rFonts w:hint="default" w:ascii="Times New Roman" w:hAnsi="Times New Roman" w:cs="Times New Roman"/>
                <w:color w:val="auto"/>
                <w:kern w:val="0"/>
                <w:sz w:val="24"/>
                <w:szCs w:val="24"/>
              </w:rPr>
              <w:t>。</w:t>
            </w:r>
          </w:p>
          <w:p w14:paraId="25473C5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rPr>
            </w:pPr>
            <w:r>
              <w:rPr>
                <w:rFonts w:hint="eastAsia" w:cs="Times New Roman"/>
                <w:b/>
                <w:bCs/>
                <w:color w:val="auto"/>
                <w:sz w:val="24"/>
                <w:lang w:val="en-US" w:eastAsia="zh-CN"/>
              </w:rPr>
              <w:t>6、</w:t>
            </w:r>
            <w:r>
              <w:rPr>
                <w:rFonts w:hint="default" w:ascii="Times New Roman" w:hAnsi="Times New Roman" w:cs="Times New Roman"/>
                <w:b/>
                <w:bCs/>
                <w:color w:val="auto"/>
                <w:sz w:val="24"/>
              </w:rPr>
              <w:t>废水监测要求</w:t>
            </w:r>
          </w:p>
          <w:p w14:paraId="3588C72C">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eastAsia="宋体" w:cs="Times New Roman"/>
                <w:color w:val="auto"/>
                <w:sz w:val="24"/>
                <w:szCs w:val="24"/>
              </w:rPr>
              <w:t>根据</w:t>
            </w:r>
            <w:r>
              <w:rPr>
                <w:rFonts w:hint="default" w:ascii="Times New Roman" w:hAnsi="Times New Roman" w:cs="Times New Roman"/>
                <w:color w:val="auto"/>
                <w:sz w:val="24"/>
                <w:lang w:eastAsia="zh-CN"/>
              </w:rPr>
              <w:t>《排污单位自行监测技术指南 酒、饮料制造》（HJ 1085-2020）</w:t>
            </w:r>
            <w:r>
              <w:rPr>
                <w:rFonts w:hint="default" w:ascii="Times New Roman" w:hAnsi="Times New Roman" w:cs="Times New Roman"/>
                <w:color w:val="auto"/>
                <w:sz w:val="24"/>
                <w:lang w:val="en-US" w:eastAsia="zh-CN"/>
              </w:rPr>
              <w:t>及</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排污单位自行监测技术指南 火力发电及锅炉</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HJ820-2017</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进行监测</w:t>
            </w:r>
            <w:r>
              <w:rPr>
                <w:rFonts w:hint="default" w:ascii="Times New Roman" w:hAnsi="Times New Roman" w:eastAsia="宋体" w:cs="Times New Roman"/>
                <w:color w:val="auto"/>
                <w:sz w:val="24"/>
                <w:szCs w:val="24"/>
              </w:rPr>
              <w:t>中废水监测要求，本项目自行监测计划如下：</w:t>
            </w:r>
          </w:p>
          <w:p w14:paraId="091A2694">
            <w:pPr>
              <w:keepNext w:val="0"/>
              <w:keepLines w:val="0"/>
              <w:pageBreakBefore w:val="0"/>
              <w:widowControl/>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表4-1</w:t>
            </w:r>
            <w:r>
              <w:rPr>
                <w:rFonts w:hint="eastAsia" w:cs="Times New Roman"/>
                <w:b/>
                <w:bCs/>
                <w:color w:val="auto"/>
                <w:sz w:val="21"/>
                <w:szCs w:val="21"/>
                <w:lang w:val="en-US" w:eastAsia="zh-CN"/>
              </w:rPr>
              <w:t>5</w:t>
            </w:r>
            <w:r>
              <w:rPr>
                <w:rFonts w:hint="default" w:ascii="Times New Roman" w:hAnsi="Times New Roman" w:cs="Times New Roman"/>
                <w:b/>
                <w:bCs/>
                <w:color w:val="auto"/>
                <w:sz w:val="21"/>
                <w:szCs w:val="21"/>
                <w:lang w:val="en-US" w:eastAsia="zh-CN"/>
              </w:rPr>
              <w:t xml:space="preserve"> 项目废水自行监测计划</w:t>
            </w:r>
          </w:p>
          <w:tbl>
            <w:tblPr>
              <w:tblStyle w:val="22"/>
              <w:tblW w:w="793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96"/>
              <w:gridCol w:w="1663"/>
              <w:gridCol w:w="2160"/>
              <w:gridCol w:w="1147"/>
              <w:gridCol w:w="1571"/>
            </w:tblGrid>
            <w:tr w14:paraId="4A13D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396" w:type="dxa"/>
                  <w:vAlign w:val="center"/>
                </w:tcPr>
                <w:p w14:paraId="2E20C1C7">
                  <w:pPr>
                    <w:pStyle w:val="7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监测项目</w:t>
                  </w:r>
                </w:p>
              </w:tc>
              <w:tc>
                <w:tcPr>
                  <w:tcW w:w="1663" w:type="dxa"/>
                  <w:vAlign w:val="center"/>
                </w:tcPr>
                <w:p w14:paraId="1BC0EA2B">
                  <w:pPr>
                    <w:pStyle w:val="7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监测点位</w:t>
                  </w:r>
                </w:p>
              </w:tc>
              <w:tc>
                <w:tcPr>
                  <w:tcW w:w="2160" w:type="dxa"/>
                  <w:vAlign w:val="center"/>
                </w:tcPr>
                <w:p w14:paraId="3FCA589E">
                  <w:pPr>
                    <w:pStyle w:val="7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监测因子</w:t>
                  </w:r>
                </w:p>
              </w:tc>
              <w:tc>
                <w:tcPr>
                  <w:tcW w:w="1147" w:type="dxa"/>
                  <w:vAlign w:val="center"/>
                </w:tcPr>
                <w:p w14:paraId="70C3D771">
                  <w:pPr>
                    <w:pStyle w:val="7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监测频次</w:t>
                  </w:r>
                </w:p>
              </w:tc>
              <w:tc>
                <w:tcPr>
                  <w:tcW w:w="1571" w:type="dxa"/>
                  <w:vAlign w:val="center"/>
                </w:tcPr>
                <w:p w14:paraId="31C9B40F">
                  <w:pPr>
                    <w:pStyle w:val="7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监测方式</w:t>
                  </w:r>
                </w:p>
              </w:tc>
            </w:tr>
            <w:tr w14:paraId="4F87B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8" w:hRule="atLeast"/>
                <w:jc w:val="center"/>
              </w:trPr>
              <w:tc>
                <w:tcPr>
                  <w:tcW w:w="1396" w:type="dxa"/>
                  <w:vAlign w:val="center"/>
                </w:tcPr>
                <w:p w14:paraId="3CE6B621">
                  <w:pPr>
                    <w:pStyle w:val="70"/>
                    <w:adjustRightInd w:val="0"/>
                    <w:snapToGrid w:val="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生产废水</w:t>
                  </w:r>
                </w:p>
              </w:tc>
              <w:tc>
                <w:tcPr>
                  <w:tcW w:w="1663" w:type="dxa"/>
                  <w:vAlign w:val="center"/>
                </w:tcPr>
                <w:p w14:paraId="5B37388E">
                  <w:pPr>
                    <w:pStyle w:val="70"/>
                    <w:adjustRightInd w:val="0"/>
                    <w:snapToGrid w:val="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highlight w:val="none"/>
                      <w:lang w:val="en-US" w:eastAsia="zh-CN" w:bidi="ar"/>
                    </w:rPr>
                    <w:t>生产</w:t>
                  </w:r>
                  <w:r>
                    <w:rPr>
                      <w:rFonts w:hint="default" w:ascii="Times New Roman" w:hAnsi="Times New Roman" w:cs="Times New Roman"/>
                      <w:color w:val="auto"/>
                      <w:sz w:val="21"/>
                      <w:szCs w:val="21"/>
                      <w:highlight w:val="none"/>
                      <w:lang w:val="en-US" w:eastAsia="zh-CN" w:bidi="ar"/>
                    </w:rPr>
                    <w:t>废水总排口</w:t>
                  </w:r>
                  <w:r>
                    <w:rPr>
                      <w:rFonts w:hint="eastAsia" w:ascii="Times New Roman" w:hAnsi="Times New Roman" w:cs="Times New Roman"/>
                      <w:color w:val="auto"/>
                      <w:sz w:val="21"/>
                      <w:szCs w:val="21"/>
                      <w:highlight w:val="none"/>
                      <w:lang w:val="en-US" w:eastAsia="zh-CN" w:bidi="ar"/>
                    </w:rPr>
                    <w:t>（DW001）</w:t>
                  </w:r>
                </w:p>
              </w:tc>
              <w:tc>
                <w:tcPr>
                  <w:tcW w:w="2160" w:type="dxa"/>
                  <w:vAlign w:val="center"/>
                </w:tcPr>
                <w:p w14:paraId="3FBACC89">
                  <w:pPr>
                    <w:pStyle w:val="7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pH值、</w:t>
                  </w:r>
                  <w:r>
                    <w:rPr>
                      <w:rFonts w:hint="default" w:ascii="Times New Roman" w:hAnsi="Times New Roman" w:cs="Times New Roman"/>
                      <w:color w:val="auto"/>
                      <w:sz w:val="21"/>
                      <w:szCs w:val="21"/>
                      <w:lang w:val="en-US" w:eastAsia="zh-CN"/>
                    </w:rPr>
                    <w:t>化学需氧量、</w:t>
                  </w:r>
                  <w:r>
                    <w:rPr>
                      <w:rFonts w:hint="default" w:ascii="Times New Roman" w:hAnsi="Times New Roman" w:cs="Times New Roman"/>
                      <w:color w:val="auto"/>
                      <w:sz w:val="21"/>
                      <w:szCs w:val="21"/>
                    </w:rPr>
                    <w:t>氨氮、</w:t>
                  </w:r>
                  <w:r>
                    <w:rPr>
                      <w:rFonts w:hint="default" w:ascii="Times New Roman" w:hAnsi="Times New Roman" w:cs="Times New Roman"/>
                      <w:color w:val="auto"/>
                      <w:sz w:val="21"/>
                      <w:szCs w:val="21"/>
                      <w:lang w:val="en-US" w:eastAsia="zh-CN"/>
                    </w:rPr>
                    <w:t>总氮、总磷、色度、五日生化需氧量、悬浮物、流量</w:t>
                  </w:r>
                </w:p>
              </w:tc>
              <w:tc>
                <w:tcPr>
                  <w:tcW w:w="1147" w:type="dxa"/>
                  <w:tcBorders>
                    <w:top w:val="single" w:color="auto" w:sz="4" w:space="0"/>
                  </w:tcBorders>
                  <w:vAlign w:val="center"/>
                </w:tcPr>
                <w:p w14:paraId="00564CB8">
                  <w:pPr>
                    <w:pStyle w:val="7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半年</w:t>
                  </w:r>
                  <w:r>
                    <w:rPr>
                      <w:rFonts w:hint="default" w:ascii="Times New Roman" w:hAnsi="Times New Roman" w:cs="Times New Roman"/>
                      <w:color w:val="auto"/>
                      <w:sz w:val="21"/>
                      <w:szCs w:val="21"/>
                      <w:lang w:val="en-US" w:eastAsia="zh-CN"/>
                    </w:rPr>
                    <w:t>/次</w:t>
                  </w:r>
                </w:p>
              </w:tc>
              <w:tc>
                <w:tcPr>
                  <w:tcW w:w="1571" w:type="dxa"/>
                  <w:tcBorders>
                    <w:top w:val="single" w:color="auto" w:sz="4" w:space="0"/>
                  </w:tcBorders>
                  <w:vAlign w:val="center"/>
                </w:tcPr>
                <w:p w14:paraId="7290FEF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委托其他检（监）测机构代其开展监测</w:t>
                  </w:r>
                </w:p>
              </w:tc>
            </w:tr>
          </w:tbl>
          <w:p w14:paraId="18903386">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三</w:t>
            </w:r>
            <w:r>
              <w:rPr>
                <w:rFonts w:hint="default" w:ascii="Times New Roman" w:hAnsi="Times New Roman" w:cs="Times New Roman"/>
                <w:b/>
                <w:bCs/>
                <w:color w:val="auto"/>
                <w:sz w:val="24"/>
              </w:rPr>
              <w:t>、噪声</w:t>
            </w:r>
          </w:p>
          <w:p w14:paraId="37251BD2">
            <w:pPr>
              <w:pStyle w:val="63"/>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lang w:eastAsia="zh-CN"/>
              </w:rPr>
            </w:pPr>
            <w:r>
              <w:rPr>
                <w:rFonts w:hint="default" w:ascii="Times New Roman" w:hAnsi="Times New Roman" w:cs="Times New Roman"/>
                <w:b/>
                <w:bCs/>
                <w:color w:val="auto"/>
                <w:lang w:val="en-US" w:eastAsia="zh-CN"/>
              </w:rPr>
              <w:t>1、</w:t>
            </w:r>
            <w:r>
              <w:rPr>
                <w:rFonts w:hint="default" w:ascii="Times New Roman" w:hAnsi="Times New Roman" w:cs="Times New Roman"/>
                <w:b/>
                <w:bCs/>
                <w:color w:val="auto"/>
                <w:lang w:eastAsia="zh-CN"/>
              </w:rPr>
              <w:t>噪声源强分析</w:t>
            </w:r>
          </w:p>
          <w:p w14:paraId="1852D528">
            <w:pPr>
              <w:pStyle w:val="6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eastAsia" w:cs="Times New Roman"/>
                <w:color w:val="auto"/>
                <w:lang w:val="en-US" w:eastAsia="zh-CN"/>
              </w:rPr>
              <w:t>本次技改主要新增锅炉房设备，其他设备沿用现有项目，因此本次预测仅对新增噪声源贡献值进行预测，然后再与现状噪声值进行叠加，得出本项目噪声预测值。本次技改新增</w:t>
            </w:r>
            <w:r>
              <w:rPr>
                <w:rFonts w:hint="default" w:ascii="Times New Roman" w:hAnsi="Times New Roman" w:cs="Times New Roman"/>
                <w:color w:val="auto"/>
                <w:lang w:val="en-US" w:eastAsia="zh-CN"/>
              </w:rPr>
              <w:t>噪声源强调查情况如下表所示</w:t>
            </w:r>
            <w:r>
              <w:rPr>
                <w:rFonts w:hint="eastAsia" w:cs="Times New Roman"/>
                <w:color w:val="auto"/>
                <w:lang w:val="en-US" w:eastAsia="zh-CN"/>
              </w:rPr>
              <w:t>。</w:t>
            </w:r>
          </w:p>
        </w:tc>
      </w:tr>
    </w:tbl>
    <w:p w14:paraId="253A3D36">
      <w:pPr>
        <w:adjustRightInd w:val="0"/>
        <w:snapToGrid w:val="0"/>
        <w:spacing w:line="360" w:lineRule="auto"/>
        <w:rPr>
          <w:b/>
          <w:color w:val="auto"/>
          <w:kern w:val="0"/>
          <w:sz w:val="28"/>
          <w:szCs w:val="28"/>
        </w:rPr>
        <w:sectPr>
          <w:pgSz w:w="11907" w:h="16840"/>
          <w:pgMar w:top="1701" w:right="1531" w:bottom="2127" w:left="1531" w:header="851" w:footer="851" w:gutter="0"/>
          <w:pgNumType w:fmt="numberInDash"/>
          <w:cols w:space="720" w:num="1"/>
          <w:docGrid w:linePitch="312" w:charSpace="0"/>
        </w:sectPr>
      </w:pPr>
    </w:p>
    <w:p w14:paraId="525714E4">
      <w:pPr>
        <w:jc w:val="center"/>
        <w:rPr>
          <w:color w:val="auto"/>
        </w:rPr>
      </w:pPr>
      <w:r>
        <w:rPr>
          <w:rFonts w:hint="default" w:ascii="Times New Roman" w:hAnsi="Times New Roman" w:eastAsia="宋体" w:cs="Times New Roman"/>
          <w:b/>
          <w:bCs/>
          <w:color w:val="auto"/>
          <w:sz w:val="21"/>
          <w:szCs w:val="21"/>
          <w:highlight w:val="none"/>
        </w:rPr>
        <w:t>表</w:t>
      </w:r>
      <w:r>
        <w:rPr>
          <w:rFonts w:hint="eastAsia"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16</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lang w:val="en-US" w:eastAsia="zh-CN"/>
        </w:rPr>
        <w:t>工业企业噪声源强调查清单（室内声源）</w:t>
      </w:r>
    </w:p>
    <w:tbl>
      <w:tblPr>
        <w:tblStyle w:val="22"/>
        <w:tblW w:w="49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185"/>
        <w:gridCol w:w="1326"/>
        <w:gridCol w:w="709"/>
        <w:gridCol w:w="877"/>
        <w:gridCol w:w="857"/>
        <w:gridCol w:w="807"/>
        <w:gridCol w:w="787"/>
        <w:gridCol w:w="821"/>
        <w:gridCol w:w="860"/>
        <w:gridCol w:w="1017"/>
        <w:gridCol w:w="709"/>
        <w:gridCol w:w="971"/>
        <w:gridCol w:w="832"/>
        <w:gridCol w:w="846"/>
      </w:tblGrid>
      <w:tr w14:paraId="76E9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94" w:type="pct"/>
            <w:vMerge w:val="restart"/>
            <w:tcBorders>
              <w:tl2br w:val="nil"/>
              <w:tr2bl w:val="nil"/>
            </w:tcBorders>
            <w:noWrap/>
            <w:vAlign w:val="center"/>
          </w:tcPr>
          <w:p w14:paraId="36FB876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序号 </w:t>
            </w:r>
          </w:p>
        </w:tc>
        <w:tc>
          <w:tcPr>
            <w:tcW w:w="451" w:type="pct"/>
            <w:vMerge w:val="restart"/>
            <w:tcBorders>
              <w:tl2br w:val="nil"/>
              <w:tr2bl w:val="nil"/>
            </w:tcBorders>
            <w:noWrap w:val="0"/>
            <w:vAlign w:val="center"/>
          </w:tcPr>
          <w:p w14:paraId="6CA291FA">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建筑物</w:t>
            </w:r>
          </w:p>
          <w:p w14:paraId="2050F64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505" w:type="pct"/>
            <w:vMerge w:val="restart"/>
            <w:tcBorders>
              <w:tl2br w:val="nil"/>
              <w:tr2bl w:val="nil"/>
            </w:tcBorders>
            <w:noWrap/>
            <w:vAlign w:val="center"/>
          </w:tcPr>
          <w:p w14:paraId="423E056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声源名称 </w:t>
            </w:r>
          </w:p>
        </w:tc>
        <w:tc>
          <w:tcPr>
            <w:tcW w:w="270" w:type="pct"/>
            <w:vMerge w:val="restart"/>
            <w:tcBorders>
              <w:tl2br w:val="nil"/>
              <w:tr2bl w:val="nil"/>
            </w:tcBorders>
            <w:noWrap/>
            <w:vAlign w:val="center"/>
          </w:tcPr>
          <w:p w14:paraId="5E89A8C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型号 </w:t>
            </w:r>
          </w:p>
        </w:tc>
        <w:tc>
          <w:tcPr>
            <w:tcW w:w="334" w:type="pct"/>
            <w:vMerge w:val="restart"/>
            <w:tcBorders>
              <w:tl2br w:val="nil"/>
              <w:tr2bl w:val="nil"/>
            </w:tcBorders>
            <w:noWrap/>
            <w:vAlign w:val="center"/>
          </w:tcPr>
          <w:p w14:paraId="45032BD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声功率级</w:t>
            </w:r>
            <w:r>
              <w:rPr>
                <w:rStyle w:val="64"/>
                <w:rFonts w:hint="default" w:ascii="Times New Roman" w:hAnsi="Times New Roman" w:eastAsia="宋体" w:cs="Times New Roman"/>
                <w:b/>
                <w:bCs/>
                <w:color w:val="auto"/>
                <w:sz w:val="21"/>
                <w:szCs w:val="21"/>
                <w:lang w:val="en-US" w:eastAsia="zh-CN" w:bidi="ar"/>
              </w:rPr>
              <w:t>/dB(A)</w:t>
            </w:r>
          </w:p>
        </w:tc>
        <w:tc>
          <w:tcPr>
            <w:tcW w:w="326" w:type="pct"/>
            <w:vMerge w:val="restart"/>
            <w:tcBorders>
              <w:tl2br w:val="nil"/>
              <w:tr2bl w:val="nil"/>
            </w:tcBorders>
            <w:noWrap/>
            <w:vAlign w:val="center"/>
          </w:tcPr>
          <w:p w14:paraId="29F3876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声源控制措施</w:t>
            </w:r>
          </w:p>
        </w:tc>
        <w:tc>
          <w:tcPr>
            <w:tcW w:w="920" w:type="pct"/>
            <w:gridSpan w:val="3"/>
            <w:tcBorders>
              <w:tl2br w:val="nil"/>
              <w:tr2bl w:val="nil"/>
            </w:tcBorders>
            <w:noWrap/>
            <w:vAlign w:val="center"/>
          </w:tcPr>
          <w:p w14:paraId="1EDC8BC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空间相对位置</w:t>
            </w:r>
            <w:r>
              <w:rPr>
                <w:rStyle w:val="64"/>
                <w:rFonts w:hint="default" w:ascii="Times New Roman" w:hAnsi="Times New Roman" w:eastAsia="宋体" w:cs="Times New Roman"/>
                <w:b/>
                <w:bCs/>
                <w:color w:val="auto"/>
                <w:sz w:val="21"/>
                <w:szCs w:val="21"/>
                <w:lang w:val="en-US" w:eastAsia="zh-CN" w:bidi="ar"/>
              </w:rPr>
              <w:t>/m</w:t>
            </w:r>
          </w:p>
        </w:tc>
        <w:tc>
          <w:tcPr>
            <w:tcW w:w="327" w:type="pct"/>
            <w:vMerge w:val="restart"/>
            <w:tcBorders>
              <w:tl2br w:val="nil"/>
              <w:tr2bl w:val="nil"/>
            </w:tcBorders>
            <w:noWrap w:val="0"/>
            <w:vAlign w:val="center"/>
          </w:tcPr>
          <w:p w14:paraId="1BEC16B1">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距室内边界距离/m</w:t>
            </w:r>
          </w:p>
        </w:tc>
        <w:tc>
          <w:tcPr>
            <w:tcW w:w="387" w:type="pct"/>
            <w:vMerge w:val="restart"/>
            <w:tcBorders>
              <w:tl2br w:val="nil"/>
              <w:tr2bl w:val="nil"/>
            </w:tcBorders>
            <w:noWrap w:val="0"/>
            <w:vAlign w:val="center"/>
          </w:tcPr>
          <w:p w14:paraId="70FBF06D">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室内边界声级</w:t>
            </w:r>
          </w:p>
          <w:p w14:paraId="41D4E44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/dB(A)</w:t>
            </w:r>
          </w:p>
        </w:tc>
        <w:tc>
          <w:tcPr>
            <w:tcW w:w="270" w:type="pct"/>
            <w:vMerge w:val="restart"/>
            <w:tcBorders>
              <w:tl2br w:val="nil"/>
              <w:tr2bl w:val="nil"/>
            </w:tcBorders>
            <w:noWrap/>
            <w:vAlign w:val="center"/>
          </w:tcPr>
          <w:p w14:paraId="72CFCAB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运行时段</w:t>
            </w:r>
          </w:p>
        </w:tc>
        <w:tc>
          <w:tcPr>
            <w:tcW w:w="370" w:type="pct"/>
            <w:vMerge w:val="restart"/>
            <w:tcBorders>
              <w:tl2br w:val="nil"/>
              <w:tr2bl w:val="nil"/>
            </w:tcBorders>
            <w:noWrap w:val="0"/>
            <w:vAlign w:val="center"/>
          </w:tcPr>
          <w:p w14:paraId="3D480C8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建筑物插入损失/dB(A)</w:t>
            </w:r>
          </w:p>
        </w:tc>
        <w:tc>
          <w:tcPr>
            <w:tcW w:w="639" w:type="pct"/>
            <w:gridSpan w:val="2"/>
            <w:tcBorders>
              <w:tl2br w:val="nil"/>
              <w:tr2bl w:val="nil"/>
            </w:tcBorders>
            <w:noWrap/>
            <w:vAlign w:val="center"/>
          </w:tcPr>
          <w:p w14:paraId="4946BBE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建筑物外噪声</w:t>
            </w:r>
          </w:p>
        </w:tc>
      </w:tr>
      <w:tr w14:paraId="6C15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94" w:type="pct"/>
            <w:vMerge w:val="continue"/>
            <w:tcBorders>
              <w:tl2br w:val="nil"/>
              <w:tr2bl w:val="nil"/>
            </w:tcBorders>
            <w:noWrap/>
            <w:vAlign w:val="center"/>
          </w:tcPr>
          <w:p w14:paraId="3612CBF6">
            <w:pPr>
              <w:jc w:val="center"/>
              <w:rPr>
                <w:rFonts w:hint="default" w:ascii="Times New Roman" w:hAnsi="Times New Roman" w:eastAsia="宋体" w:cs="Times New Roman"/>
                <w:b/>
                <w:bCs/>
                <w:i w:val="0"/>
                <w:iCs w:val="0"/>
                <w:color w:val="auto"/>
                <w:sz w:val="21"/>
                <w:szCs w:val="21"/>
                <w:u w:val="none"/>
              </w:rPr>
            </w:pPr>
          </w:p>
        </w:tc>
        <w:tc>
          <w:tcPr>
            <w:tcW w:w="451" w:type="pct"/>
            <w:vMerge w:val="continue"/>
            <w:tcBorders>
              <w:tl2br w:val="nil"/>
              <w:tr2bl w:val="nil"/>
            </w:tcBorders>
            <w:noWrap w:val="0"/>
            <w:vAlign w:val="center"/>
          </w:tcPr>
          <w:p w14:paraId="3BD22EE4">
            <w:pPr>
              <w:jc w:val="center"/>
              <w:rPr>
                <w:rFonts w:hint="default" w:ascii="Times New Roman" w:hAnsi="Times New Roman" w:eastAsia="宋体" w:cs="Times New Roman"/>
                <w:b/>
                <w:bCs/>
                <w:i w:val="0"/>
                <w:iCs w:val="0"/>
                <w:color w:val="auto"/>
                <w:sz w:val="21"/>
                <w:szCs w:val="21"/>
                <w:u w:val="none"/>
              </w:rPr>
            </w:pPr>
          </w:p>
        </w:tc>
        <w:tc>
          <w:tcPr>
            <w:tcW w:w="505" w:type="pct"/>
            <w:vMerge w:val="continue"/>
            <w:tcBorders>
              <w:tl2br w:val="nil"/>
              <w:tr2bl w:val="nil"/>
            </w:tcBorders>
            <w:noWrap/>
            <w:vAlign w:val="center"/>
          </w:tcPr>
          <w:p w14:paraId="0FAB3ED1">
            <w:pPr>
              <w:jc w:val="center"/>
              <w:rPr>
                <w:rFonts w:hint="default" w:ascii="Times New Roman" w:hAnsi="Times New Roman" w:eastAsia="宋体" w:cs="Times New Roman"/>
                <w:b/>
                <w:bCs/>
                <w:i w:val="0"/>
                <w:iCs w:val="0"/>
                <w:color w:val="auto"/>
                <w:sz w:val="21"/>
                <w:szCs w:val="21"/>
                <w:u w:val="none"/>
              </w:rPr>
            </w:pPr>
          </w:p>
        </w:tc>
        <w:tc>
          <w:tcPr>
            <w:tcW w:w="270" w:type="pct"/>
            <w:vMerge w:val="continue"/>
            <w:tcBorders>
              <w:tl2br w:val="nil"/>
              <w:tr2bl w:val="nil"/>
            </w:tcBorders>
            <w:noWrap/>
            <w:vAlign w:val="center"/>
          </w:tcPr>
          <w:p w14:paraId="6303B194">
            <w:pPr>
              <w:jc w:val="center"/>
              <w:rPr>
                <w:rFonts w:hint="default" w:ascii="Times New Roman" w:hAnsi="Times New Roman" w:eastAsia="宋体" w:cs="Times New Roman"/>
                <w:b/>
                <w:bCs/>
                <w:i w:val="0"/>
                <w:iCs w:val="0"/>
                <w:color w:val="auto"/>
                <w:sz w:val="21"/>
                <w:szCs w:val="21"/>
                <w:u w:val="none"/>
              </w:rPr>
            </w:pPr>
          </w:p>
        </w:tc>
        <w:tc>
          <w:tcPr>
            <w:tcW w:w="334" w:type="pct"/>
            <w:vMerge w:val="continue"/>
            <w:tcBorders>
              <w:tl2br w:val="nil"/>
              <w:tr2bl w:val="nil"/>
            </w:tcBorders>
            <w:noWrap w:val="0"/>
            <w:vAlign w:val="center"/>
          </w:tcPr>
          <w:p w14:paraId="34EFE9A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p>
        </w:tc>
        <w:tc>
          <w:tcPr>
            <w:tcW w:w="326" w:type="pct"/>
            <w:vMerge w:val="continue"/>
            <w:tcBorders>
              <w:tl2br w:val="nil"/>
              <w:tr2bl w:val="nil"/>
            </w:tcBorders>
            <w:noWrap/>
            <w:vAlign w:val="center"/>
          </w:tcPr>
          <w:p w14:paraId="4BC9BF45">
            <w:pPr>
              <w:jc w:val="center"/>
              <w:rPr>
                <w:rFonts w:hint="default" w:ascii="Times New Roman" w:hAnsi="Times New Roman" w:eastAsia="宋体" w:cs="Times New Roman"/>
                <w:b/>
                <w:bCs/>
                <w:i w:val="0"/>
                <w:iCs w:val="0"/>
                <w:color w:val="auto"/>
                <w:sz w:val="21"/>
                <w:szCs w:val="21"/>
                <w:u w:val="none"/>
              </w:rPr>
            </w:pPr>
          </w:p>
        </w:tc>
        <w:tc>
          <w:tcPr>
            <w:tcW w:w="307" w:type="pct"/>
            <w:tcBorders>
              <w:tl2br w:val="nil"/>
              <w:tr2bl w:val="nil"/>
            </w:tcBorders>
            <w:noWrap/>
            <w:vAlign w:val="center"/>
          </w:tcPr>
          <w:p w14:paraId="7C279AF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X</w:t>
            </w:r>
          </w:p>
        </w:tc>
        <w:tc>
          <w:tcPr>
            <w:tcW w:w="300" w:type="pct"/>
            <w:tcBorders>
              <w:tl2br w:val="nil"/>
              <w:tr2bl w:val="nil"/>
            </w:tcBorders>
            <w:noWrap/>
            <w:vAlign w:val="center"/>
          </w:tcPr>
          <w:p w14:paraId="25F7FCE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Y</w:t>
            </w:r>
          </w:p>
        </w:tc>
        <w:tc>
          <w:tcPr>
            <w:tcW w:w="313" w:type="pct"/>
            <w:tcBorders>
              <w:tl2br w:val="nil"/>
              <w:tr2bl w:val="nil"/>
            </w:tcBorders>
            <w:noWrap/>
            <w:vAlign w:val="center"/>
          </w:tcPr>
          <w:p w14:paraId="4CFF3E9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Z</w:t>
            </w:r>
          </w:p>
        </w:tc>
        <w:tc>
          <w:tcPr>
            <w:tcW w:w="327" w:type="pct"/>
            <w:vMerge w:val="continue"/>
            <w:tcBorders>
              <w:tl2br w:val="nil"/>
              <w:tr2bl w:val="nil"/>
            </w:tcBorders>
            <w:noWrap w:val="0"/>
            <w:vAlign w:val="center"/>
          </w:tcPr>
          <w:p w14:paraId="0311B0F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p>
        </w:tc>
        <w:tc>
          <w:tcPr>
            <w:tcW w:w="387" w:type="pct"/>
            <w:vMerge w:val="continue"/>
            <w:tcBorders>
              <w:tl2br w:val="nil"/>
              <w:tr2bl w:val="nil"/>
            </w:tcBorders>
            <w:noWrap w:val="0"/>
            <w:vAlign w:val="center"/>
          </w:tcPr>
          <w:p w14:paraId="1DCC6DD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p>
        </w:tc>
        <w:tc>
          <w:tcPr>
            <w:tcW w:w="270" w:type="pct"/>
            <w:vMerge w:val="continue"/>
            <w:tcBorders>
              <w:tl2br w:val="nil"/>
              <w:tr2bl w:val="nil"/>
            </w:tcBorders>
            <w:noWrap/>
            <w:vAlign w:val="center"/>
          </w:tcPr>
          <w:p w14:paraId="1028FB29">
            <w:pPr>
              <w:jc w:val="center"/>
              <w:rPr>
                <w:rFonts w:hint="default" w:ascii="Times New Roman" w:hAnsi="Times New Roman" w:eastAsia="宋体" w:cs="Times New Roman"/>
                <w:b/>
                <w:bCs/>
                <w:i w:val="0"/>
                <w:iCs w:val="0"/>
                <w:color w:val="auto"/>
                <w:sz w:val="21"/>
                <w:szCs w:val="21"/>
                <w:u w:val="none"/>
              </w:rPr>
            </w:pPr>
          </w:p>
        </w:tc>
        <w:tc>
          <w:tcPr>
            <w:tcW w:w="370" w:type="pct"/>
            <w:vMerge w:val="continue"/>
            <w:tcBorders>
              <w:tl2br w:val="nil"/>
              <w:tr2bl w:val="nil"/>
            </w:tcBorders>
            <w:noWrap w:val="0"/>
            <w:vAlign w:val="center"/>
          </w:tcPr>
          <w:p w14:paraId="461C3CAE">
            <w:pPr>
              <w:jc w:val="center"/>
              <w:rPr>
                <w:rFonts w:hint="default" w:ascii="Times New Roman" w:hAnsi="Times New Roman" w:eastAsia="宋体" w:cs="Times New Roman"/>
                <w:b/>
                <w:bCs/>
                <w:i w:val="0"/>
                <w:iCs w:val="0"/>
                <w:color w:val="auto"/>
                <w:sz w:val="21"/>
                <w:szCs w:val="21"/>
                <w:u w:val="none"/>
              </w:rPr>
            </w:pPr>
          </w:p>
        </w:tc>
        <w:tc>
          <w:tcPr>
            <w:tcW w:w="317" w:type="pct"/>
            <w:tcBorders>
              <w:tl2br w:val="nil"/>
              <w:tr2bl w:val="nil"/>
            </w:tcBorders>
            <w:noWrap w:val="0"/>
            <w:vAlign w:val="center"/>
          </w:tcPr>
          <w:p w14:paraId="5CA2029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声压级/dB(A)</w:t>
            </w:r>
          </w:p>
        </w:tc>
        <w:tc>
          <w:tcPr>
            <w:tcW w:w="322" w:type="pct"/>
            <w:tcBorders>
              <w:tl2br w:val="nil"/>
              <w:tr2bl w:val="nil"/>
            </w:tcBorders>
            <w:noWrap w:val="0"/>
            <w:vAlign w:val="center"/>
          </w:tcPr>
          <w:p w14:paraId="4DEA169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建筑物外距离</w:t>
            </w:r>
          </w:p>
        </w:tc>
      </w:tr>
      <w:tr w14:paraId="1507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94" w:type="pct"/>
            <w:tcBorders>
              <w:tl2br w:val="nil"/>
              <w:tr2bl w:val="nil"/>
            </w:tcBorders>
            <w:noWrap/>
            <w:vAlign w:val="center"/>
          </w:tcPr>
          <w:p w14:paraId="19202A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451" w:type="pct"/>
            <w:vMerge w:val="restart"/>
            <w:tcBorders>
              <w:tl2br w:val="nil"/>
              <w:tr2bl w:val="nil"/>
            </w:tcBorders>
            <w:noWrap/>
            <w:vAlign w:val="center"/>
          </w:tcPr>
          <w:p w14:paraId="4E3E53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锅炉房</w:t>
            </w:r>
          </w:p>
        </w:tc>
        <w:tc>
          <w:tcPr>
            <w:tcW w:w="505" w:type="pct"/>
            <w:tcBorders>
              <w:tl2br w:val="nil"/>
              <w:tr2bl w:val="nil"/>
            </w:tcBorders>
            <w:shd w:val="clear" w:color="auto" w:fill="auto"/>
            <w:noWrap/>
            <w:vAlign w:val="center"/>
          </w:tcPr>
          <w:p w14:paraId="10A48B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bCs/>
                <w:color w:val="auto"/>
                <w:sz w:val="21"/>
                <w:szCs w:val="21"/>
              </w:rPr>
              <w:t>不锈钢立式多级水泵</w:t>
            </w:r>
          </w:p>
        </w:tc>
        <w:tc>
          <w:tcPr>
            <w:tcW w:w="270" w:type="pct"/>
            <w:tcBorders>
              <w:tl2br w:val="nil"/>
              <w:tr2bl w:val="nil"/>
            </w:tcBorders>
            <w:shd w:val="clear" w:color="auto" w:fill="auto"/>
            <w:noWrap/>
            <w:vAlign w:val="center"/>
          </w:tcPr>
          <w:p w14:paraId="2DAA41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rPr>
              <w:t>CDMF</w:t>
            </w:r>
          </w:p>
        </w:tc>
        <w:tc>
          <w:tcPr>
            <w:tcW w:w="334" w:type="pct"/>
            <w:tcBorders>
              <w:tl2br w:val="nil"/>
              <w:tr2bl w:val="nil"/>
            </w:tcBorders>
            <w:shd w:val="clear" w:color="auto" w:fill="auto"/>
            <w:noWrap/>
            <w:vAlign w:val="center"/>
          </w:tcPr>
          <w:p w14:paraId="6890EB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75</w:t>
            </w:r>
          </w:p>
        </w:tc>
        <w:tc>
          <w:tcPr>
            <w:tcW w:w="326" w:type="pct"/>
            <w:vMerge w:val="restart"/>
            <w:tcBorders>
              <w:tl2br w:val="nil"/>
              <w:tr2bl w:val="nil"/>
            </w:tcBorders>
            <w:noWrap/>
            <w:vAlign w:val="center"/>
          </w:tcPr>
          <w:p w14:paraId="5ABA11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建筑隔声、选用低噪声设备</w:t>
            </w:r>
          </w:p>
        </w:tc>
        <w:tc>
          <w:tcPr>
            <w:tcW w:w="307" w:type="pct"/>
            <w:tcBorders>
              <w:tl2br w:val="nil"/>
              <w:tr2bl w:val="nil"/>
            </w:tcBorders>
            <w:noWrap/>
            <w:vAlign w:val="center"/>
          </w:tcPr>
          <w:p w14:paraId="59DD56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-3.74</w:t>
            </w:r>
          </w:p>
        </w:tc>
        <w:tc>
          <w:tcPr>
            <w:tcW w:w="300" w:type="pct"/>
            <w:tcBorders>
              <w:tl2br w:val="nil"/>
              <w:tr2bl w:val="nil"/>
            </w:tcBorders>
            <w:noWrap/>
            <w:vAlign w:val="center"/>
          </w:tcPr>
          <w:p w14:paraId="634269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-20.08</w:t>
            </w:r>
          </w:p>
        </w:tc>
        <w:tc>
          <w:tcPr>
            <w:tcW w:w="313" w:type="pct"/>
            <w:tcBorders>
              <w:tl2br w:val="nil"/>
              <w:tr2bl w:val="nil"/>
            </w:tcBorders>
            <w:noWrap/>
            <w:vAlign w:val="center"/>
          </w:tcPr>
          <w:p w14:paraId="7BC7C5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327" w:type="pct"/>
            <w:tcBorders>
              <w:tl2br w:val="nil"/>
              <w:tr2bl w:val="nil"/>
            </w:tcBorders>
            <w:noWrap/>
            <w:vAlign w:val="center"/>
          </w:tcPr>
          <w:p w14:paraId="20194E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w:t>
            </w:r>
          </w:p>
        </w:tc>
        <w:tc>
          <w:tcPr>
            <w:tcW w:w="387" w:type="pct"/>
            <w:tcBorders>
              <w:tl2br w:val="nil"/>
              <w:tr2bl w:val="nil"/>
            </w:tcBorders>
            <w:noWrap/>
            <w:vAlign w:val="center"/>
          </w:tcPr>
          <w:p w14:paraId="73C922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56.16</w:t>
            </w:r>
          </w:p>
        </w:tc>
        <w:tc>
          <w:tcPr>
            <w:tcW w:w="270" w:type="pct"/>
            <w:tcBorders>
              <w:tl2br w:val="nil"/>
              <w:tr2bl w:val="nil"/>
            </w:tcBorders>
            <w:noWrap/>
            <w:vAlign w:val="center"/>
          </w:tcPr>
          <w:p w14:paraId="124328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370" w:type="pct"/>
            <w:tcBorders>
              <w:tl2br w:val="nil"/>
              <w:tr2bl w:val="nil"/>
            </w:tcBorders>
            <w:noWrap/>
            <w:vAlign w:val="center"/>
          </w:tcPr>
          <w:p w14:paraId="17917B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15</w:t>
            </w:r>
          </w:p>
        </w:tc>
        <w:tc>
          <w:tcPr>
            <w:tcW w:w="317" w:type="pct"/>
            <w:tcBorders>
              <w:tl2br w:val="nil"/>
              <w:tr2bl w:val="nil"/>
            </w:tcBorders>
            <w:noWrap/>
            <w:vAlign w:val="center"/>
          </w:tcPr>
          <w:p w14:paraId="688E7F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35.16</w:t>
            </w:r>
          </w:p>
        </w:tc>
        <w:tc>
          <w:tcPr>
            <w:tcW w:w="322" w:type="pct"/>
            <w:tcBorders>
              <w:tl2br w:val="nil"/>
              <w:tr2bl w:val="nil"/>
            </w:tcBorders>
            <w:noWrap/>
            <w:vAlign w:val="center"/>
          </w:tcPr>
          <w:p w14:paraId="740670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r>
      <w:tr w14:paraId="571B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94" w:type="pct"/>
            <w:tcBorders>
              <w:tl2br w:val="nil"/>
              <w:tr2bl w:val="nil"/>
            </w:tcBorders>
            <w:noWrap/>
            <w:vAlign w:val="center"/>
          </w:tcPr>
          <w:p w14:paraId="5A7DAD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451" w:type="pct"/>
            <w:vMerge w:val="continue"/>
            <w:tcBorders>
              <w:tl2br w:val="nil"/>
              <w:tr2bl w:val="nil"/>
            </w:tcBorders>
            <w:noWrap/>
            <w:vAlign w:val="center"/>
          </w:tcPr>
          <w:p w14:paraId="0E1B73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05" w:type="pct"/>
            <w:tcBorders>
              <w:tl2br w:val="nil"/>
              <w:tr2bl w:val="nil"/>
            </w:tcBorders>
            <w:shd w:val="clear" w:color="auto" w:fill="auto"/>
            <w:noWrap/>
            <w:vAlign w:val="center"/>
          </w:tcPr>
          <w:p w14:paraId="176DC5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eastAsia="zh-Hans"/>
              </w:rPr>
              <w:t>生物质颗粒上料机</w:t>
            </w:r>
          </w:p>
        </w:tc>
        <w:tc>
          <w:tcPr>
            <w:tcW w:w="270" w:type="pct"/>
            <w:tcBorders>
              <w:tl2br w:val="nil"/>
              <w:tr2bl w:val="nil"/>
            </w:tcBorders>
            <w:shd w:val="clear" w:color="auto" w:fill="auto"/>
            <w:noWrap/>
            <w:vAlign w:val="center"/>
          </w:tcPr>
          <w:p w14:paraId="6AF060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34" w:type="pct"/>
            <w:tcBorders>
              <w:tl2br w:val="nil"/>
              <w:tr2bl w:val="nil"/>
            </w:tcBorders>
            <w:shd w:val="clear" w:color="auto" w:fill="auto"/>
            <w:noWrap/>
            <w:vAlign w:val="center"/>
          </w:tcPr>
          <w:p w14:paraId="26B75C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65</w:t>
            </w:r>
          </w:p>
        </w:tc>
        <w:tc>
          <w:tcPr>
            <w:tcW w:w="326" w:type="pct"/>
            <w:vMerge w:val="continue"/>
            <w:tcBorders>
              <w:tl2br w:val="nil"/>
              <w:tr2bl w:val="nil"/>
            </w:tcBorders>
            <w:noWrap/>
            <w:vAlign w:val="center"/>
          </w:tcPr>
          <w:p w14:paraId="09990D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07" w:type="pct"/>
            <w:tcBorders>
              <w:tl2br w:val="nil"/>
              <w:tr2bl w:val="nil"/>
            </w:tcBorders>
            <w:noWrap/>
            <w:vAlign w:val="center"/>
          </w:tcPr>
          <w:p w14:paraId="5E4EAB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-3.6</w:t>
            </w:r>
          </w:p>
        </w:tc>
        <w:tc>
          <w:tcPr>
            <w:tcW w:w="300" w:type="pct"/>
            <w:tcBorders>
              <w:tl2br w:val="nil"/>
              <w:tr2bl w:val="nil"/>
            </w:tcBorders>
            <w:noWrap/>
            <w:vAlign w:val="center"/>
          </w:tcPr>
          <w:p w14:paraId="685D8A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-28.71</w:t>
            </w:r>
          </w:p>
        </w:tc>
        <w:tc>
          <w:tcPr>
            <w:tcW w:w="313" w:type="pct"/>
            <w:tcBorders>
              <w:tl2br w:val="nil"/>
              <w:tr2bl w:val="nil"/>
            </w:tcBorders>
            <w:noWrap/>
            <w:vAlign w:val="center"/>
          </w:tcPr>
          <w:p w14:paraId="78A750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327" w:type="pct"/>
            <w:tcBorders>
              <w:tl2br w:val="nil"/>
              <w:tr2bl w:val="nil"/>
            </w:tcBorders>
            <w:noWrap/>
            <w:vAlign w:val="center"/>
          </w:tcPr>
          <w:p w14:paraId="730F14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w:t>
            </w:r>
          </w:p>
        </w:tc>
        <w:tc>
          <w:tcPr>
            <w:tcW w:w="387" w:type="pct"/>
            <w:tcBorders>
              <w:tl2br w:val="nil"/>
              <w:tr2bl w:val="nil"/>
            </w:tcBorders>
            <w:noWrap/>
            <w:vAlign w:val="center"/>
          </w:tcPr>
          <w:p w14:paraId="2F7794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47.21</w:t>
            </w:r>
          </w:p>
        </w:tc>
        <w:tc>
          <w:tcPr>
            <w:tcW w:w="270" w:type="pct"/>
            <w:tcBorders>
              <w:tl2br w:val="nil"/>
              <w:tr2bl w:val="nil"/>
            </w:tcBorders>
            <w:noWrap/>
            <w:vAlign w:val="center"/>
          </w:tcPr>
          <w:p w14:paraId="3CA06C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370" w:type="pct"/>
            <w:tcBorders>
              <w:tl2br w:val="nil"/>
              <w:tr2bl w:val="nil"/>
            </w:tcBorders>
            <w:noWrap/>
            <w:vAlign w:val="center"/>
          </w:tcPr>
          <w:p w14:paraId="31B26E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15</w:t>
            </w:r>
          </w:p>
        </w:tc>
        <w:tc>
          <w:tcPr>
            <w:tcW w:w="317" w:type="pct"/>
            <w:tcBorders>
              <w:tl2br w:val="nil"/>
              <w:tr2bl w:val="nil"/>
            </w:tcBorders>
            <w:noWrap/>
            <w:vAlign w:val="center"/>
          </w:tcPr>
          <w:p w14:paraId="4C48D7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26.21</w:t>
            </w:r>
          </w:p>
        </w:tc>
        <w:tc>
          <w:tcPr>
            <w:tcW w:w="322" w:type="pct"/>
            <w:tcBorders>
              <w:tl2br w:val="nil"/>
              <w:tr2bl w:val="nil"/>
            </w:tcBorders>
            <w:noWrap/>
            <w:vAlign w:val="center"/>
          </w:tcPr>
          <w:p w14:paraId="4CF246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r>
      <w:tr w14:paraId="53C2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 w:type="pct"/>
            <w:tcBorders>
              <w:tl2br w:val="nil"/>
              <w:tr2bl w:val="nil"/>
            </w:tcBorders>
            <w:noWrap/>
            <w:vAlign w:val="center"/>
          </w:tcPr>
          <w:p w14:paraId="72BF18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w:t>
            </w:r>
          </w:p>
        </w:tc>
        <w:tc>
          <w:tcPr>
            <w:tcW w:w="451" w:type="pct"/>
            <w:vMerge w:val="continue"/>
            <w:tcBorders>
              <w:tl2br w:val="nil"/>
              <w:tr2bl w:val="nil"/>
            </w:tcBorders>
            <w:noWrap/>
            <w:vAlign w:val="center"/>
          </w:tcPr>
          <w:p w14:paraId="575199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05" w:type="pct"/>
            <w:tcBorders>
              <w:tl2br w:val="nil"/>
              <w:tr2bl w:val="nil"/>
            </w:tcBorders>
            <w:shd w:val="clear" w:color="auto" w:fill="auto"/>
            <w:noWrap/>
            <w:vAlign w:val="center"/>
          </w:tcPr>
          <w:p w14:paraId="45C3E5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eastAsia="zh-Hans"/>
              </w:rPr>
              <w:t>循环泵</w:t>
            </w:r>
          </w:p>
        </w:tc>
        <w:tc>
          <w:tcPr>
            <w:tcW w:w="270" w:type="pct"/>
            <w:tcBorders>
              <w:tl2br w:val="nil"/>
              <w:tr2bl w:val="nil"/>
            </w:tcBorders>
            <w:shd w:val="clear" w:color="auto" w:fill="auto"/>
            <w:noWrap/>
            <w:vAlign w:val="center"/>
          </w:tcPr>
          <w:p w14:paraId="00A975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34" w:type="pct"/>
            <w:tcBorders>
              <w:tl2br w:val="nil"/>
              <w:tr2bl w:val="nil"/>
            </w:tcBorders>
            <w:shd w:val="clear" w:color="auto" w:fill="auto"/>
            <w:noWrap/>
            <w:vAlign w:val="center"/>
          </w:tcPr>
          <w:p w14:paraId="3CA363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75</w:t>
            </w:r>
          </w:p>
        </w:tc>
        <w:tc>
          <w:tcPr>
            <w:tcW w:w="326" w:type="pct"/>
            <w:vMerge w:val="continue"/>
            <w:tcBorders>
              <w:tl2br w:val="nil"/>
              <w:tr2bl w:val="nil"/>
            </w:tcBorders>
            <w:noWrap/>
            <w:vAlign w:val="center"/>
          </w:tcPr>
          <w:p w14:paraId="4B798C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07" w:type="pct"/>
            <w:tcBorders>
              <w:tl2br w:val="nil"/>
              <w:tr2bl w:val="nil"/>
            </w:tcBorders>
            <w:noWrap/>
            <w:vAlign w:val="center"/>
          </w:tcPr>
          <w:p w14:paraId="4B5E64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-3.38</w:t>
            </w:r>
          </w:p>
        </w:tc>
        <w:tc>
          <w:tcPr>
            <w:tcW w:w="300" w:type="pct"/>
            <w:tcBorders>
              <w:tl2br w:val="nil"/>
              <w:tr2bl w:val="nil"/>
            </w:tcBorders>
            <w:noWrap/>
            <w:vAlign w:val="center"/>
          </w:tcPr>
          <w:p w14:paraId="743CBD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-25.76</w:t>
            </w:r>
          </w:p>
        </w:tc>
        <w:tc>
          <w:tcPr>
            <w:tcW w:w="313" w:type="pct"/>
            <w:tcBorders>
              <w:tl2br w:val="nil"/>
              <w:tr2bl w:val="nil"/>
            </w:tcBorders>
            <w:noWrap/>
            <w:vAlign w:val="center"/>
          </w:tcPr>
          <w:p w14:paraId="5F5851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327" w:type="pct"/>
            <w:tcBorders>
              <w:tl2br w:val="nil"/>
              <w:tr2bl w:val="nil"/>
            </w:tcBorders>
            <w:noWrap/>
            <w:vAlign w:val="center"/>
          </w:tcPr>
          <w:p w14:paraId="2FC80A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w:t>
            </w:r>
          </w:p>
        </w:tc>
        <w:tc>
          <w:tcPr>
            <w:tcW w:w="387" w:type="pct"/>
            <w:tcBorders>
              <w:tl2br w:val="nil"/>
              <w:tr2bl w:val="nil"/>
            </w:tcBorders>
            <w:noWrap/>
            <w:vAlign w:val="center"/>
          </w:tcPr>
          <w:p w14:paraId="1D1F48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56.16</w:t>
            </w:r>
          </w:p>
        </w:tc>
        <w:tc>
          <w:tcPr>
            <w:tcW w:w="270" w:type="pct"/>
            <w:tcBorders>
              <w:tl2br w:val="nil"/>
              <w:tr2bl w:val="nil"/>
            </w:tcBorders>
            <w:noWrap/>
            <w:vAlign w:val="center"/>
          </w:tcPr>
          <w:p w14:paraId="1778EA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370" w:type="pct"/>
            <w:tcBorders>
              <w:tl2br w:val="nil"/>
              <w:tr2bl w:val="nil"/>
            </w:tcBorders>
            <w:noWrap/>
            <w:vAlign w:val="center"/>
          </w:tcPr>
          <w:p w14:paraId="417FE2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15</w:t>
            </w:r>
          </w:p>
        </w:tc>
        <w:tc>
          <w:tcPr>
            <w:tcW w:w="317" w:type="pct"/>
            <w:tcBorders>
              <w:tl2br w:val="nil"/>
              <w:tr2bl w:val="nil"/>
            </w:tcBorders>
            <w:noWrap/>
            <w:vAlign w:val="center"/>
          </w:tcPr>
          <w:p w14:paraId="7687EC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35.16</w:t>
            </w:r>
          </w:p>
        </w:tc>
        <w:tc>
          <w:tcPr>
            <w:tcW w:w="322" w:type="pct"/>
            <w:tcBorders>
              <w:tl2br w:val="nil"/>
              <w:tr2bl w:val="nil"/>
            </w:tcBorders>
            <w:noWrap/>
            <w:vAlign w:val="center"/>
          </w:tcPr>
          <w:p w14:paraId="68ACC5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r>
      <w:tr w14:paraId="52DE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 w:type="pct"/>
            <w:tcBorders>
              <w:tl2br w:val="nil"/>
              <w:tr2bl w:val="nil"/>
            </w:tcBorders>
            <w:noWrap/>
            <w:vAlign w:val="center"/>
          </w:tcPr>
          <w:p w14:paraId="4B2F2D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w:t>
            </w:r>
          </w:p>
        </w:tc>
        <w:tc>
          <w:tcPr>
            <w:tcW w:w="451" w:type="pct"/>
            <w:vMerge w:val="continue"/>
            <w:tcBorders>
              <w:tl2br w:val="nil"/>
              <w:tr2bl w:val="nil"/>
            </w:tcBorders>
            <w:noWrap/>
            <w:vAlign w:val="center"/>
          </w:tcPr>
          <w:p w14:paraId="6E293B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05" w:type="pct"/>
            <w:tcBorders>
              <w:tl2br w:val="nil"/>
              <w:tr2bl w:val="nil"/>
            </w:tcBorders>
            <w:shd w:val="clear" w:color="auto" w:fill="auto"/>
            <w:noWrap/>
            <w:vAlign w:val="center"/>
          </w:tcPr>
          <w:p w14:paraId="7AA96416">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风机</w:t>
            </w:r>
          </w:p>
        </w:tc>
        <w:tc>
          <w:tcPr>
            <w:tcW w:w="270" w:type="pct"/>
            <w:tcBorders>
              <w:tl2br w:val="nil"/>
              <w:tr2bl w:val="nil"/>
            </w:tcBorders>
            <w:shd w:val="clear" w:color="auto" w:fill="auto"/>
            <w:noWrap/>
            <w:vAlign w:val="center"/>
          </w:tcPr>
          <w:p w14:paraId="24E2B408">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34" w:type="pct"/>
            <w:tcBorders>
              <w:tl2br w:val="nil"/>
              <w:tr2bl w:val="nil"/>
            </w:tcBorders>
            <w:shd w:val="clear" w:color="auto" w:fill="auto"/>
            <w:noWrap/>
            <w:vAlign w:val="center"/>
          </w:tcPr>
          <w:p w14:paraId="1C9BF9F0">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85</w:t>
            </w:r>
          </w:p>
        </w:tc>
        <w:tc>
          <w:tcPr>
            <w:tcW w:w="326" w:type="pct"/>
            <w:vMerge w:val="continue"/>
            <w:tcBorders>
              <w:tl2br w:val="nil"/>
              <w:tr2bl w:val="nil"/>
            </w:tcBorders>
            <w:noWrap/>
            <w:vAlign w:val="center"/>
          </w:tcPr>
          <w:p w14:paraId="7F76A3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07" w:type="pct"/>
            <w:tcBorders>
              <w:tl2br w:val="nil"/>
              <w:tr2bl w:val="nil"/>
            </w:tcBorders>
            <w:noWrap/>
            <w:vAlign w:val="center"/>
          </w:tcPr>
          <w:p w14:paraId="08486B45">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-3.62</w:t>
            </w:r>
          </w:p>
        </w:tc>
        <w:tc>
          <w:tcPr>
            <w:tcW w:w="300" w:type="pct"/>
            <w:tcBorders>
              <w:tl2br w:val="nil"/>
              <w:tr2bl w:val="nil"/>
            </w:tcBorders>
            <w:noWrap/>
            <w:vAlign w:val="center"/>
          </w:tcPr>
          <w:p w14:paraId="11454F70">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-30.76</w:t>
            </w:r>
          </w:p>
        </w:tc>
        <w:tc>
          <w:tcPr>
            <w:tcW w:w="313" w:type="pct"/>
            <w:tcBorders>
              <w:tl2br w:val="nil"/>
              <w:tr2bl w:val="nil"/>
            </w:tcBorders>
            <w:noWrap/>
            <w:vAlign w:val="center"/>
          </w:tcPr>
          <w:p w14:paraId="59142A4E">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327" w:type="pct"/>
            <w:tcBorders>
              <w:tl2br w:val="nil"/>
              <w:tr2bl w:val="nil"/>
            </w:tcBorders>
            <w:noWrap/>
            <w:vAlign w:val="center"/>
          </w:tcPr>
          <w:p w14:paraId="320A6DA0">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w:t>
            </w:r>
          </w:p>
        </w:tc>
        <w:tc>
          <w:tcPr>
            <w:tcW w:w="387" w:type="pct"/>
            <w:tcBorders>
              <w:tl2br w:val="nil"/>
              <w:tr2bl w:val="nil"/>
            </w:tcBorders>
            <w:noWrap/>
            <w:vAlign w:val="center"/>
          </w:tcPr>
          <w:p w14:paraId="150D44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61.16</w:t>
            </w:r>
          </w:p>
        </w:tc>
        <w:tc>
          <w:tcPr>
            <w:tcW w:w="270" w:type="pct"/>
            <w:tcBorders>
              <w:tl2br w:val="nil"/>
              <w:tr2bl w:val="nil"/>
            </w:tcBorders>
            <w:noWrap/>
            <w:vAlign w:val="center"/>
          </w:tcPr>
          <w:p w14:paraId="582355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971" w:type="dxa"/>
            <w:tcBorders>
              <w:tl2br w:val="nil"/>
              <w:tr2bl w:val="nil"/>
            </w:tcBorders>
            <w:noWrap/>
            <w:vAlign w:val="center"/>
          </w:tcPr>
          <w:p w14:paraId="296FDC56">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32" w:type="dxa"/>
            <w:tcBorders>
              <w:tl2br w:val="nil"/>
              <w:tr2bl w:val="nil"/>
            </w:tcBorders>
            <w:noWrap/>
            <w:vAlign w:val="center"/>
          </w:tcPr>
          <w:p w14:paraId="0BCF93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40.16</w:t>
            </w:r>
          </w:p>
        </w:tc>
        <w:tc>
          <w:tcPr>
            <w:tcW w:w="846" w:type="dxa"/>
            <w:tcBorders>
              <w:tl2br w:val="nil"/>
              <w:tr2bl w:val="nil"/>
            </w:tcBorders>
            <w:noWrap/>
            <w:vAlign w:val="center"/>
          </w:tcPr>
          <w:p w14:paraId="18427DE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r>
    </w:tbl>
    <w:p w14:paraId="0AE81BD9">
      <w:pPr>
        <w:pStyle w:val="10"/>
        <w:rPr>
          <w:b/>
          <w:color w:val="auto"/>
          <w:kern w:val="0"/>
          <w:sz w:val="28"/>
          <w:szCs w:val="28"/>
        </w:rPr>
        <w:sectPr>
          <w:pgSz w:w="16840" w:h="11907" w:orient="landscape"/>
          <w:pgMar w:top="1531" w:right="1701" w:bottom="1531" w:left="2127" w:header="851" w:footer="851" w:gutter="0"/>
          <w:pgNumType w:fmt="numberInDash"/>
          <w:cols w:space="720" w:num="1"/>
          <w:docGrid w:linePitch="312" w:charSpace="0"/>
        </w:sectPr>
      </w:pPr>
    </w:p>
    <w:tbl>
      <w:tblPr>
        <w:tblStyle w:val="22"/>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3"/>
        <w:gridCol w:w="8507"/>
      </w:tblGrid>
      <w:tr w14:paraId="3FA971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96" w:hRule="atLeast"/>
          <w:jc w:val="center"/>
        </w:trPr>
        <w:tc>
          <w:tcPr>
            <w:tcW w:w="483" w:type="dxa"/>
            <w:noWrap w:val="0"/>
            <w:vAlign w:val="center"/>
          </w:tcPr>
          <w:p w14:paraId="3D928D7C">
            <w:pPr>
              <w:adjustRightInd w:val="0"/>
              <w:snapToGrid w:val="0"/>
              <w:jc w:val="center"/>
              <w:rPr>
                <w:rFonts w:ascii="宋体" w:hAnsi="宋体" w:cs="宋体"/>
                <w:bCs/>
                <w:color w:val="auto"/>
                <w:sz w:val="24"/>
              </w:rPr>
            </w:pPr>
            <w:r>
              <w:rPr>
                <w:rFonts w:hint="eastAsia" w:ascii="宋体" w:hAnsi="宋体" w:cs="宋体"/>
                <w:bCs/>
                <w:color w:val="auto"/>
                <w:sz w:val="24"/>
              </w:rPr>
              <w:t>运营</w:t>
            </w:r>
          </w:p>
          <w:p w14:paraId="017237F5">
            <w:pPr>
              <w:adjustRightInd w:val="0"/>
              <w:snapToGrid w:val="0"/>
              <w:jc w:val="center"/>
              <w:rPr>
                <w:rFonts w:ascii="宋体" w:hAnsi="宋体" w:cs="宋体"/>
                <w:bCs/>
                <w:color w:val="auto"/>
                <w:sz w:val="24"/>
              </w:rPr>
            </w:pPr>
            <w:r>
              <w:rPr>
                <w:rFonts w:hint="eastAsia" w:ascii="宋体" w:hAnsi="宋体" w:cs="宋体"/>
                <w:bCs/>
                <w:color w:val="auto"/>
                <w:sz w:val="24"/>
              </w:rPr>
              <w:t>期环</w:t>
            </w:r>
          </w:p>
          <w:p w14:paraId="305B6E07">
            <w:pPr>
              <w:adjustRightInd w:val="0"/>
              <w:snapToGrid w:val="0"/>
              <w:jc w:val="center"/>
              <w:rPr>
                <w:rFonts w:ascii="宋体" w:hAnsi="宋体" w:cs="宋体"/>
                <w:bCs/>
                <w:color w:val="auto"/>
                <w:sz w:val="24"/>
              </w:rPr>
            </w:pPr>
            <w:r>
              <w:rPr>
                <w:rFonts w:hint="eastAsia" w:ascii="宋体" w:hAnsi="宋体" w:cs="宋体"/>
                <w:bCs/>
                <w:color w:val="auto"/>
                <w:sz w:val="24"/>
              </w:rPr>
              <w:t>境影</w:t>
            </w:r>
          </w:p>
          <w:p w14:paraId="1472940F">
            <w:pPr>
              <w:adjustRightInd w:val="0"/>
              <w:snapToGrid w:val="0"/>
              <w:jc w:val="center"/>
              <w:rPr>
                <w:rFonts w:ascii="宋体" w:hAnsi="宋体" w:cs="宋体"/>
                <w:bCs/>
                <w:color w:val="auto"/>
                <w:sz w:val="24"/>
              </w:rPr>
            </w:pPr>
            <w:r>
              <w:rPr>
                <w:rFonts w:hint="eastAsia" w:ascii="宋体" w:hAnsi="宋体" w:cs="宋体"/>
                <w:bCs/>
                <w:color w:val="auto"/>
                <w:sz w:val="24"/>
              </w:rPr>
              <w:t>响和</w:t>
            </w:r>
          </w:p>
          <w:p w14:paraId="0CC5EE5D">
            <w:pPr>
              <w:adjustRightInd w:val="0"/>
              <w:snapToGrid w:val="0"/>
              <w:jc w:val="center"/>
              <w:rPr>
                <w:rFonts w:ascii="宋体" w:hAnsi="宋体" w:cs="宋体"/>
                <w:bCs/>
                <w:color w:val="auto"/>
                <w:sz w:val="24"/>
              </w:rPr>
            </w:pPr>
            <w:r>
              <w:rPr>
                <w:rFonts w:hint="eastAsia" w:ascii="宋体" w:hAnsi="宋体" w:cs="宋体"/>
                <w:bCs/>
                <w:color w:val="auto"/>
                <w:sz w:val="24"/>
              </w:rPr>
              <w:t>保护</w:t>
            </w:r>
          </w:p>
          <w:p w14:paraId="3DE7AA9D">
            <w:pPr>
              <w:adjustRightInd w:val="0"/>
              <w:snapToGrid w:val="0"/>
              <w:jc w:val="center"/>
              <w:rPr>
                <w:rFonts w:hint="eastAsia" w:cs="宋体"/>
                <w:color w:val="auto"/>
                <w:sz w:val="24"/>
              </w:rPr>
            </w:pPr>
            <w:r>
              <w:rPr>
                <w:rFonts w:hint="eastAsia" w:ascii="宋体" w:hAnsi="宋体" w:cs="宋体"/>
                <w:bCs/>
                <w:color w:val="auto"/>
                <w:sz w:val="24"/>
              </w:rPr>
              <w:t>措施</w:t>
            </w:r>
          </w:p>
        </w:tc>
        <w:tc>
          <w:tcPr>
            <w:tcW w:w="8507" w:type="dxa"/>
            <w:noWrap w:val="0"/>
            <w:vAlign w:val="top"/>
          </w:tcPr>
          <w:p w14:paraId="01D693AC">
            <w:pPr>
              <w:spacing w:line="360" w:lineRule="auto"/>
              <w:ind w:firstLine="482" w:firstLineChars="200"/>
              <w:rPr>
                <w:rFonts w:hint="eastAsia" w:eastAsia="TimesNewRomanPS-BoldMT"/>
                <w:b/>
                <w:bCs/>
                <w:color w:val="auto"/>
                <w:kern w:val="0"/>
                <w:sz w:val="24"/>
                <w:lang w:bidi="ar"/>
              </w:rPr>
            </w:pPr>
            <w:r>
              <w:rPr>
                <w:rFonts w:hint="eastAsia"/>
                <w:b/>
                <w:bCs/>
                <w:color w:val="auto"/>
                <w:sz w:val="24"/>
                <w:lang w:val="en-US" w:eastAsia="zh-CN"/>
              </w:rPr>
              <w:t>2、</w:t>
            </w:r>
            <w:r>
              <w:rPr>
                <w:rFonts w:hint="eastAsia"/>
                <w:b/>
                <w:bCs/>
                <w:color w:val="auto"/>
                <w:sz w:val="24"/>
                <w:lang w:eastAsia="zh-CN"/>
              </w:rPr>
              <w:t>预测内容</w:t>
            </w:r>
          </w:p>
          <w:p w14:paraId="3C425DB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（1）预测范围、点位与评价因子</w:t>
            </w:r>
          </w:p>
          <w:p w14:paraId="0864D18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①噪声预测范围为：厂界外1m。</w:t>
            </w:r>
          </w:p>
          <w:p w14:paraId="6B13CAA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②预测点位：厂界噪声，在东、南、西、北厂界各设置一个。</w:t>
            </w:r>
            <w:r>
              <w:rPr>
                <w:rFonts w:hint="default" w:ascii="Times New Roman" w:hAnsi="Times New Roman" w:eastAsia="宋体" w:cs="Times New Roman"/>
                <w:color w:val="auto"/>
                <w:spacing w:val="0"/>
                <w:w w:val="100"/>
                <w:position w:val="0"/>
                <w:sz w:val="24"/>
                <w:szCs w:val="24"/>
                <w:lang w:val="en-US" w:eastAsia="zh-CN"/>
              </w:rPr>
              <w:t>项目</w:t>
            </w:r>
            <w:r>
              <w:rPr>
                <w:rFonts w:hint="default" w:ascii="Times New Roman" w:hAnsi="Times New Roman" w:eastAsia="宋体" w:cs="Times New Roman"/>
                <w:color w:val="auto"/>
                <w:spacing w:val="0"/>
                <w:w w:val="100"/>
                <w:position w:val="0"/>
                <w:sz w:val="24"/>
                <w:szCs w:val="24"/>
                <w:lang w:eastAsia="zh-CN"/>
              </w:rPr>
              <w:t>预测点</w:t>
            </w:r>
            <w:r>
              <w:rPr>
                <w:rFonts w:hint="default" w:ascii="Times New Roman" w:hAnsi="Times New Roman" w:eastAsia="宋体" w:cs="Times New Roman"/>
                <w:color w:val="auto"/>
                <w:spacing w:val="0"/>
                <w:w w:val="100"/>
                <w:position w:val="0"/>
                <w:sz w:val="24"/>
                <w:szCs w:val="24"/>
                <w:lang w:val="en-US" w:eastAsia="zh-CN"/>
              </w:rPr>
              <w:t>及评价点</w:t>
            </w:r>
            <w:r>
              <w:rPr>
                <w:rFonts w:hint="default" w:ascii="Times New Roman" w:hAnsi="Times New Roman" w:eastAsia="宋体" w:cs="Times New Roman"/>
                <w:color w:val="auto"/>
                <w:spacing w:val="0"/>
                <w:w w:val="100"/>
                <w:position w:val="0"/>
                <w:sz w:val="24"/>
                <w:szCs w:val="24"/>
                <w:lang w:eastAsia="zh-CN"/>
              </w:rPr>
              <w:t>位于站界围墙外1m、距地面1.2m处。以</w:t>
            </w:r>
            <w:r>
              <w:rPr>
                <w:rFonts w:hint="default" w:ascii="Times New Roman" w:hAnsi="Times New Roman" w:eastAsia="宋体" w:cs="Times New Roman"/>
                <w:color w:val="auto"/>
                <w:spacing w:val="0"/>
                <w:w w:val="100"/>
                <w:position w:val="0"/>
                <w:sz w:val="24"/>
                <w:szCs w:val="24"/>
                <w:lang w:val="en-US" w:eastAsia="zh-CN"/>
              </w:rPr>
              <w:t>项目建成后</w:t>
            </w:r>
            <w:r>
              <w:rPr>
                <w:rFonts w:hint="default" w:ascii="Times New Roman" w:hAnsi="Times New Roman" w:eastAsia="宋体" w:cs="Times New Roman"/>
                <w:color w:val="auto"/>
                <w:spacing w:val="0"/>
                <w:w w:val="100"/>
                <w:position w:val="0"/>
                <w:sz w:val="24"/>
                <w:szCs w:val="24"/>
                <w:lang w:eastAsia="zh-CN"/>
              </w:rPr>
              <w:t>产生的噪声贡献值作为声环境</w:t>
            </w:r>
            <w:r>
              <w:rPr>
                <w:rFonts w:hint="default" w:ascii="Times New Roman" w:hAnsi="Times New Roman" w:eastAsia="宋体" w:cs="Times New Roman"/>
                <w:color w:val="auto"/>
                <w:spacing w:val="0"/>
                <w:w w:val="100"/>
                <w:position w:val="0"/>
                <w:sz w:val="24"/>
                <w:szCs w:val="24"/>
                <w:lang w:val="en-US" w:eastAsia="zh-CN"/>
              </w:rPr>
              <w:t>厂界</w:t>
            </w:r>
            <w:r>
              <w:rPr>
                <w:rFonts w:hint="default" w:ascii="Times New Roman" w:hAnsi="Times New Roman" w:eastAsia="宋体" w:cs="Times New Roman"/>
                <w:color w:val="auto"/>
                <w:spacing w:val="0"/>
                <w:w w:val="100"/>
                <w:position w:val="0"/>
                <w:sz w:val="24"/>
                <w:szCs w:val="24"/>
                <w:lang w:eastAsia="zh-CN"/>
              </w:rPr>
              <w:t>处的预测评价量</w:t>
            </w:r>
            <w:r>
              <w:rPr>
                <w:rFonts w:hint="default" w:ascii="Times New Roman" w:hAnsi="Times New Roman" w:cs="Times New Roman"/>
                <w:color w:val="auto"/>
                <w:spacing w:val="0"/>
                <w:w w:val="100"/>
                <w:position w:val="0"/>
                <w:sz w:val="24"/>
                <w:szCs w:val="24"/>
                <w:lang w:eastAsia="zh-CN"/>
              </w:rPr>
              <w:t>。</w:t>
            </w:r>
          </w:p>
          <w:p w14:paraId="4A032FD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③厂界噪声预测因子：昼夜等效连续A声级。</w:t>
            </w:r>
          </w:p>
          <w:p w14:paraId="39B13E5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（2）声环境影响预测</w:t>
            </w:r>
          </w:p>
          <w:p w14:paraId="236F585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①预测方法</w:t>
            </w:r>
          </w:p>
          <w:p w14:paraId="035E8FFC">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bidi="ar"/>
              </w:rPr>
              <w:t>噪声传播过程中有三个要素：即声源、传播途径和</w:t>
            </w:r>
            <w:r>
              <w:rPr>
                <w:rFonts w:hint="eastAsia" w:cs="Times New Roman"/>
                <w:color w:val="auto"/>
                <w:kern w:val="0"/>
                <w:sz w:val="24"/>
                <w:szCs w:val="24"/>
                <w:lang w:eastAsia="zh-CN" w:bidi="ar"/>
              </w:rPr>
              <w:t>接收者</w:t>
            </w:r>
            <w:r>
              <w:rPr>
                <w:rFonts w:hint="default" w:ascii="Times New Roman" w:hAnsi="Times New Roman" w:eastAsia="宋体" w:cs="Times New Roman"/>
                <w:color w:val="auto"/>
                <w:kern w:val="0"/>
                <w:sz w:val="24"/>
                <w:szCs w:val="24"/>
                <w:lang w:bidi="ar"/>
              </w:rPr>
              <w:t>。根据项目采取的治理措施及降噪效果，采用《环境影响评价技术导则 声环境》</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HJ2.4-2021</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推荐的工业噪声预测模式，本评价只考虑几何发散引起的衰减量来预测项目对厂界的影响。</w:t>
            </w:r>
          </w:p>
          <w:p w14:paraId="1DB21F4F">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bidi="ar"/>
              </w:rPr>
              <w:t>预测方法为：依据各噪声源与各预测点的距离计算出各噪声设备产生的噪声对各预测点的影响值，并根据能量合成法叠加各噪声设备对各预测点的噪声贡献值，来预测分析本项目运营期对厂界及周围声环境的影响。</w:t>
            </w:r>
          </w:p>
          <w:p w14:paraId="4C9C36C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②预测模式</w:t>
            </w:r>
          </w:p>
          <w:p w14:paraId="33745090">
            <w:pPr>
              <w:widowControl/>
              <w:spacing w:line="360" w:lineRule="auto"/>
              <w:ind w:firstLine="480" w:firstLineChars="200"/>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采用《环境影响评价技术</w:t>
            </w:r>
            <w:r>
              <w:rPr>
                <w:rStyle w:val="29"/>
                <w:rFonts w:hint="default" w:ascii="Times New Roman" w:hAnsi="Times New Roman" w:eastAsia="宋体" w:cs="Times New Roman"/>
                <w:color w:val="auto"/>
                <w:kern w:val="0"/>
                <w:sz w:val="24"/>
                <w:szCs w:val="24"/>
              </w:rPr>
              <w:t>导则</w:t>
            </w:r>
            <w:r>
              <w:rPr>
                <w:rFonts w:hint="default" w:ascii="Times New Roman" w:hAnsi="Times New Roman" w:eastAsia="宋体" w:cs="Times New Roman"/>
                <w:color w:val="auto"/>
                <w:kern w:val="0"/>
                <w:sz w:val="24"/>
                <w:szCs w:val="24"/>
                <w:lang w:bidi="ar"/>
              </w:rPr>
              <w:t xml:space="preserve"> 声环境》</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HJ2.4-2021</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中的噪声预测模式预测本项目的主要噪声设备对周围声环境的影响。预测模式如下：</w:t>
            </w:r>
          </w:p>
          <w:p w14:paraId="1B563AF3">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rPr>
              <w:t>室内声源等效室外噪声源</w:t>
            </w:r>
          </w:p>
          <w:p w14:paraId="488669E9">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如果已知声源的声压级L（r</w:t>
            </w:r>
            <w:r>
              <w:rPr>
                <w:rFonts w:hint="default" w:ascii="Times New Roman" w:hAnsi="Times New Roman" w:eastAsia="宋体" w:cs="Times New Roman"/>
                <w:color w:val="auto"/>
                <w:sz w:val="24"/>
                <w:szCs w:val="24"/>
                <w:vertAlign w:val="subscript"/>
                <w:lang w:bidi="zh-CN"/>
              </w:rPr>
              <w:t>0</w:t>
            </w:r>
            <w:r>
              <w:rPr>
                <w:rFonts w:hint="default" w:ascii="Times New Roman" w:hAnsi="Times New Roman" w:eastAsia="宋体" w:cs="Times New Roman"/>
                <w:color w:val="auto"/>
                <w:sz w:val="24"/>
                <w:szCs w:val="24"/>
                <w:lang w:bidi="zh-CN"/>
              </w:rPr>
              <w:t>），且声源位于地面上，则：</w:t>
            </w:r>
          </w:p>
          <w:p w14:paraId="06B1999B">
            <w:pPr>
              <w:autoSpaceDE w:val="0"/>
              <w:autoSpaceDN w:val="0"/>
              <w:adjustRightInd w:val="0"/>
              <w:snapToGrid w:val="0"/>
              <w:spacing w:line="360" w:lineRule="auto"/>
              <w:jc w:val="center"/>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Lw=L（r</w:t>
            </w:r>
            <w:r>
              <w:rPr>
                <w:rFonts w:hint="default" w:ascii="Times New Roman" w:hAnsi="Times New Roman" w:eastAsia="宋体" w:cs="Times New Roman"/>
                <w:color w:val="auto"/>
                <w:sz w:val="24"/>
                <w:szCs w:val="24"/>
                <w:vertAlign w:val="subscript"/>
                <w:lang w:bidi="zh-CN"/>
              </w:rPr>
              <w:t>0</w:t>
            </w:r>
            <w:r>
              <w:rPr>
                <w:rFonts w:hint="default" w:ascii="Times New Roman" w:hAnsi="Times New Roman" w:eastAsia="宋体" w:cs="Times New Roman"/>
                <w:color w:val="auto"/>
                <w:sz w:val="24"/>
                <w:szCs w:val="24"/>
                <w:lang w:bidi="zh-CN"/>
              </w:rPr>
              <w:t>）+20lgr</w:t>
            </w:r>
            <w:r>
              <w:rPr>
                <w:rFonts w:hint="default" w:ascii="Times New Roman" w:hAnsi="Times New Roman" w:eastAsia="宋体" w:cs="Times New Roman"/>
                <w:color w:val="auto"/>
                <w:sz w:val="24"/>
                <w:szCs w:val="24"/>
                <w:vertAlign w:val="subscript"/>
                <w:lang w:bidi="zh-CN"/>
              </w:rPr>
              <w:t>0</w:t>
            </w:r>
            <w:r>
              <w:rPr>
                <w:rFonts w:hint="default" w:ascii="Times New Roman" w:hAnsi="Times New Roman" w:eastAsia="宋体" w:cs="Times New Roman"/>
                <w:color w:val="auto"/>
                <w:sz w:val="24"/>
                <w:szCs w:val="24"/>
                <w:lang w:bidi="zh-CN"/>
              </w:rPr>
              <w:t>+8</w:t>
            </w:r>
          </w:p>
          <w:p w14:paraId="63C0FD2B">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计算出某个室内声源靠近围护结构处的声压级：</w:t>
            </w:r>
          </w:p>
          <w:p w14:paraId="3E114790">
            <w:pPr>
              <w:autoSpaceDE w:val="0"/>
              <w:autoSpaceDN w:val="0"/>
              <w:spacing w:line="360" w:lineRule="auto"/>
              <w:jc w:val="center"/>
              <w:rPr>
                <w:rFonts w:hint="default" w:ascii="Times New Roman" w:hAnsi="Times New Roman" w:eastAsia="宋体" w:cs="Times New Roman"/>
                <w:b/>
                <w:bCs/>
                <w:color w:val="auto"/>
                <w:sz w:val="24"/>
                <w:szCs w:val="24"/>
                <w:lang w:val="zh-CN" w:bidi="zh-CN"/>
              </w:rPr>
            </w:pPr>
            <w:r>
              <w:rPr>
                <w:rFonts w:hint="default" w:ascii="Times New Roman" w:hAnsi="Times New Roman" w:eastAsia="宋体" w:cs="Times New Roman"/>
                <w:b/>
                <w:bCs/>
                <w:color w:val="auto"/>
                <w:sz w:val="24"/>
                <w:szCs w:val="24"/>
              </w:rPr>
              <w:drawing>
                <wp:inline distT="0" distB="0" distL="114300" distR="114300">
                  <wp:extent cx="2524125" cy="714375"/>
                  <wp:effectExtent l="0" t="0" r="9525" b="9525"/>
                  <wp:docPr id="4" name="图片 10" descr="微信图片_2022051309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微信图片_20220513094633"/>
                          <pic:cNvPicPr>
                            <a:picLocks noChangeAspect="1"/>
                          </pic:cNvPicPr>
                        </pic:nvPicPr>
                        <pic:blipFill>
                          <a:blip r:embed="rId30"/>
                          <a:stretch>
                            <a:fillRect/>
                          </a:stretch>
                        </pic:blipFill>
                        <pic:spPr>
                          <a:xfrm>
                            <a:off x="0" y="0"/>
                            <a:ext cx="2524125" cy="714375"/>
                          </a:xfrm>
                          <a:prstGeom prst="rect">
                            <a:avLst/>
                          </a:prstGeom>
                          <a:noFill/>
                          <a:ln>
                            <a:noFill/>
                          </a:ln>
                        </pic:spPr>
                      </pic:pic>
                    </a:graphicData>
                  </a:graphic>
                </wp:inline>
              </w:drawing>
            </w:r>
          </w:p>
          <w:p w14:paraId="2B6B01BF">
            <w:pPr>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color w:val="auto"/>
                <w:sz w:val="24"/>
                <w:szCs w:val="24"/>
              </w:rPr>
              <w:t>Lp</w:t>
            </w:r>
            <w:r>
              <w:rPr>
                <w:rFonts w:hint="default" w:ascii="Times New Roman" w:hAnsi="Times New Roman" w:eastAsia="宋体" w:cs="Times New Roman"/>
                <w:color w:val="auto"/>
                <w:sz w:val="24"/>
                <w:szCs w:val="24"/>
              </w:rPr>
              <w:t>1—为某个室内声源在靠近围护结构处产生的倍频带声压级，dB；</w:t>
            </w:r>
          </w:p>
          <w:p w14:paraId="2A124925">
            <w:pPr>
              <w:adjustRightInd w:val="0"/>
              <w:snapToGrid w:val="0"/>
              <w:spacing w:line="360" w:lineRule="auto"/>
              <w:ind w:firstLine="1920" w:firstLineChars="8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 xml:space="preserve"> Lw </w:t>
            </w:r>
            <w:r>
              <w:rPr>
                <w:rFonts w:hint="default" w:ascii="Times New Roman" w:hAnsi="Times New Roman" w:eastAsia="宋体" w:cs="Times New Roman"/>
                <w:color w:val="auto"/>
                <w:sz w:val="24"/>
                <w:szCs w:val="24"/>
              </w:rPr>
              <w:t>—为某个声源的倍频带声功率级，dB；</w:t>
            </w:r>
          </w:p>
          <w:p w14:paraId="7A9B2742">
            <w:pPr>
              <w:adjustRightInd w:val="0"/>
              <w:snapToGrid w:val="0"/>
              <w:spacing w:line="360" w:lineRule="auto"/>
              <w:ind w:firstLine="1200" w:firstLineChars="5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r</w:t>
            </w:r>
            <w:r>
              <w:rPr>
                <w:rFonts w:hint="default" w:ascii="Times New Roman" w:hAnsi="Times New Roman" w:eastAsia="宋体" w:cs="Times New Roman"/>
                <w:color w:val="auto"/>
                <w:sz w:val="24"/>
                <w:szCs w:val="24"/>
              </w:rPr>
              <w:t>—为室内某个声源与靠近围护结构处的距离，m；</w:t>
            </w:r>
          </w:p>
          <w:p w14:paraId="35AF084B">
            <w:pPr>
              <w:adjustRightInd w:val="0"/>
              <w:snapToGrid w:val="0"/>
              <w:spacing w:line="360" w:lineRule="auto"/>
              <w:ind w:firstLine="1200" w:firstLineChars="5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R</w:t>
            </w:r>
            <w:r>
              <w:rPr>
                <w:rFonts w:hint="default" w:ascii="Times New Roman" w:hAnsi="Times New Roman" w:eastAsia="宋体" w:cs="Times New Roman"/>
                <w:color w:val="auto"/>
                <w:sz w:val="24"/>
                <w:szCs w:val="24"/>
              </w:rPr>
              <w:t>—房间常数，m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i/>
                <w:color w:val="auto"/>
                <w:sz w:val="24"/>
                <w:szCs w:val="24"/>
              </w:rPr>
              <w:t>R =S</w:t>
            </w:r>
            <w:r>
              <w:rPr>
                <w:rFonts w:hint="default" w:ascii="Times New Roman" w:hAnsi="Times New Roman" w:eastAsia="宋体" w:cs="Times New Roman"/>
                <w:color w:val="auto"/>
                <w:sz w:val="24"/>
                <w:szCs w:val="24"/>
              </w:rPr>
              <w:t>α/ (1-α)，S为房间内表面积m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，α为平均吸声系数。</w:t>
            </w:r>
          </w:p>
          <w:p w14:paraId="52E2D5C4">
            <w:pPr>
              <w:adjustRightInd w:val="0"/>
              <w:snapToGrid w:val="0"/>
              <w:spacing w:line="360" w:lineRule="auto"/>
              <w:ind w:firstLine="1200" w:firstLineChars="5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Q</w:t>
            </w:r>
            <w:r>
              <w:rPr>
                <w:rFonts w:hint="default" w:ascii="Times New Roman" w:hAnsi="Times New Roman" w:eastAsia="宋体" w:cs="Times New Roman"/>
                <w:color w:val="auto"/>
                <w:sz w:val="24"/>
                <w:szCs w:val="24"/>
              </w:rPr>
              <w:t>—方向因子，无量纲值。通常对无指向性声源，当声源放在房间中心时，Q=1；当放在一面墙的中心时，Q=2；当放在两面墙夹角时，Q=4；当放在三面墙夹角处时，Q=8。</w:t>
            </w:r>
          </w:p>
          <w:p w14:paraId="41570C8B">
            <w:pPr>
              <w:autoSpaceDE w:val="0"/>
              <w:autoSpaceDN w:val="0"/>
              <w:spacing w:line="360" w:lineRule="auto"/>
              <w:ind w:firstLine="480" w:firstLineChars="200"/>
              <w:jc w:val="left"/>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计算出所有室内声源在靠近围护结构处产生的总声压级：</w:t>
            </w:r>
          </w:p>
          <w:p w14:paraId="78EAA72B">
            <w:pPr>
              <w:autoSpaceDE w:val="0"/>
              <w:autoSpaceDN w:val="0"/>
              <w:spacing w:line="360" w:lineRule="auto"/>
              <w:jc w:val="center"/>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rPr>
              <w:drawing>
                <wp:inline distT="0" distB="0" distL="114300" distR="114300">
                  <wp:extent cx="1794510" cy="622935"/>
                  <wp:effectExtent l="0" t="0" r="15240" b="5715"/>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31"/>
                          <a:stretch>
                            <a:fillRect/>
                          </a:stretch>
                        </pic:blipFill>
                        <pic:spPr>
                          <a:xfrm>
                            <a:off x="0" y="0"/>
                            <a:ext cx="1794510" cy="622935"/>
                          </a:xfrm>
                          <a:prstGeom prst="rect">
                            <a:avLst/>
                          </a:prstGeom>
                          <a:noFill/>
                          <a:ln>
                            <a:noFill/>
                          </a:ln>
                        </pic:spPr>
                      </pic:pic>
                    </a:graphicData>
                  </a:graphic>
                </wp:inline>
              </w:drawing>
            </w:r>
          </w:p>
          <w:p w14:paraId="478D6C20">
            <w:pPr>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zh-CN"/>
              </w:rPr>
              <w:t>式中：</w:t>
            </w: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color w:val="auto"/>
                <w:sz w:val="24"/>
                <w:szCs w:val="24"/>
              </w:rPr>
              <w:t>Lp</w:t>
            </w:r>
            <w:r>
              <w:rPr>
                <w:rFonts w:hint="default" w:ascii="Times New Roman" w:hAnsi="Times New Roman" w:eastAsia="宋体" w:cs="Times New Roman"/>
                <w:color w:val="auto"/>
                <w:sz w:val="24"/>
                <w:szCs w:val="24"/>
              </w:rPr>
              <w:t>1</w:t>
            </w:r>
            <w:r>
              <w:rPr>
                <w:rFonts w:hint="default" w:ascii="Times New Roman" w:hAnsi="Times New Roman" w:eastAsia="宋体" w:cs="Times New Roman"/>
                <w:i/>
                <w:color w:val="auto"/>
                <w:sz w:val="24"/>
                <w:szCs w:val="24"/>
              </w:rPr>
              <w:t>i(T)</w:t>
            </w:r>
            <w:r>
              <w:rPr>
                <w:rFonts w:hint="default" w:ascii="Times New Roman" w:hAnsi="Times New Roman" w:eastAsia="宋体" w:cs="Times New Roman"/>
                <w:color w:val="auto"/>
                <w:sz w:val="24"/>
                <w:szCs w:val="24"/>
              </w:rPr>
              <w:t>—靠近围护结构处室内N个声源i 倍频带的叠加声压级，dB；</w:t>
            </w:r>
          </w:p>
          <w:p w14:paraId="6528A87D">
            <w:pPr>
              <w:adjustRightInd w:val="0"/>
              <w:snapToGrid w:val="0"/>
              <w:spacing w:line="360" w:lineRule="auto"/>
              <w:ind w:firstLine="1200" w:firstLineChars="5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Lp</w:t>
            </w:r>
            <w:r>
              <w:rPr>
                <w:rFonts w:hint="default" w:ascii="Times New Roman" w:hAnsi="Times New Roman" w:eastAsia="宋体" w:cs="Times New Roman"/>
                <w:color w:val="auto"/>
                <w:sz w:val="24"/>
                <w:szCs w:val="24"/>
              </w:rPr>
              <w:t>1</w:t>
            </w:r>
            <w:r>
              <w:rPr>
                <w:rFonts w:hint="default" w:ascii="Times New Roman" w:hAnsi="Times New Roman" w:eastAsia="宋体" w:cs="Times New Roman"/>
                <w:i/>
                <w:color w:val="auto"/>
                <w:sz w:val="24"/>
                <w:szCs w:val="24"/>
              </w:rPr>
              <w:t>ij</w:t>
            </w:r>
            <w:r>
              <w:rPr>
                <w:rFonts w:hint="default" w:ascii="Times New Roman" w:hAnsi="Times New Roman" w:eastAsia="宋体" w:cs="Times New Roman"/>
                <w:color w:val="auto"/>
                <w:sz w:val="24"/>
                <w:szCs w:val="24"/>
              </w:rPr>
              <w:t>—室内j 声源i 倍频带的声压级，dB；</w:t>
            </w:r>
          </w:p>
          <w:p w14:paraId="1EACEB87">
            <w:pPr>
              <w:adjustRightInd w:val="0"/>
              <w:snapToGrid w:val="0"/>
              <w:spacing w:line="360" w:lineRule="auto"/>
              <w:ind w:firstLine="1200" w:firstLineChars="500"/>
              <w:jc w:val="left"/>
              <w:rPr>
                <w:rFonts w:hint="default" w:ascii="Times New Roman" w:hAnsi="Times New Roman" w:eastAsia="宋体" w:cs="Times New Roman"/>
                <w:color w:val="auto"/>
                <w:sz w:val="24"/>
                <w:szCs w:val="24"/>
                <w:lang w:bidi="zh-CN"/>
              </w:rPr>
            </w:pPr>
            <w:r>
              <w:rPr>
                <w:rFonts w:hint="default" w:ascii="Times New Roman" w:hAnsi="Times New Roman" w:eastAsia="宋体" w:cs="Times New Roman"/>
                <w:i/>
                <w:color w:val="auto"/>
                <w:sz w:val="24"/>
                <w:szCs w:val="24"/>
              </w:rPr>
              <w:t>N</w:t>
            </w:r>
            <w:r>
              <w:rPr>
                <w:rFonts w:hint="default" w:ascii="Times New Roman" w:hAnsi="Times New Roman" w:eastAsia="宋体" w:cs="Times New Roman"/>
                <w:color w:val="auto"/>
                <w:sz w:val="24"/>
                <w:szCs w:val="24"/>
              </w:rPr>
              <w:t>—室内声源总数。</w:t>
            </w:r>
          </w:p>
          <w:p w14:paraId="0F68C972">
            <w:pPr>
              <w:autoSpaceDE w:val="0"/>
              <w:autoSpaceDN w:val="0"/>
              <w:spacing w:line="360" w:lineRule="auto"/>
              <w:ind w:firstLine="480" w:firstLineChars="200"/>
              <w:jc w:val="left"/>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计算出室外靠近围护结构处的声压级：</w:t>
            </w:r>
          </w:p>
          <w:p w14:paraId="54750499">
            <w:pPr>
              <w:autoSpaceDE w:val="0"/>
              <w:autoSpaceDN w:val="0"/>
              <w:spacing w:line="360" w:lineRule="auto"/>
              <w:ind w:firstLine="480" w:firstLineChars="200"/>
              <w:jc w:val="center"/>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L</w:t>
            </w:r>
            <w:r>
              <w:rPr>
                <w:rFonts w:hint="default" w:ascii="Times New Roman" w:hAnsi="Times New Roman" w:eastAsia="宋体" w:cs="Times New Roman"/>
                <w:color w:val="auto"/>
                <w:sz w:val="24"/>
                <w:szCs w:val="24"/>
                <w:vertAlign w:val="subscript"/>
                <w:lang w:bidi="zh-CN"/>
              </w:rPr>
              <w:t>p2</w:t>
            </w:r>
            <w:r>
              <w:rPr>
                <w:rFonts w:hint="default" w:ascii="Times New Roman" w:hAnsi="Times New Roman" w:eastAsia="宋体" w:cs="Times New Roman"/>
                <w:color w:val="auto"/>
                <w:sz w:val="24"/>
                <w:szCs w:val="24"/>
                <w:lang w:bidi="zh-CN"/>
              </w:rPr>
              <w:t>（T）=L</w:t>
            </w:r>
            <w:r>
              <w:rPr>
                <w:rFonts w:hint="default" w:ascii="Times New Roman" w:hAnsi="Times New Roman" w:eastAsia="宋体" w:cs="Times New Roman"/>
                <w:color w:val="auto"/>
                <w:sz w:val="24"/>
                <w:szCs w:val="24"/>
                <w:vertAlign w:val="subscript"/>
                <w:lang w:bidi="zh-CN"/>
              </w:rPr>
              <w:t>P1</w:t>
            </w:r>
            <w:r>
              <w:rPr>
                <w:rFonts w:hint="default" w:ascii="Times New Roman" w:hAnsi="Times New Roman" w:eastAsia="宋体" w:cs="Times New Roman"/>
                <w:color w:val="auto"/>
                <w:sz w:val="24"/>
                <w:szCs w:val="24"/>
                <w:lang w:bidi="zh-CN"/>
              </w:rPr>
              <w:t>（T）-（TL+6）</w:t>
            </w:r>
          </w:p>
          <w:p w14:paraId="0391CB91">
            <w:pPr>
              <w:autoSpaceDE w:val="0"/>
              <w:autoSpaceDN w:val="0"/>
              <w:spacing w:line="360" w:lineRule="auto"/>
              <w:ind w:firstLine="480" w:firstLineChars="200"/>
              <w:jc w:val="left"/>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式中：L</w:t>
            </w:r>
            <w:r>
              <w:rPr>
                <w:rFonts w:hint="default" w:ascii="Times New Roman" w:hAnsi="Times New Roman" w:eastAsia="宋体" w:cs="Times New Roman"/>
                <w:color w:val="auto"/>
                <w:sz w:val="24"/>
                <w:szCs w:val="24"/>
                <w:vertAlign w:val="subscript"/>
                <w:lang w:bidi="zh-CN"/>
              </w:rPr>
              <w:t>p2</w:t>
            </w:r>
            <w:r>
              <w:rPr>
                <w:rFonts w:hint="default" w:ascii="Times New Roman" w:hAnsi="Times New Roman" w:eastAsia="宋体" w:cs="Times New Roman"/>
                <w:color w:val="auto"/>
                <w:sz w:val="24"/>
                <w:szCs w:val="24"/>
                <w:lang w:bidi="zh-CN"/>
              </w:rPr>
              <w:t>（T）——靠近围护结构处室外N个声源的叠加声压级，dB（A）；</w:t>
            </w:r>
          </w:p>
          <w:p w14:paraId="0A7FB580">
            <w:pPr>
              <w:autoSpaceDE w:val="0"/>
              <w:autoSpaceDN w:val="0"/>
              <w:spacing w:line="360" w:lineRule="auto"/>
              <w:ind w:firstLine="1200" w:firstLineChars="500"/>
              <w:jc w:val="left"/>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TL——围护结构的隔声量，dB（A）。</w:t>
            </w:r>
          </w:p>
          <w:p w14:paraId="1AD062D9">
            <w:pPr>
              <w:autoSpaceDE w:val="0"/>
              <w:autoSpaceDN w:val="0"/>
              <w:spacing w:line="360" w:lineRule="auto"/>
              <w:ind w:firstLine="480" w:firstLineChars="200"/>
              <w:jc w:val="left"/>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将室外声级L</w:t>
            </w:r>
            <w:r>
              <w:rPr>
                <w:rFonts w:hint="default" w:ascii="Times New Roman" w:hAnsi="Times New Roman" w:eastAsia="宋体" w:cs="Times New Roman"/>
                <w:color w:val="auto"/>
                <w:sz w:val="24"/>
                <w:szCs w:val="24"/>
                <w:vertAlign w:val="subscript"/>
                <w:lang w:bidi="zh-CN"/>
              </w:rPr>
              <w:t>p2</w:t>
            </w:r>
            <w:r>
              <w:rPr>
                <w:rFonts w:hint="default" w:ascii="Times New Roman" w:hAnsi="Times New Roman" w:eastAsia="宋体" w:cs="Times New Roman"/>
                <w:color w:val="auto"/>
                <w:sz w:val="24"/>
                <w:szCs w:val="24"/>
                <w:lang w:bidi="zh-CN"/>
              </w:rPr>
              <w:t>（T）和透声面积换算成等效的室外声源，计算出等效声源的声功率级L</w:t>
            </w:r>
            <w:r>
              <w:rPr>
                <w:rFonts w:hint="default" w:ascii="Times New Roman" w:hAnsi="Times New Roman" w:eastAsia="宋体" w:cs="Times New Roman"/>
                <w:color w:val="auto"/>
                <w:sz w:val="24"/>
                <w:szCs w:val="24"/>
                <w:vertAlign w:val="subscript"/>
                <w:lang w:bidi="zh-CN"/>
              </w:rPr>
              <w:t>W</w:t>
            </w:r>
            <w:r>
              <w:rPr>
                <w:rFonts w:hint="default" w:ascii="Times New Roman" w:hAnsi="Times New Roman" w:eastAsia="宋体" w:cs="Times New Roman"/>
                <w:color w:val="auto"/>
                <w:sz w:val="24"/>
                <w:szCs w:val="24"/>
                <w:lang w:bidi="zh-CN"/>
              </w:rPr>
              <w:t>。</w:t>
            </w:r>
          </w:p>
          <w:p w14:paraId="22FF3487">
            <w:pPr>
              <w:autoSpaceDE w:val="0"/>
              <w:autoSpaceDN w:val="0"/>
              <w:spacing w:line="360" w:lineRule="auto"/>
              <w:ind w:firstLine="480" w:firstLineChars="200"/>
              <w:jc w:val="left"/>
              <w:rPr>
                <w:rFonts w:hint="default" w:ascii="Times New Roman" w:hAnsi="Times New Roman" w:eastAsia="宋体" w:cs="Times New Roman"/>
                <w:i/>
                <w:iCs/>
                <w:color w:val="auto"/>
                <w:sz w:val="24"/>
                <w:szCs w:val="24"/>
                <w:lang w:bidi="zh-CN"/>
              </w:rPr>
            </w:pPr>
            <w:r>
              <w:rPr>
                <w:rFonts w:hint="default" w:ascii="Times New Roman" w:hAnsi="Times New Roman" w:eastAsia="宋体" w:cs="Times New Roman"/>
                <w:color w:val="auto"/>
                <w:sz w:val="24"/>
                <w:szCs w:val="24"/>
                <w:lang w:bidi="zh-CN"/>
              </w:rPr>
              <w:t>等效室外声源的位置为围护结构的位置，其声功率级为L</w:t>
            </w:r>
            <w:r>
              <w:rPr>
                <w:rFonts w:hint="default" w:ascii="Times New Roman" w:hAnsi="Times New Roman" w:eastAsia="宋体" w:cs="Times New Roman"/>
                <w:color w:val="auto"/>
                <w:sz w:val="24"/>
                <w:szCs w:val="24"/>
                <w:vertAlign w:val="subscript"/>
                <w:lang w:bidi="zh-CN"/>
              </w:rPr>
              <w:t>W</w:t>
            </w:r>
            <w:r>
              <w:rPr>
                <w:rFonts w:hint="default" w:ascii="Times New Roman" w:hAnsi="Times New Roman" w:eastAsia="宋体" w:cs="Times New Roman"/>
                <w:color w:val="auto"/>
                <w:sz w:val="24"/>
                <w:szCs w:val="24"/>
                <w:lang w:bidi="zh-CN"/>
              </w:rPr>
              <w:t>，由此按室外声源方法计算等效室外声源在预测点产生的A声级。</w:t>
            </w:r>
          </w:p>
          <w:p w14:paraId="0747EADC">
            <w:pPr>
              <w:adjustRightInd w:val="0"/>
              <w:snapToGrid w:val="0"/>
              <w:spacing w:line="360" w:lineRule="auto"/>
              <w:ind w:firstLine="482" w:firstLineChars="200"/>
              <w:rPr>
                <w:b/>
                <w:bCs/>
                <w:color w:val="auto"/>
                <w:sz w:val="24"/>
              </w:rPr>
            </w:pPr>
            <w:r>
              <w:rPr>
                <w:rFonts w:hint="eastAsia"/>
                <w:b/>
                <w:bCs/>
                <w:color w:val="auto"/>
                <w:sz w:val="24"/>
                <w:lang w:val="en-US" w:eastAsia="zh-CN"/>
              </w:rPr>
              <w:t>3、</w:t>
            </w:r>
            <w:r>
              <w:rPr>
                <w:rFonts w:hint="eastAsia"/>
                <w:b/>
                <w:bCs/>
                <w:color w:val="auto"/>
                <w:sz w:val="24"/>
              </w:rPr>
              <w:t>预测结果</w:t>
            </w:r>
          </w:p>
          <w:p w14:paraId="404A73AB">
            <w:pPr>
              <w:adjustRightInd w:val="0"/>
              <w:snapToGrid w:val="0"/>
              <w:spacing w:line="360" w:lineRule="auto"/>
              <w:ind w:firstLine="480" w:firstLineChars="200"/>
              <w:rPr>
                <w:rFonts w:hint="eastAsia" w:ascii="Times New Roman" w:hAnsi="Times New Roman" w:eastAsia="宋体" w:cs="Times New Roman"/>
                <w:b/>
                <w:bCs/>
                <w:color w:val="auto"/>
                <w:sz w:val="24"/>
                <w:szCs w:val="24"/>
                <w:highlight w:val="none"/>
                <w:lang w:val="en-US" w:eastAsia="zh-CN"/>
              </w:rPr>
            </w:pPr>
            <w:r>
              <w:rPr>
                <w:rFonts w:hint="eastAsia"/>
                <w:color w:val="auto"/>
                <w:sz w:val="24"/>
                <w:lang w:val="en-US" w:eastAsia="zh-CN"/>
              </w:rPr>
              <w:t>根据上述预测模式，得出技改后投入运行后设备噪声对厂界声环境贡献值、预测值如下表所示。</w:t>
            </w:r>
          </w:p>
          <w:p w14:paraId="58D0EA22">
            <w:pPr>
              <w:pStyle w:val="65"/>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ascii="Times New Roman" w:hAnsi="Times New Roman" w:eastAsia="宋体" w:cs="Times New Roman"/>
                <w:b/>
                <w:bCs/>
                <w:color w:val="auto"/>
                <w:kern w:val="2"/>
                <w:sz w:val="21"/>
                <w:szCs w:val="21"/>
                <w:highlight w:val="none"/>
                <w:lang w:val="en-US" w:eastAsia="zh-CN" w:bidi="ar-SA"/>
              </w:rPr>
              <w:t>4-</w:t>
            </w:r>
            <w:r>
              <w:rPr>
                <w:rFonts w:hint="eastAsia" w:eastAsia="宋体" w:cs="Times New Roman"/>
                <w:b/>
                <w:bCs/>
                <w:color w:val="auto"/>
                <w:kern w:val="2"/>
                <w:sz w:val="21"/>
                <w:szCs w:val="21"/>
                <w:highlight w:val="none"/>
                <w:lang w:val="en-US" w:eastAsia="zh-CN" w:bidi="ar-SA"/>
              </w:rPr>
              <w:t xml:space="preserve">17  </w:t>
            </w:r>
            <w:r>
              <w:rPr>
                <w:rFonts w:hint="default" w:ascii="Times New Roman" w:hAnsi="Times New Roman" w:eastAsia="宋体" w:cs="Times New Roman"/>
                <w:b/>
                <w:bCs/>
                <w:color w:val="auto"/>
                <w:kern w:val="2"/>
                <w:sz w:val="21"/>
                <w:szCs w:val="21"/>
                <w:lang w:val="en-US" w:eastAsia="zh-CN" w:bidi="ar-SA"/>
              </w:rPr>
              <w:t>各厂界噪声预测结果一览表    单位：dB(A)</w:t>
            </w:r>
          </w:p>
          <w:tbl>
            <w:tblPr>
              <w:tblStyle w:val="23"/>
              <w:tblW w:w="8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438"/>
              <w:gridCol w:w="1300"/>
              <w:gridCol w:w="1169"/>
              <w:gridCol w:w="932"/>
              <w:gridCol w:w="755"/>
              <w:gridCol w:w="1282"/>
            </w:tblGrid>
            <w:tr w14:paraId="0A03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805" w:type="pct"/>
                  <w:vMerge w:val="restart"/>
                  <w:noWrap w:val="0"/>
                  <w:vAlign w:val="center"/>
                </w:tcPr>
                <w:p w14:paraId="136AD32E">
                  <w:pPr>
                    <w:spacing w:line="240" w:lineRule="auto"/>
                    <w:jc w:val="center"/>
                    <w:rPr>
                      <w:rFonts w:hint="eastAsia"/>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预测点</w:t>
                  </w:r>
                </w:p>
              </w:tc>
              <w:tc>
                <w:tcPr>
                  <w:tcW w:w="877" w:type="pct"/>
                  <w:noWrap w:val="0"/>
                  <w:vAlign w:val="center"/>
                </w:tcPr>
                <w:p w14:paraId="5D9BD71B">
                  <w:pPr>
                    <w:spacing w:line="240" w:lineRule="auto"/>
                    <w:jc w:val="center"/>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现状值</w:t>
                  </w:r>
                </w:p>
              </w:tc>
              <w:tc>
                <w:tcPr>
                  <w:tcW w:w="792" w:type="pct"/>
                  <w:noWrap w:val="0"/>
                  <w:vAlign w:val="center"/>
                </w:tcPr>
                <w:p w14:paraId="4248185A">
                  <w:pPr>
                    <w:spacing w:line="240" w:lineRule="auto"/>
                    <w:jc w:val="center"/>
                    <w:rPr>
                      <w:rFonts w:hint="eastAsia"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贡献值</w:t>
                  </w:r>
                </w:p>
              </w:tc>
              <w:tc>
                <w:tcPr>
                  <w:tcW w:w="713" w:type="pct"/>
                  <w:noWrap w:val="0"/>
                  <w:vAlign w:val="center"/>
                </w:tcPr>
                <w:p w14:paraId="0BE08E83">
                  <w:pPr>
                    <w:spacing w:line="240" w:lineRule="auto"/>
                    <w:jc w:val="center"/>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预测值</w:t>
                  </w:r>
                </w:p>
              </w:tc>
              <w:tc>
                <w:tcPr>
                  <w:tcW w:w="568" w:type="pct"/>
                  <w:vMerge w:val="restart"/>
                  <w:noWrap w:val="0"/>
                  <w:vAlign w:val="center"/>
                </w:tcPr>
                <w:p w14:paraId="7095607A">
                  <w:pPr>
                    <w:spacing w:line="240" w:lineRule="auto"/>
                    <w:jc w:val="center"/>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最大噪声值</w:t>
                  </w:r>
                </w:p>
              </w:tc>
              <w:tc>
                <w:tcPr>
                  <w:tcW w:w="460" w:type="pct"/>
                  <w:vMerge w:val="restart"/>
                  <w:noWrap w:val="0"/>
                  <w:vAlign w:val="center"/>
                </w:tcPr>
                <w:p w14:paraId="0C3ED74B">
                  <w:pPr>
                    <w:spacing w:line="240" w:lineRule="auto"/>
                    <w:jc w:val="center"/>
                    <w:rPr>
                      <w:rFonts w:hint="eastAsia"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标准值</w:t>
                  </w:r>
                </w:p>
              </w:tc>
              <w:tc>
                <w:tcPr>
                  <w:tcW w:w="781" w:type="pct"/>
                  <w:noWrap w:val="0"/>
                  <w:vAlign w:val="center"/>
                </w:tcPr>
                <w:p w14:paraId="12AAB8BC">
                  <w:pPr>
                    <w:spacing w:line="240" w:lineRule="auto"/>
                    <w:jc w:val="center"/>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达标情况</w:t>
                  </w:r>
                </w:p>
              </w:tc>
            </w:tr>
            <w:tr w14:paraId="4440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05" w:type="pct"/>
                  <w:vMerge w:val="continue"/>
                  <w:noWrap w:val="0"/>
                  <w:vAlign w:val="center"/>
                </w:tcPr>
                <w:p w14:paraId="71F79CD2">
                  <w:pPr>
                    <w:spacing w:line="240" w:lineRule="auto"/>
                    <w:jc w:val="center"/>
                    <w:rPr>
                      <w:rFonts w:hint="eastAsia" w:eastAsia="宋体"/>
                      <w:b/>
                      <w:bCs/>
                      <w:color w:val="auto"/>
                      <w:sz w:val="21"/>
                      <w:szCs w:val="21"/>
                      <w:highlight w:val="none"/>
                      <w:vertAlign w:val="baseline"/>
                      <w:lang w:val="en-US" w:eastAsia="zh-CN"/>
                    </w:rPr>
                  </w:pPr>
                </w:p>
              </w:tc>
              <w:tc>
                <w:tcPr>
                  <w:tcW w:w="877" w:type="pct"/>
                  <w:noWrap w:val="0"/>
                  <w:vAlign w:val="center"/>
                </w:tcPr>
                <w:p w14:paraId="674CD401">
                  <w:pPr>
                    <w:spacing w:line="240" w:lineRule="auto"/>
                    <w:jc w:val="center"/>
                    <w:rPr>
                      <w:rFonts w:hint="eastAsia"/>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昼间</w:t>
                  </w:r>
                </w:p>
              </w:tc>
              <w:tc>
                <w:tcPr>
                  <w:tcW w:w="792" w:type="pct"/>
                  <w:noWrap w:val="0"/>
                  <w:vAlign w:val="center"/>
                </w:tcPr>
                <w:p w14:paraId="3BAF904D">
                  <w:pPr>
                    <w:spacing w:line="240" w:lineRule="auto"/>
                    <w:jc w:val="center"/>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b/>
                      <w:bCs/>
                      <w:color w:val="auto"/>
                      <w:sz w:val="21"/>
                      <w:szCs w:val="21"/>
                      <w:highlight w:val="none"/>
                      <w:vertAlign w:val="baseline"/>
                      <w:lang w:val="en-US" w:eastAsia="zh-CN"/>
                    </w:rPr>
                    <w:t>昼间</w:t>
                  </w:r>
                </w:p>
              </w:tc>
              <w:tc>
                <w:tcPr>
                  <w:tcW w:w="713" w:type="pct"/>
                  <w:noWrap w:val="0"/>
                  <w:vAlign w:val="center"/>
                </w:tcPr>
                <w:p w14:paraId="753066E3">
                  <w:pPr>
                    <w:spacing w:line="240" w:lineRule="auto"/>
                    <w:jc w:val="center"/>
                    <w:rPr>
                      <w:b/>
                      <w:bCs/>
                      <w:color w:val="auto"/>
                      <w:sz w:val="21"/>
                      <w:szCs w:val="21"/>
                      <w:highlight w:val="none"/>
                      <w:vertAlign w:val="baseline"/>
                    </w:rPr>
                  </w:pPr>
                  <w:r>
                    <w:rPr>
                      <w:rFonts w:hint="eastAsia"/>
                      <w:b/>
                      <w:bCs/>
                      <w:color w:val="auto"/>
                      <w:sz w:val="21"/>
                      <w:szCs w:val="21"/>
                      <w:highlight w:val="none"/>
                      <w:vertAlign w:val="baseline"/>
                      <w:lang w:val="en-US" w:eastAsia="zh-CN"/>
                    </w:rPr>
                    <w:t>昼间</w:t>
                  </w:r>
                </w:p>
              </w:tc>
              <w:tc>
                <w:tcPr>
                  <w:tcW w:w="568" w:type="pct"/>
                  <w:vMerge w:val="continue"/>
                  <w:noWrap w:val="0"/>
                  <w:vAlign w:val="center"/>
                </w:tcPr>
                <w:p w14:paraId="30728889">
                  <w:pPr>
                    <w:spacing w:line="240" w:lineRule="auto"/>
                    <w:jc w:val="center"/>
                    <w:rPr>
                      <w:b/>
                      <w:bCs/>
                      <w:color w:val="auto"/>
                      <w:sz w:val="21"/>
                      <w:szCs w:val="21"/>
                      <w:highlight w:val="none"/>
                      <w:vertAlign w:val="baseline"/>
                    </w:rPr>
                  </w:pPr>
                </w:p>
              </w:tc>
              <w:tc>
                <w:tcPr>
                  <w:tcW w:w="460" w:type="pct"/>
                  <w:vMerge w:val="continue"/>
                  <w:noWrap w:val="0"/>
                  <w:vAlign w:val="center"/>
                </w:tcPr>
                <w:p w14:paraId="1A49FF7D">
                  <w:pPr>
                    <w:spacing w:line="240" w:lineRule="auto"/>
                    <w:jc w:val="center"/>
                    <w:rPr>
                      <w:b/>
                      <w:bCs/>
                      <w:color w:val="auto"/>
                      <w:sz w:val="21"/>
                      <w:szCs w:val="21"/>
                      <w:highlight w:val="none"/>
                      <w:vertAlign w:val="baseline"/>
                    </w:rPr>
                  </w:pPr>
                </w:p>
              </w:tc>
              <w:tc>
                <w:tcPr>
                  <w:tcW w:w="781" w:type="pct"/>
                  <w:noWrap w:val="0"/>
                  <w:vAlign w:val="center"/>
                </w:tcPr>
                <w:p w14:paraId="0E332283">
                  <w:pPr>
                    <w:spacing w:line="240" w:lineRule="auto"/>
                    <w:jc w:val="center"/>
                    <w:rPr>
                      <w:b/>
                      <w:bCs/>
                      <w:color w:val="auto"/>
                      <w:sz w:val="21"/>
                      <w:szCs w:val="21"/>
                      <w:highlight w:val="none"/>
                      <w:vertAlign w:val="baseline"/>
                    </w:rPr>
                  </w:pPr>
                  <w:r>
                    <w:rPr>
                      <w:rFonts w:hint="eastAsia"/>
                      <w:b/>
                      <w:bCs/>
                      <w:color w:val="auto"/>
                      <w:sz w:val="21"/>
                      <w:szCs w:val="21"/>
                      <w:highlight w:val="none"/>
                      <w:vertAlign w:val="baseline"/>
                      <w:lang w:val="en-US" w:eastAsia="zh-CN"/>
                    </w:rPr>
                    <w:t>昼间</w:t>
                  </w:r>
                </w:p>
              </w:tc>
            </w:tr>
            <w:tr w14:paraId="6CE2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5" w:type="pct"/>
                  <w:noWrap w:val="0"/>
                  <w:vAlign w:val="center"/>
                </w:tcPr>
                <w:p w14:paraId="14F32C6B">
                  <w:pPr>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东厂界</w:t>
                  </w:r>
                </w:p>
              </w:tc>
              <w:tc>
                <w:tcPr>
                  <w:tcW w:w="877" w:type="pct"/>
                  <w:noWrap w:val="0"/>
                  <w:vAlign w:val="center"/>
                </w:tcPr>
                <w:p w14:paraId="65493236">
                  <w:pPr>
                    <w:keepNext w:val="0"/>
                    <w:keepLines w:val="0"/>
                    <w:widowControl/>
                    <w:suppressLineNumbers w:val="0"/>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57</w:t>
                  </w:r>
                </w:p>
              </w:tc>
              <w:tc>
                <w:tcPr>
                  <w:tcW w:w="792" w:type="pct"/>
                  <w:noWrap w:val="0"/>
                  <w:vAlign w:val="center"/>
                </w:tcPr>
                <w:p w14:paraId="4F621474">
                  <w:pPr>
                    <w:keepNext w:val="0"/>
                    <w:keepLines w:val="0"/>
                    <w:widowControl/>
                    <w:suppressLineNumbers w:val="0"/>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24.51</w:t>
                  </w:r>
                </w:p>
              </w:tc>
              <w:tc>
                <w:tcPr>
                  <w:tcW w:w="713" w:type="pct"/>
                  <w:noWrap w:val="0"/>
                  <w:vAlign w:val="center"/>
                </w:tcPr>
                <w:p w14:paraId="1893B619">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57</w:t>
                  </w:r>
                </w:p>
              </w:tc>
              <w:tc>
                <w:tcPr>
                  <w:tcW w:w="568" w:type="pct"/>
                  <w:vMerge w:val="restart"/>
                  <w:noWrap w:val="0"/>
                  <w:vAlign w:val="center"/>
                </w:tcPr>
                <w:p w14:paraId="1AEB4350">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59.06</w:t>
                  </w:r>
                </w:p>
              </w:tc>
              <w:tc>
                <w:tcPr>
                  <w:tcW w:w="460" w:type="pct"/>
                  <w:vMerge w:val="restart"/>
                  <w:noWrap w:val="0"/>
                  <w:vAlign w:val="center"/>
                </w:tcPr>
                <w:p w14:paraId="166A8773">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昼间：65</w:t>
                  </w:r>
                </w:p>
                <w:p w14:paraId="6C33E28F">
                  <w:pPr>
                    <w:spacing w:line="240" w:lineRule="auto"/>
                    <w:jc w:val="center"/>
                    <w:rPr>
                      <w:rFonts w:hint="default" w:eastAsia="宋体"/>
                      <w:color w:val="auto"/>
                      <w:sz w:val="21"/>
                      <w:szCs w:val="21"/>
                      <w:highlight w:val="none"/>
                      <w:vertAlign w:val="baseline"/>
                      <w:lang w:val="en-US" w:eastAsia="zh-CN"/>
                    </w:rPr>
                  </w:pPr>
                </w:p>
              </w:tc>
              <w:tc>
                <w:tcPr>
                  <w:tcW w:w="781" w:type="pct"/>
                  <w:noWrap w:val="0"/>
                  <w:vAlign w:val="center"/>
                </w:tcPr>
                <w:p w14:paraId="71A5FF5A">
                  <w:pPr>
                    <w:spacing w:line="240" w:lineRule="auto"/>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达标</w:t>
                  </w:r>
                </w:p>
              </w:tc>
            </w:tr>
            <w:tr w14:paraId="1E9D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05" w:type="pct"/>
                  <w:noWrap w:val="0"/>
                  <w:vAlign w:val="center"/>
                </w:tcPr>
                <w:p w14:paraId="49C3AB9B">
                  <w:pPr>
                    <w:spacing w:line="240" w:lineRule="auto"/>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南厂界</w:t>
                  </w:r>
                </w:p>
              </w:tc>
              <w:tc>
                <w:tcPr>
                  <w:tcW w:w="877" w:type="pct"/>
                  <w:noWrap w:val="0"/>
                  <w:vAlign w:val="center"/>
                </w:tcPr>
                <w:p w14:paraId="72A3FC8D">
                  <w:pPr>
                    <w:keepNext w:val="0"/>
                    <w:keepLines w:val="0"/>
                    <w:widowControl/>
                    <w:suppressLineNumbers w:val="0"/>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57</w:t>
                  </w:r>
                </w:p>
              </w:tc>
              <w:tc>
                <w:tcPr>
                  <w:tcW w:w="792" w:type="pct"/>
                  <w:noWrap w:val="0"/>
                  <w:vAlign w:val="center"/>
                </w:tcPr>
                <w:p w14:paraId="2CB5DCAB">
                  <w:pPr>
                    <w:keepNext w:val="0"/>
                    <w:keepLines w:val="0"/>
                    <w:widowControl/>
                    <w:suppressLineNumbers w:val="0"/>
                    <w:spacing w:line="240" w:lineRule="auto"/>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44.16</w:t>
                  </w:r>
                </w:p>
              </w:tc>
              <w:tc>
                <w:tcPr>
                  <w:tcW w:w="713" w:type="pct"/>
                  <w:noWrap w:val="0"/>
                  <w:vAlign w:val="center"/>
                </w:tcPr>
                <w:p w14:paraId="3C48AD65">
                  <w:pPr>
                    <w:spacing w:line="240" w:lineRule="auto"/>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57.22</w:t>
                  </w:r>
                </w:p>
              </w:tc>
              <w:tc>
                <w:tcPr>
                  <w:tcW w:w="568" w:type="pct"/>
                  <w:vMerge w:val="continue"/>
                  <w:noWrap w:val="0"/>
                  <w:vAlign w:val="center"/>
                </w:tcPr>
                <w:p w14:paraId="237240FA">
                  <w:pPr>
                    <w:spacing w:line="240" w:lineRule="auto"/>
                    <w:jc w:val="center"/>
                    <w:rPr>
                      <w:color w:val="auto"/>
                      <w:sz w:val="21"/>
                      <w:szCs w:val="21"/>
                      <w:highlight w:val="none"/>
                      <w:vertAlign w:val="baseline"/>
                    </w:rPr>
                  </w:pPr>
                </w:p>
              </w:tc>
              <w:tc>
                <w:tcPr>
                  <w:tcW w:w="460" w:type="pct"/>
                  <w:vMerge w:val="continue"/>
                  <w:noWrap w:val="0"/>
                  <w:vAlign w:val="center"/>
                </w:tcPr>
                <w:p w14:paraId="2B300BC0">
                  <w:pPr>
                    <w:spacing w:line="240" w:lineRule="auto"/>
                    <w:jc w:val="center"/>
                    <w:rPr>
                      <w:color w:val="auto"/>
                      <w:sz w:val="21"/>
                      <w:szCs w:val="21"/>
                      <w:highlight w:val="none"/>
                      <w:vertAlign w:val="baseline"/>
                    </w:rPr>
                  </w:pPr>
                </w:p>
              </w:tc>
              <w:tc>
                <w:tcPr>
                  <w:tcW w:w="781" w:type="pct"/>
                  <w:noWrap w:val="0"/>
                  <w:vAlign w:val="center"/>
                </w:tcPr>
                <w:p w14:paraId="6FA87BE5">
                  <w:pPr>
                    <w:spacing w:line="240" w:lineRule="auto"/>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达标</w:t>
                  </w:r>
                </w:p>
              </w:tc>
            </w:tr>
            <w:tr w14:paraId="5824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805" w:type="pct"/>
                  <w:noWrap w:val="0"/>
                  <w:vAlign w:val="center"/>
                </w:tcPr>
                <w:p w14:paraId="73CBB244">
                  <w:pPr>
                    <w:spacing w:line="240" w:lineRule="auto"/>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西厂界</w:t>
                  </w:r>
                </w:p>
              </w:tc>
              <w:tc>
                <w:tcPr>
                  <w:tcW w:w="877" w:type="pct"/>
                  <w:noWrap w:val="0"/>
                  <w:vAlign w:val="center"/>
                </w:tcPr>
                <w:p w14:paraId="070BEF9C">
                  <w:pPr>
                    <w:keepNext w:val="0"/>
                    <w:keepLines w:val="0"/>
                    <w:widowControl/>
                    <w:suppressLineNumbers w:val="0"/>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56</w:t>
                  </w:r>
                </w:p>
              </w:tc>
              <w:tc>
                <w:tcPr>
                  <w:tcW w:w="792" w:type="pct"/>
                  <w:noWrap w:val="0"/>
                  <w:vAlign w:val="center"/>
                </w:tcPr>
                <w:p w14:paraId="3D6BC31F">
                  <w:pPr>
                    <w:keepNext w:val="0"/>
                    <w:keepLines w:val="0"/>
                    <w:widowControl/>
                    <w:suppressLineNumbers w:val="0"/>
                    <w:spacing w:line="240" w:lineRule="auto"/>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56.1</w:t>
                  </w:r>
                </w:p>
              </w:tc>
              <w:tc>
                <w:tcPr>
                  <w:tcW w:w="713" w:type="pct"/>
                  <w:noWrap w:val="0"/>
                  <w:vAlign w:val="center"/>
                </w:tcPr>
                <w:p w14:paraId="0729985D">
                  <w:pPr>
                    <w:spacing w:line="240" w:lineRule="auto"/>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59.06</w:t>
                  </w:r>
                </w:p>
              </w:tc>
              <w:tc>
                <w:tcPr>
                  <w:tcW w:w="568" w:type="pct"/>
                  <w:vMerge w:val="continue"/>
                  <w:noWrap w:val="0"/>
                  <w:vAlign w:val="center"/>
                </w:tcPr>
                <w:p w14:paraId="77C795F6">
                  <w:pPr>
                    <w:spacing w:line="240" w:lineRule="auto"/>
                    <w:jc w:val="center"/>
                    <w:rPr>
                      <w:color w:val="auto"/>
                      <w:sz w:val="21"/>
                      <w:szCs w:val="21"/>
                      <w:highlight w:val="none"/>
                      <w:vertAlign w:val="baseline"/>
                    </w:rPr>
                  </w:pPr>
                </w:p>
              </w:tc>
              <w:tc>
                <w:tcPr>
                  <w:tcW w:w="460" w:type="pct"/>
                  <w:vMerge w:val="continue"/>
                  <w:noWrap w:val="0"/>
                  <w:vAlign w:val="center"/>
                </w:tcPr>
                <w:p w14:paraId="0AE25E4F">
                  <w:pPr>
                    <w:spacing w:line="240" w:lineRule="auto"/>
                    <w:jc w:val="center"/>
                    <w:rPr>
                      <w:color w:val="auto"/>
                      <w:sz w:val="21"/>
                      <w:szCs w:val="21"/>
                      <w:highlight w:val="none"/>
                      <w:vertAlign w:val="baseline"/>
                    </w:rPr>
                  </w:pPr>
                </w:p>
              </w:tc>
              <w:tc>
                <w:tcPr>
                  <w:tcW w:w="781" w:type="pct"/>
                  <w:noWrap w:val="0"/>
                  <w:vAlign w:val="center"/>
                </w:tcPr>
                <w:p w14:paraId="3BD0D8F4">
                  <w:pPr>
                    <w:spacing w:line="240" w:lineRule="auto"/>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达标</w:t>
                  </w:r>
                </w:p>
              </w:tc>
            </w:tr>
            <w:tr w14:paraId="0CF5A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805" w:type="pct"/>
                  <w:noWrap w:val="0"/>
                  <w:vAlign w:val="center"/>
                </w:tcPr>
                <w:p w14:paraId="1D70B3E6">
                  <w:pPr>
                    <w:spacing w:line="240" w:lineRule="auto"/>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北厂界</w:t>
                  </w:r>
                </w:p>
              </w:tc>
              <w:tc>
                <w:tcPr>
                  <w:tcW w:w="877" w:type="pct"/>
                  <w:noWrap w:val="0"/>
                  <w:vAlign w:val="center"/>
                </w:tcPr>
                <w:p w14:paraId="296CC40B">
                  <w:pPr>
                    <w:keepNext w:val="0"/>
                    <w:keepLines w:val="0"/>
                    <w:widowControl/>
                    <w:suppressLineNumbers w:val="0"/>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58</w:t>
                  </w:r>
                </w:p>
              </w:tc>
              <w:tc>
                <w:tcPr>
                  <w:tcW w:w="792" w:type="pct"/>
                  <w:noWrap w:val="0"/>
                  <w:vAlign w:val="center"/>
                </w:tcPr>
                <w:p w14:paraId="19D31AF4">
                  <w:pPr>
                    <w:keepNext w:val="0"/>
                    <w:keepLines w:val="0"/>
                    <w:widowControl/>
                    <w:suppressLineNumbers w:val="0"/>
                    <w:spacing w:line="240" w:lineRule="auto"/>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45.63</w:t>
                  </w:r>
                </w:p>
              </w:tc>
              <w:tc>
                <w:tcPr>
                  <w:tcW w:w="713" w:type="pct"/>
                  <w:noWrap w:val="0"/>
                  <w:vAlign w:val="center"/>
                </w:tcPr>
                <w:p w14:paraId="5A5837C9">
                  <w:pPr>
                    <w:spacing w:line="240" w:lineRule="auto"/>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58.24</w:t>
                  </w:r>
                </w:p>
              </w:tc>
              <w:tc>
                <w:tcPr>
                  <w:tcW w:w="568" w:type="pct"/>
                  <w:vMerge w:val="continue"/>
                  <w:noWrap w:val="0"/>
                  <w:vAlign w:val="center"/>
                </w:tcPr>
                <w:p w14:paraId="16133794">
                  <w:pPr>
                    <w:spacing w:line="240" w:lineRule="auto"/>
                    <w:jc w:val="center"/>
                    <w:rPr>
                      <w:rFonts w:hint="default" w:eastAsia="宋体"/>
                      <w:color w:val="auto"/>
                      <w:sz w:val="21"/>
                      <w:szCs w:val="21"/>
                      <w:highlight w:val="none"/>
                      <w:vertAlign w:val="baseline"/>
                      <w:lang w:val="en-US" w:eastAsia="zh-CN"/>
                    </w:rPr>
                  </w:pPr>
                </w:p>
              </w:tc>
              <w:tc>
                <w:tcPr>
                  <w:tcW w:w="460" w:type="pct"/>
                  <w:vMerge w:val="continue"/>
                  <w:noWrap w:val="0"/>
                  <w:vAlign w:val="center"/>
                </w:tcPr>
                <w:p w14:paraId="10854A87">
                  <w:pPr>
                    <w:spacing w:line="240" w:lineRule="auto"/>
                    <w:jc w:val="center"/>
                    <w:rPr>
                      <w:rFonts w:hint="default"/>
                      <w:color w:val="auto"/>
                      <w:sz w:val="21"/>
                      <w:szCs w:val="21"/>
                      <w:highlight w:val="none"/>
                      <w:vertAlign w:val="baseline"/>
                      <w:lang w:val="en-US"/>
                    </w:rPr>
                  </w:pPr>
                </w:p>
              </w:tc>
              <w:tc>
                <w:tcPr>
                  <w:tcW w:w="781" w:type="pct"/>
                  <w:noWrap w:val="0"/>
                  <w:vAlign w:val="center"/>
                </w:tcPr>
                <w:p w14:paraId="6DC5FC4F">
                  <w:pPr>
                    <w:spacing w:line="240" w:lineRule="auto"/>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达标</w:t>
                  </w:r>
                </w:p>
              </w:tc>
            </w:tr>
            <w:tr w14:paraId="29505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5000" w:type="pct"/>
                  <w:gridSpan w:val="7"/>
                  <w:noWrap w:val="0"/>
                  <w:vAlign w:val="center"/>
                </w:tcPr>
                <w:p w14:paraId="06302D60">
                  <w:pPr>
                    <w:spacing w:line="240" w:lineRule="auto"/>
                    <w:jc w:val="left"/>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备注：背景值采用</w:t>
                  </w:r>
                  <w:r>
                    <w:rPr>
                      <w:rFonts w:hint="eastAsia" w:ascii="Times New Roman" w:hAnsi="Times New Roman" w:cs="Times New Roman"/>
                      <w:caps w:val="0"/>
                      <w:smallCaps w:val="0"/>
                      <w:color w:val="auto"/>
                      <w:sz w:val="21"/>
                      <w:szCs w:val="21"/>
                      <w:highlight w:val="none"/>
                      <w:lang w:val="en-US" w:eastAsia="zh-CN"/>
                    </w:rPr>
                    <w:t>《云南果研社农业科技发展有限公司自行监测（第三季度）</w:t>
                  </w:r>
                  <w:r>
                    <w:rPr>
                      <w:rFonts w:hint="eastAsia" w:cs="Times New Roman"/>
                      <w:caps w:val="0"/>
                      <w:smallCaps w:val="0"/>
                      <w:color w:val="auto"/>
                      <w:sz w:val="21"/>
                      <w:szCs w:val="21"/>
                      <w:highlight w:val="none"/>
                      <w:lang w:val="en-US" w:eastAsia="zh-CN"/>
                    </w:rPr>
                    <w:t>检测报告</w:t>
                  </w:r>
                  <w:r>
                    <w:rPr>
                      <w:rFonts w:hint="eastAsia" w:ascii="Times New Roman" w:hAnsi="Times New Roman" w:cs="Times New Roman"/>
                      <w:caps w:val="0"/>
                      <w:smallCaps w:val="0"/>
                      <w:color w:val="auto"/>
                      <w:sz w:val="21"/>
                      <w:szCs w:val="21"/>
                      <w:highlight w:val="none"/>
                      <w:lang w:val="en-US" w:eastAsia="zh-CN"/>
                    </w:rPr>
                    <w:t>》</w:t>
                  </w:r>
                  <w:r>
                    <w:rPr>
                      <w:rFonts w:hint="eastAsia" w:cs="Times New Roman"/>
                      <w:caps w:val="0"/>
                      <w:smallCaps w:val="0"/>
                      <w:color w:val="auto"/>
                      <w:sz w:val="21"/>
                      <w:szCs w:val="21"/>
                      <w:highlight w:val="none"/>
                      <w:lang w:val="en-US" w:eastAsia="zh-CN"/>
                    </w:rPr>
                    <w:t>（YNHP24080510）</w:t>
                  </w:r>
                  <w:r>
                    <w:rPr>
                      <w:rFonts w:hint="eastAsia"/>
                      <w:color w:val="auto"/>
                      <w:sz w:val="21"/>
                      <w:szCs w:val="21"/>
                      <w:highlight w:val="none"/>
                      <w:vertAlign w:val="baseline"/>
                      <w:lang w:val="en-US" w:eastAsia="zh-CN"/>
                    </w:rPr>
                    <w:t>中厂界噪声监测数据。</w:t>
                  </w:r>
                </w:p>
              </w:tc>
            </w:tr>
          </w:tbl>
          <w:p w14:paraId="3ACEC54D">
            <w:pPr>
              <w:widowControl/>
              <w:spacing w:line="360" w:lineRule="auto"/>
              <w:ind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根据上表</w:t>
            </w:r>
            <w:r>
              <w:rPr>
                <w:rFonts w:hint="default" w:ascii="Times New Roman" w:hAnsi="Times New Roman" w:cs="Times New Roman"/>
                <w:bCs/>
                <w:color w:val="auto"/>
                <w:sz w:val="24"/>
                <w:highlight w:val="none"/>
                <w:lang w:eastAsia="zh-CN"/>
              </w:rPr>
              <w:t>的预测结果，</w:t>
            </w:r>
            <w:r>
              <w:rPr>
                <w:rFonts w:hint="default" w:ascii="Times New Roman" w:hAnsi="Times New Roman" w:cs="Times New Roman"/>
                <w:bCs/>
                <w:color w:val="auto"/>
                <w:sz w:val="24"/>
                <w:highlight w:val="none"/>
                <w:lang w:val="en-US" w:eastAsia="zh-CN"/>
              </w:rPr>
              <w:t>项目仅在昼间生产，各厂界噪声在叠加现状值、贡献值后，东</w:t>
            </w:r>
            <w:r>
              <w:rPr>
                <w:rFonts w:hint="default" w:ascii="Times New Roman" w:hAnsi="Times New Roman" w:cs="Times New Roman"/>
                <w:bCs/>
                <w:color w:val="auto"/>
                <w:sz w:val="24"/>
                <w:highlight w:val="none"/>
                <w:lang w:eastAsia="zh-CN"/>
              </w:rPr>
              <w:t>厂界</w:t>
            </w:r>
            <w:r>
              <w:rPr>
                <w:rFonts w:hint="default" w:ascii="Times New Roman" w:hAnsi="Times New Roman" w:cs="Times New Roman"/>
                <w:bCs/>
                <w:color w:val="auto"/>
                <w:sz w:val="24"/>
                <w:highlight w:val="none"/>
                <w:lang w:val="en-US" w:eastAsia="zh-CN"/>
              </w:rPr>
              <w:t>噪声预测</w:t>
            </w:r>
            <w:r>
              <w:rPr>
                <w:rFonts w:hint="default" w:ascii="Times New Roman" w:hAnsi="Times New Roman" w:cs="Times New Roman"/>
                <w:bCs/>
                <w:color w:val="auto"/>
                <w:sz w:val="24"/>
                <w:highlight w:val="none"/>
                <w:lang w:eastAsia="zh-CN"/>
              </w:rPr>
              <w:t>值为</w:t>
            </w:r>
            <w:r>
              <w:rPr>
                <w:rFonts w:hint="eastAsia" w:cs="Times New Roman"/>
                <w:bCs/>
                <w:color w:val="auto"/>
                <w:sz w:val="24"/>
                <w:highlight w:val="none"/>
                <w:lang w:val="en-US" w:eastAsia="zh-CN"/>
              </w:rPr>
              <w:t>57</w:t>
            </w:r>
            <w:r>
              <w:rPr>
                <w:rFonts w:hint="default" w:ascii="Times New Roman" w:hAnsi="Times New Roman" w:cs="Times New Roman"/>
                <w:bCs/>
                <w:color w:val="auto"/>
                <w:sz w:val="24"/>
                <w:highlight w:val="none"/>
              </w:rPr>
              <w:t>dB（A）</w:t>
            </w:r>
            <w:r>
              <w:rPr>
                <w:rFonts w:hint="default" w:ascii="Times New Roman" w:hAnsi="Times New Roman" w:cs="Times New Roman"/>
                <w:bCs/>
                <w:color w:val="auto"/>
                <w:sz w:val="24"/>
                <w:highlight w:val="none"/>
                <w:lang w:eastAsia="zh-CN"/>
              </w:rPr>
              <w:t>，南厂界</w:t>
            </w:r>
            <w:r>
              <w:rPr>
                <w:rFonts w:hint="default" w:ascii="Times New Roman" w:hAnsi="Times New Roman" w:cs="Times New Roman"/>
                <w:bCs/>
                <w:color w:val="auto"/>
                <w:sz w:val="24"/>
                <w:highlight w:val="none"/>
                <w:lang w:val="en-US" w:eastAsia="zh-CN"/>
              </w:rPr>
              <w:t>噪声</w:t>
            </w:r>
            <w:r>
              <w:rPr>
                <w:rFonts w:hint="default" w:ascii="Times New Roman" w:hAnsi="Times New Roman" w:cs="Times New Roman"/>
                <w:bCs/>
                <w:color w:val="auto"/>
                <w:sz w:val="24"/>
                <w:highlight w:val="none"/>
                <w:lang w:eastAsia="zh-CN"/>
              </w:rPr>
              <w:t>预测值为</w:t>
            </w:r>
            <w:r>
              <w:rPr>
                <w:rFonts w:hint="eastAsia" w:cs="Times New Roman"/>
                <w:bCs/>
                <w:color w:val="auto"/>
                <w:sz w:val="24"/>
                <w:highlight w:val="none"/>
                <w:lang w:val="en-US" w:eastAsia="zh-CN"/>
              </w:rPr>
              <w:t>57.22</w:t>
            </w:r>
            <w:r>
              <w:rPr>
                <w:rFonts w:hint="default" w:ascii="Times New Roman" w:hAnsi="Times New Roman" w:cs="Times New Roman"/>
                <w:bCs/>
                <w:color w:val="auto"/>
                <w:sz w:val="24"/>
                <w:highlight w:val="none"/>
              </w:rPr>
              <w:t>dB（A）</w:t>
            </w:r>
            <w:r>
              <w:rPr>
                <w:rFonts w:hint="default" w:ascii="Times New Roman" w:hAnsi="Times New Roman" w:cs="Times New Roman"/>
                <w:bCs/>
                <w:color w:val="auto"/>
                <w:sz w:val="24"/>
                <w:highlight w:val="none"/>
                <w:lang w:eastAsia="zh-CN"/>
              </w:rPr>
              <w:t>，西厂界</w:t>
            </w:r>
            <w:r>
              <w:rPr>
                <w:rFonts w:hint="default" w:ascii="Times New Roman" w:hAnsi="Times New Roman" w:cs="Times New Roman"/>
                <w:bCs/>
                <w:color w:val="auto"/>
                <w:sz w:val="24"/>
                <w:highlight w:val="none"/>
                <w:lang w:val="en-US" w:eastAsia="zh-CN"/>
              </w:rPr>
              <w:t>噪声预测</w:t>
            </w:r>
            <w:r>
              <w:rPr>
                <w:rFonts w:hint="default" w:ascii="Times New Roman" w:hAnsi="Times New Roman" w:cs="Times New Roman"/>
                <w:bCs/>
                <w:color w:val="auto"/>
                <w:sz w:val="24"/>
                <w:highlight w:val="none"/>
                <w:lang w:eastAsia="zh-CN"/>
              </w:rPr>
              <w:t>值为</w:t>
            </w:r>
            <w:r>
              <w:rPr>
                <w:rFonts w:hint="eastAsia" w:cs="Times New Roman"/>
                <w:bCs/>
                <w:color w:val="auto"/>
                <w:sz w:val="24"/>
                <w:highlight w:val="none"/>
                <w:lang w:val="en-US" w:eastAsia="zh-CN"/>
              </w:rPr>
              <w:t>59.06</w:t>
            </w:r>
            <w:r>
              <w:rPr>
                <w:rFonts w:hint="default" w:ascii="Times New Roman" w:hAnsi="Times New Roman" w:cs="Times New Roman"/>
                <w:bCs/>
                <w:color w:val="auto"/>
                <w:sz w:val="24"/>
                <w:highlight w:val="none"/>
              </w:rPr>
              <w:t>dB（A）</w:t>
            </w:r>
            <w:r>
              <w:rPr>
                <w:rFonts w:hint="default" w:ascii="Times New Roman" w:hAnsi="Times New Roman" w:cs="Times New Roman"/>
                <w:bCs/>
                <w:color w:val="auto"/>
                <w:sz w:val="24"/>
                <w:highlight w:val="none"/>
                <w:lang w:eastAsia="zh-CN"/>
              </w:rPr>
              <w:t>，北厂界</w:t>
            </w:r>
            <w:r>
              <w:rPr>
                <w:rFonts w:hint="default" w:ascii="Times New Roman" w:hAnsi="Times New Roman" w:cs="Times New Roman"/>
                <w:bCs/>
                <w:color w:val="auto"/>
                <w:sz w:val="24"/>
                <w:highlight w:val="none"/>
                <w:lang w:val="en-US" w:eastAsia="zh-CN"/>
              </w:rPr>
              <w:t>噪声预测</w:t>
            </w:r>
            <w:r>
              <w:rPr>
                <w:rFonts w:hint="default" w:ascii="Times New Roman" w:hAnsi="Times New Roman" w:cs="Times New Roman"/>
                <w:bCs/>
                <w:color w:val="auto"/>
                <w:sz w:val="24"/>
                <w:highlight w:val="none"/>
                <w:lang w:eastAsia="zh-CN"/>
              </w:rPr>
              <w:t>值为</w:t>
            </w:r>
            <w:r>
              <w:rPr>
                <w:rFonts w:hint="eastAsia" w:cs="Times New Roman"/>
                <w:bCs/>
                <w:color w:val="auto"/>
                <w:sz w:val="24"/>
                <w:highlight w:val="none"/>
                <w:lang w:val="en-US" w:eastAsia="zh-CN"/>
              </w:rPr>
              <w:t>58.24</w:t>
            </w:r>
            <w:r>
              <w:rPr>
                <w:rFonts w:hint="default" w:ascii="Times New Roman" w:hAnsi="Times New Roman" w:cs="Times New Roman"/>
                <w:bCs/>
                <w:color w:val="auto"/>
                <w:sz w:val="24"/>
                <w:highlight w:val="none"/>
              </w:rPr>
              <w:t>dB（A）</w:t>
            </w:r>
            <w:r>
              <w:rPr>
                <w:rFonts w:hint="default" w:ascii="Times New Roman" w:hAnsi="Times New Roman" w:cs="Times New Roman"/>
                <w:bCs/>
                <w:color w:val="auto"/>
                <w:sz w:val="24"/>
                <w:highlight w:val="none"/>
                <w:lang w:eastAsia="zh-CN"/>
              </w:rPr>
              <w:t>，均</w:t>
            </w:r>
            <w:r>
              <w:rPr>
                <w:rFonts w:hint="default" w:ascii="Times New Roman" w:hAnsi="Times New Roman" w:cs="Times New Roman"/>
                <w:bCs/>
                <w:color w:val="auto"/>
                <w:sz w:val="24"/>
                <w:highlight w:val="none"/>
              </w:rPr>
              <w:t>满足《工业企业厂界环境噪声排放标准》（GB12348-2008）3类标准</w:t>
            </w:r>
            <w:r>
              <w:rPr>
                <w:rFonts w:hint="default" w:ascii="Times New Roman" w:hAnsi="Times New Roman" w:cs="Times New Roman"/>
                <w:bCs/>
                <w:color w:val="auto"/>
                <w:sz w:val="24"/>
                <w:highlight w:val="none"/>
                <w:lang w:eastAsia="zh-CN"/>
              </w:rPr>
              <w:t>，即≤</w:t>
            </w:r>
            <w:r>
              <w:rPr>
                <w:rFonts w:hint="default" w:ascii="Times New Roman" w:hAnsi="Times New Roman" w:cs="Times New Roman"/>
                <w:bCs/>
                <w:color w:val="auto"/>
                <w:sz w:val="24"/>
                <w:highlight w:val="none"/>
                <w:lang w:val="en-US" w:eastAsia="zh-CN"/>
              </w:rPr>
              <w:t>65</w:t>
            </w:r>
            <w:r>
              <w:rPr>
                <w:rFonts w:hint="default" w:ascii="Times New Roman" w:hAnsi="Times New Roman" w:cs="Times New Roman"/>
                <w:bCs/>
                <w:color w:val="auto"/>
                <w:sz w:val="24"/>
                <w:highlight w:val="none"/>
              </w:rPr>
              <w:t>dB（A）。</w:t>
            </w:r>
          </w:p>
          <w:p w14:paraId="0D3251CC">
            <w:pPr>
              <w:pStyle w:val="10"/>
              <w:keepNext w:val="0"/>
              <w:keepLines w:val="0"/>
              <w:pageBreakBefore w:val="0"/>
              <w:kinsoku/>
              <w:wordWrap/>
              <w:overflowPunct/>
              <w:topLinePunct w:val="0"/>
              <w:autoSpaceDE/>
              <w:autoSpaceDN/>
              <w:bidi w:val="0"/>
              <w:adjustRightInd w:val="0"/>
              <w:snapToGrid/>
              <w:spacing w:before="0" w:after="0" w:line="240" w:lineRule="auto"/>
              <w:ind w:right="0"/>
              <w:jc w:val="center"/>
              <w:textAlignment w:val="auto"/>
              <w:rPr>
                <w:rFonts w:hint="default" w:ascii="Times New Roman" w:hAnsi="Times New Roman" w:cs="Times New Roman"/>
                <w:bCs/>
                <w:color w:val="auto"/>
                <w:sz w:val="24"/>
                <w:highlight w:val="none"/>
              </w:rPr>
            </w:pPr>
            <w:r>
              <w:rPr>
                <w:color w:val="auto"/>
              </w:rPr>
              <w:drawing>
                <wp:inline distT="0" distB="0" distL="114300" distR="114300">
                  <wp:extent cx="4952365" cy="3229610"/>
                  <wp:effectExtent l="9525" t="9525" r="10160" b="1841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32"/>
                          <a:stretch>
                            <a:fillRect/>
                          </a:stretch>
                        </pic:blipFill>
                        <pic:spPr>
                          <a:xfrm>
                            <a:off x="0" y="0"/>
                            <a:ext cx="4952365" cy="3229610"/>
                          </a:xfrm>
                          <a:prstGeom prst="rect">
                            <a:avLst/>
                          </a:prstGeom>
                          <a:noFill/>
                          <a:ln>
                            <a:solidFill>
                              <a:schemeClr val="tx1"/>
                            </a:solidFill>
                          </a:ln>
                        </pic:spPr>
                      </pic:pic>
                    </a:graphicData>
                  </a:graphic>
                </wp:inline>
              </w:drawing>
            </w:r>
          </w:p>
          <w:p w14:paraId="089750F4">
            <w:pPr>
              <w:keepNext w:val="0"/>
              <w:keepLines w:val="0"/>
              <w:pageBreakBefore w:val="0"/>
              <w:widowControl w:val="0"/>
              <w:kinsoku/>
              <w:wordWrap/>
              <w:overflowPunct/>
              <w:topLinePunct w:val="0"/>
              <w:autoSpaceDE/>
              <w:autoSpaceDN/>
              <w:bidi w:val="0"/>
              <w:adjustRightInd w:val="0"/>
              <w:snapToGrid/>
              <w:spacing w:after="157" w:afterLines="50" w:line="240" w:lineRule="auto"/>
              <w:ind w:right="0"/>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图4-1 厂界噪声贡献值预测结果图</w:t>
            </w:r>
          </w:p>
          <w:p w14:paraId="0BCBEA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bCs/>
                <w:color w:val="auto"/>
                <w:sz w:val="24"/>
                <w:szCs w:val="24"/>
                <w:highlight w:val="none"/>
                <w:lang w:val="en-US" w:eastAsia="zh-CN"/>
              </w:rPr>
            </w:pPr>
            <w:r>
              <w:rPr>
                <w:bCs/>
                <w:color w:val="auto"/>
                <w:sz w:val="24"/>
                <w:szCs w:val="24"/>
                <w:highlight w:val="none"/>
              </w:rPr>
              <w:t>项目周围50m范围内声环境保护目标</w:t>
            </w:r>
            <w:r>
              <w:rPr>
                <w:rFonts w:hint="eastAsia"/>
                <w:bCs/>
                <w:color w:val="auto"/>
                <w:sz w:val="24"/>
                <w:szCs w:val="24"/>
                <w:highlight w:val="none"/>
                <w:lang w:val="en-US" w:eastAsia="zh-CN"/>
              </w:rPr>
              <w:t>为项目东北侧的园区办公楼，与本项目直线距离约为45m</w:t>
            </w:r>
            <w:r>
              <w:rPr>
                <w:bCs/>
                <w:color w:val="auto"/>
                <w:sz w:val="24"/>
                <w:szCs w:val="24"/>
                <w:highlight w:val="none"/>
              </w:rPr>
              <w:t>，</w:t>
            </w:r>
            <w:r>
              <w:rPr>
                <w:rFonts w:hint="eastAsia"/>
                <w:bCs/>
                <w:color w:val="auto"/>
                <w:sz w:val="24"/>
                <w:szCs w:val="24"/>
                <w:highlight w:val="none"/>
                <w:lang w:val="en-US" w:eastAsia="zh-CN"/>
              </w:rPr>
              <w:t>敏感点噪声预测结果如下表所示。</w:t>
            </w:r>
          </w:p>
          <w:p w14:paraId="7E1021A1">
            <w:pPr>
              <w:pStyle w:val="65"/>
              <w:tabs>
                <w:tab w:val="left" w:pos="4305"/>
              </w:tabs>
              <w:spacing w:after="0" w:line="240" w:lineRule="auto"/>
              <w:ind w:left="0" w:lef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4-</w:t>
            </w:r>
            <w:r>
              <w:rPr>
                <w:rFonts w:hint="eastAsia" w:eastAsia="宋体" w:cs="Times New Roman"/>
                <w:b/>
                <w:bCs/>
                <w:color w:val="auto"/>
                <w:sz w:val="21"/>
                <w:szCs w:val="21"/>
                <w:highlight w:val="none"/>
                <w:lang w:val="en-US" w:eastAsia="zh-CN"/>
              </w:rPr>
              <w:t>18</w:t>
            </w:r>
            <w:r>
              <w:rPr>
                <w:rFonts w:hint="default" w:ascii="Times New Roman" w:hAnsi="Times New Roman" w:eastAsia="宋体" w:cs="Times New Roman"/>
                <w:b/>
                <w:bCs/>
                <w:color w:val="auto"/>
                <w:sz w:val="21"/>
                <w:szCs w:val="21"/>
                <w:highlight w:val="none"/>
                <w:lang w:val="en-US" w:eastAsia="zh-CN"/>
              </w:rPr>
              <w:t xml:space="preserve"> 敏感点</w:t>
            </w:r>
            <w:r>
              <w:rPr>
                <w:rFonts w:hint="default" w:ascii="Times New Roman" w:hAnsi="Times New Roman" w:eastAsia="宋体" w:cs="Times New Roman"/>
                <w:b/>
                <w:bCs/>
                <w:color w:val="auto"/>
                <w:sz w:val="21"/>
                <w:szCs w:val="21"/>
                <w:highlight w:val="none"/>
                <w:lang w:eastAsia="zh-CN"/>
              </w:rPr>
              <w:t>噪声预测结果一览表    单位：dB(A)</w:t>
            </w:r>
          </w:p>
          <w:tbl>
            <w:tblPr>
              <w:tblStyle w:val="22"/>
              <w:tblW w:w="50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759"/>
              <w:gridCol w:w="760"/>
              <w:gridCol w:w="686"/>
              <w:gridCol w:w="712"/>
              <w:gridCol w:w="793"/>
              <w:gridCol w:w="861"/>
              <w:gridCol w:w="831"/>
              <w:gridCol w:w="818"/>
              <w:gridCol w:w="1141"/>
            </w:tblGrid>
            <w:tr w14:paraId="34D4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74" w:type="pct"/>
                  <w:noWrap w:val="0"/>
                  <w:vAlign w:val="center"/>
                </w:tcPr>
                <w:p w14:paraId="7DF5A980">
                  <w:pPr>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rPr>
                    <w:t>预测点</w:t>
                  </w:r>
                </w:p>
              </w:tc>
              <w:tc>
                <w:tcPr>
                  <w:tcW w:w="913" w:type="pct"/>
                  <w:gridSpan w:val="2"/>
                  <w:noWrap w:val="0"/>
                  <w:vAlign w:val="center"/>
                </w:tcPr>
                <w:p w14:paraId="3BA0780A">
                  <w:pPr>
                    <w:adjustRightInd w:val="0"/>
                    <w:snapToGrid w:val="0"/>
                    <w:spacing w:line="240" w:lineRule="auto"/>
                    <w:ind w:firstLine="0" w:firstLineChars="0"/>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贡献值</w:t>
                  </w:r>
                </w:p>
              </w:tc>
              <w:tc>
                <w:tcPr>
                  <w:tcW w:w="840" w:type="pct"/>
                  <w:gridSpan w:val="2"/>
                  <w:noWrap w:val="0"/>
                  <w:vAlign w:val="center"/>
                </w:tcPr>
                <w:p w14:paraId="031E0CE0">
                  <w:pPr>
                    <w:adjustRightInd w:val="0"/>
                    <w:snapToGrid w:val="0"/>
                    <w:spacing w:line="240" w:lineRule="auto"/>
                    <w:ind w:firstLine="0" w:firstLineChars="0"/>
                    <w:jc w:val="center"/>
                    <w:rPr>
                      <w:b/>
                      <w:bCs/>
                      <w:color w:val="auto"/>
                      <w:sz w:val="21"/>
                      <w:szCs w:val="21"/>
                      <w:highlight w:val="none"/>
                    </w:rPr>
                  </w:pPr>
                  <w:r>
                    <w:rPr>
                      <w:rFonts w:hint="eastAsia"/>
                      <w:b/>
                      <w:bCs/>
                      <w:color w:val="auto"/>
                      <w:sz w:val="21"/>
                      <w:szCs w:val="21"/>
                      <w:highlight w:val="none"/>
                      <w:lang w:val="en-US" w:eastAsia="zh-CN"/>
                    </w:rPr>
                    <w:t>背景值</w:t>
                  </w:r>
                </w:p>
              </w:tc>
              <w:tc>
                <w:tcPr>
                  <w:tcW w:w="994" w:type="pct"/>
                  <w:gridSpan w:val="2"/>
                  <w:noWrap w:val="0"/>
                  <w:vAlign w:val="center"/>
                </w:tcPr>
                <w:p w14:paraId="67880469">
                  <w:pPr>
                    <w:adjustRightInd w:val="0"/>
                    <w:snapToGrid w:val="0"/>
                    <w:spacing w:line="240" w:lineRule="auto"/>
                    <w:ind w:firstLine="0" w:firstLineChars="0"/>
                    <w:jc w:val="center"/>
                    <w:rPr>
                      <w:b/>
                      <w:bCs/>
                      <w:color w:val="auto"/>
                      <w:sz w:val="21"/>
                      <w:szCs w:val="21"/>
                      <w:highlight w:val="none"/>
                    </w:rPr>
                  </w:pPr>
                  <w:r>
                    <w:rPr>
                      <w:rFonts w:hint="eastAsia"/>
                      <w:b/>
                      <w:bCs/>
                      <w:color w:val="auto"/>
                      <w:sz w:val="21"/>
                      <w:szCs w:val="21"/>
                      <w:highlight w:val="none"/>
                      <w:lang w:val="en-US" w:eastAsia="zh-CN"/>
                    </w:rPr>
                    <w:t>预测</w:t>
                  </w:r>
                  <w:r>
                    <w:rPr>
                      <w:b/>
                      <w:bCs/>
                      <w:color w:val="auto"/>
                      <w:sz w:val="21"/>
                      <w:szCs w:val="21"/>
                      <w:highlight w:val="none"/>
                    </w:rPr>
                    <w:t>值</w:t>
                  </w:r>
                </w:p>
              </w:tc>
              <w:tc>
                <w:tcPr>
                  <w:tcW w:w="991" w:type="pct"/>
                  <w:gridSpan w:val="2"/>
                  <w:noWrap w:val="0"/>
                  <w:vAlign w:val="center"/>
                </w:tcPr>
                <w:p w14:paraId="1A933FAA">
                  <w:pPr>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rPr>
                    <w:t>标准值</w:t>
                  </w:r>
                </w:p>
              </w:tc>
              <w:tc>
                <w:tcPr>
                  <w:tcW w:w="685" w:type="pct"/>
                  <w:noWrap w:val="0"/>
                  <w:vAlign w:val="center"/>
                </w:tcPr>
                <w:p w14:paraId="498EC056">
                  <w:pPr>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rPr>
                    <w:t>达标情况</w:t>
                  </w:r>
                </w:p>
              </w:tc>
            </w:tr>
            <w:tr w14:paraId="13B60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74" w:type="pct"/>
                  <w:noWrap w:val="0"/>
                  <w:vAlign w:val="center"/>
                </w:tcPr>
                <w:p w14:paraId="58DD43A5">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园区办公楼</w:t>
                  </w:r>
                </w:p>
              </w:tc>
              <w:tc>
                <w:tcPr>
                  <w:tcW w:w="456" w:type="pct"/>
                  <w:noWrap w:val="0"/>
                  <w:vAlign w:val="center"/>
                </w:tcPr>
                <w:p w14:paraId="1E5F864B">
                  <w:pPr>
                    <w:pStyle w:val="81"/>
                    <w:spacing w:before="24" w:after="24"/>
                    <w:rPr>
                      <w:rFonts w:hint="eastAsia"/>
                      <w:color w:val="auto"/>
                      <w:kern w:val="2"/>
                      <w:sz w:val="21"/>
                      <w:szCs w:val="21"/>
                      <w:highlight w:val="none"/>
                      <w:lang w:val="en-US" w:eastAsia="zh-CN" w:bidi="ar-SA"/>
                    </w:rPr>
                  </w:pPr>
                  <w:r>
                    <w:rPr>
                      <w:color w:val="auto"/>
                      <w:highlight w:val="none"/>
                    </w:rPr>
                    <w:t>昼间</w:t>
                  </w:r>
                </w:p>
              </w:tc>
              <w:tc>
                <w:tcPr>
                  <w:tcW w:w="456" w:type="pct"/>
                  <w:noWrap w:val="0"/>
                  <w:vAlign w:val="center"/>
                </w:tcPr>
                <w:p w14:paraId="1D137674">
                  <w:pPr>
                    <w:widowControl/>
                    <w:adjustRightInd w:val="0"/>
                    <w:snapToGrid w:val="0"/>
                    <w:spacing w:line="240" w:lineRule="auto"/>
                    <w:ind w:firstLine="0" w:firstLineChars="0"/>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27.06</w:t>
                  </w:r>
                </w:p>
              </w:tc>
              <w:tc>
                <w:tcPr>
                  <w:tcW w:w="412" w:type="pct"/>
                  <w:noWrap w:val="0"/>
                  <w:vAlign w:val="center"/>
                </w:tcPr>
                <w:p w14:paraId="63A2AFB2">
                  <w:pPr>
                    <w:pStyle w:val="81"/>
                    <w:spacing w:before="24" w:after="24"/>
                    <w:rPr>
                      <w:rFonts w:hint="eastAsia"/>
                      <w:color w:val="auto"/>
                      <w:kern w:val="2"/>
                      <w:sz w:val="21"/>
                      <w:szCs w:val="21"/>
                      <w:highlight w:val="none"/>
                      <w:lang w:val="en-US" w:eastAsia="zh-CN" w:bidi="ar-SA"/>
                    </w:rPr>
                  </w:pPr>
                  <w:r>
                    <w:rPr>
                      <w:color w:val="auto"/>
                      <w:highlight w:val="none"/>
                    </w:rPr>
                    <w:t>昼间</w:t>
                  </w:r>
                </w:p>
              </w:tc>
              <w:tc>
                <w:tcPr>
                  <w:tcW w:w="428" w:type="pct"/>
                  <w:noWrap w:val="0"/>
                  <w:vAlign w:val="center"/>
                </w:tcPr>
                <w:p w14:paraId="7AF44C82">
                  <w:pPr>
                    <w:widowControl/>
                    <w:adjustRightInd w:val="0"/>
                    <w:snapToGrid w:val="0"/>
                    <w:spacing w:line="240" w:lineRule="auto"/>
                    <w:ind w:firstLine="0" w:firstLineChars="0"/>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53</w:t>
                  </w:r>
                </w:p>
              </w:tc>
              <w:tc>
                <w:tcPr>
                  <w:tcW w:w="476" w:type="pct"/>
                  <w:noWrap w:val="0"/>
                  <w:vAlign w:val="center"/>
                </w:tcPr>
                <w:p w14:paraId="59910A04">
                  <w:pPr>
                    <w:pStyle w:val="81"/>
                    <w:spacing w:before="24" w:after="24"/>
                    <w:rPr>
                      <w:rFonts w:hint="default"/>
                      <w:color w:val="auto"/>
                      <w:kern w:val="2"/>
                      <w:sz w:val="21"/>
                      <w:szCs w:val="21"/>
                      <w:highlight w:val="none"/>
                      <w:lang w:val="en-US" w:eastAsia="zh-CN" w:bidi="ar-SA"/>
                    </w:rPr>
                  </w:pPr>
                  <w:r>
                    <w:rPr>
                      <w:color w:val="auto"/>
                      <w:highlight w:val="none"/>
                    </w:rPr>
                    <w:t>昼间</w:t>
                  </w:r>
                </w:p>
              </w:tc>
              <w:tc>
                <w:tcPr>
                  <w:tcW w:w="517" w:type="pct"/>
                  <w:noWrap w:val="0"/>
                  <w:vAlign w:val="center"/>
                </w:tcPr>
                <w:p w14:paraId="70FD9CB8">
                  <w:pPr>
                    <w:widowControl/>
                    <w:adjustRightInd w:val="0"/>
                    <w:snapToGrid w:val="0"/>
                    <w:spacing w:line="240" w:lineRule="auto"/>
                    <w:ind w:firstLine="0" w:firstLineChars="0"/>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53..01</w:t>
                  </w:r>
                </w:p>
              </w:tc>
              <w:tc>
                <w:tcPr>
                  <w:tcW w:w="499" w:type="pct"/>
                  <w:noWrap w:val="0"/>
                  <w:vAlign w:val="center"/>
                </w:tcPr>
                <w:p w14:paraId="539C2C6F">
                  <w:pPr>
                    <w:adjustRightInd w:val="0"/>
                    <w:snapToGrid w:val="0"/>
                    <w:spacing w:line="240" w:lineRule="auto"/>
                    <w:ind w:firstLine="0" w:firstLineChars="0"/>
                    <w:jc w:val="center"/>
                    <w:rPr>
                      <w:rFonts w:hint="default"/>
                      <w:color w:val="auto"/>
                      <w:highlight w:val="none"/>
                      <w:lang w:val="en-US" w:eastAsia="zh-CN"/>
                    </w:rPr>
                  </w:pPr>
                  <w:r>
                    <w:rPr>
                      <w:color w:val="auto"/>
                      <w:highlight w:val="none"/>
                    </w:rPr>
                    <w:t>昼间</w:t>
                  </w:r>
                </w:p>
              </w:tc>
              <w:tc>
                <w:tcPr>
                  <w:tcW w:w="491" w:type="pct"/>
                  <w:noWrap w:val="0"/>
                  <w:vAlign w:val="center"/>
                </w:tcPr>
                <w:p w14:paraId="12134797">
                  <w:pPr>
                    <w:adjustRightInd w:val="0"/>
                    <w:snapToGrid w:val="0"/>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60</w:t>
                  </w:r>
                </w:p>
              </w:tc>
              <w:tc>
                <w:tcPr>
                  <w:tcW w:w="685" w:type="pct"/>
                  <w:noWrap w:val="0"/>
                  <w:vAlign w:val="center"/>
                </w:tcPr>
                <w:p w14:paraId="43940196">
                  <w:pPr>
                    <w:adjustRightInd w:val="0"/>
                    <w:snapToGrid w:val="0"/>
                    <w:spacing w:line="240" w:lineRule="auto"/>
                    <w:ind w:firstLine="0" w:firstLineChars="0"/>
                    <w:jc w:val="center"/>
                    <w:rPr>
                      <w:color w:val="auto"/>
                      <w:sz w:val="21"/>
                      <w:szCs w:val="21"/>
                      <w:highlight w:val="none"/>
                    </w:rPr>
                  </w:pPr>
                  <w:r>
                    <w:rPr>
                      <w:color w:val="auto"/>
                      <w:sz w:val="21"/>
                      <w:szCs w:val="21"/>
                      <w:highlight w:val="none"/>
                    </w:rPr>
                    <w:t>达标</w:t>
                  </w:r>
                </w:p>
              </w:tc>
            </w:tr>
            <w:tr w14:paraId="2A3C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5000" w:type="pct"/>
                  <w:gridSpan w:val="10"/>
                  <w:noWrap w:val="0"/>
                  <w:vAlign w:val="center"/>
                </w:tcPr>
                <w:p w14:paraId="4EB64D6B">
                  <w:pPr>
                    <w:adjustRightInd w:val="0"/>
                    <w:snapToGrid w:val="0"/>
                    <w:spacing w:line="240" w:lineRule="auto"/>
                    <w:ind w:firstLine="0" w:firstLineChars="0"/>
                    <w:jc w:val="left"/>
                    <w:rPr>
                      <w:rFonts w:hint="default"/>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注：</w:t>
                  </w:r>
                  <w:r>
                    <w:rPr>
                      <w:rFonts w:hint="eastAsia" w:ascii="Times New Roman" w:hAnsi="Times New Roman" w:eastAsia="宋体" w:cs="Times New Roman"/>
                      <w:color w:val="auto"/>
                      <w:sz w:val="21"/>
                      <w:szCs w:val="21"/>
                      <w:highlight w:val="none"/>
                      <w:lang w:eastAsia="zh-CN"/>
                    </w:rPr>
                    <w:t>敏感点背景值为</w:t>
                  </w:r>
                  <w:r>
                    <w:rPr>
                      <w:rFonts w:hint="default" w:ascii="Times New Roman" w:hAnsi="Times New Roman" w:eastAsia="宋体" w:cs="Times New Roman"/>
                      <w:color w:val="auto"/>
                      <w:sz w:val="21"/>
                      <w:szCs w:val="21"/>
                      <w:highlight w:val="none"/>
                    </w:rPr>
                    <w:t>云南环普检测科技有限公司于</w:t>
                  </w: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年</w:t>
                  </w:r>
                  <w:r>
                    <w:rPr>
                      <w:rFonts w:hint="eastAsia"/>
                      <w:color w:val="auto"/>
                      <w:sz w:val="21"/>
                      <w:szCs w:val="21"/>
                      <w:highlight w:val="none"/>
                      <w:lang w:val="en-US" w:eastAsia="zh-CN"/>
                    </w:rPr>
                    <w:t>11</w:t>
                  </w:r>
                  <w:r>
                    <w:rPr>
                      <w:rFonts w:hint="eastAsia"/>
                      <w:color w:val="auto"/>
                      <w:sz w:val="21"/>
                      <w:szCs w:val="21"/>
                      <w:highlight w:val="none"/>
                    </w:rPr>
                    <w:t>月</w:t>
                  </w:r>
                  <w:r>
                    <w:rPr>
                      <w:rFonts w:hint="eastAsia"/>
                      <w:color w:val="auto"/>
                      <w:sz w:val="21"/>
                      <w:szCs w:val="21"/>
                      <w:highlight w:val="none"/>
                      <w:lang w:val="en-US" w:eastAsia="zh-CN"/>
                    </w:rPr>
                    <w:t>23日</w:t>
                  </w:r>
                  <w:r>
                    <w:rPr>
                      <w:rFonts w:hint="default" w:ascii="Times New Roman" w:hAnsi="Times New Roman" w:eastAsia="宋体" w:cs="Times New Roman"/>
                      <w:color w:val="auto"/>
                      <w:sz w:val="21"/>
                      <w:szCs w:val="21"/>
                      <w:highlight w:val="none"/>
                    </w:rPr>
                    <w:t>对项目</w:t>
                  </w:r>
                  <w:r>
                    <w:rPr>
                      <w:rFonts w:hint="eastAsia" w:ascii="Times New Roman" w:hAnsi="Times New Roman" w:eastAsia="宋体" w:cs="Times New Roman"/>
                      <w:color w:val="auto"/>
                      <w:sz w:val="21"/>
                      <w:szCs w:val="21"/>
                      <w:highlight w:val="none"/>
                      <w:lang w:eastAsia="zh-CN"/>
                    </w:rPr>
                    <w:t>区</w:t>
                  </w:r>
                  <w:r>
                    <w:rPr>
                      <w:rFonts w:hint="eastAsia" w:cs="Times New Roman"/>
                      <w:color w:val="auto"/>
                      <w:sz w:val="21"/>
                      <w:szCs w:val="21"/>
                      <w:highlight w:val="none"/>
                      <w:lang w:val="en-US" w:eastAsia="zh-CN"/>
                    </w:rPr>
                    <w:t>东北</w:t>
                  </w:r>
                  <w:r>
                    <w:rPr>
                      <w:rFonts w:hint="eastAsia" w:ascii="Times New Roman" w:hAnsi="Times New Roman" w:eastAsia="宋体" w:cs="Times New Roman"/>
                      <w:color w:val="auto"/>
                      <w:sz w:val="21"/>
                      <w:szCs w:val="21"/>
                      <w:highlight w:val="none"/>
                      <w:lang w:eastAsia="zh-CN"/>
                    </w:rPr>
                    <w:t>侧敏感点</w:t>
                  </w:r>
                  <w:r>
                    <w:rPr>
                      <w:rFonts w:hint="eastAsia" w:cs="Times New Roman"/>
                      <w:color w:val="auto"/>
                      <w:sz w:val="21"/>
                      <w:szCs w:val="21"/>
                      <w:highlight w:val="none"/>
                      <w:lang w:val="en-US" w:eastAsia="zh-CN"/>
                    </w:rPr>
                    <w:t>园区办公楼</w:t>
                  </w:r>
                  <w:r>
                    <w:rPr>
                      <w:rFonts w:hint="default" w:ascii="Times New Roman" w:hAnsi="Times New Roman" w:eastAsia="宋体" w:cs="Times New Roman"/>
                      <w:color w:val="auto"/>
                      <w:sz w:val="21"/>
                      <w:szCs w:val="21"/>
                      <w:highlight w:val="none"/>
                    </w:rPr>
                    <w:t>现状监测结果</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贡献值为本项目</w:t>
                  </w:r>
                  <w:r>
                    <w:rPr>
                      <w:rFonts w:hint="eastAsia" w:cs="Times New Roman"/>
                      <w:color w:val="auto"/>
                      <w:sz w:val="21"/>
                      <w:szCs w:val="21"/>
                      <w:highlight w:val="none"/>
                      <w:lang w:val="en-US" w:eastAsia="zh-CN"/>
                    </w:rPr>
                    <w:t>东</w:t>
                  </w:r>
                  <w:r>
                    <w:rPr>
                      <w:rFonts w:hint="eastAsia" w:ascii="Times New Roman" w:hAnsi="Times New Roman" w:eastAsia="宋体" w:cs="Times New Roman"/>
                      <w:color w:val="auto"/>
                      <w:sz w:val="21"/>
                      <w:szCs w:val="21"/>
                      <w:highlight w:val="none"/>
                      <w:lang w:val="en-US" w:eastAsia="zh-CN"/>
                    </w:rPr>
                    <w:t>侧</w:t>
                  </w:r>
                  <w:r>
                    <w:rPr>
                      <w:rFonts w:hint="eastAsia" w:cs="Times New Roman"/>
                      <w:color w:val="auto"/>
                      <w:sz w:val="21"/>
                      <w:szCs w:val="21"/>
                      <w:highlight w:val="none"/>
                      <w:lang w:val="en-US" w:eastAsia="zh-CN"/>
                    </w:rPr>
                    <w:t>、南侧</w:t>
                  </w:r>
                  <w:r>
                    <w:rPr>
                      <w:rFonts w:hint="eastAsia" w:ascii="Times New Roman" w:hAnsi="Times New Roman" w:eastAsia="宋体" w:cs="Times New Roman"/>
                      <w:color w:val="auto"/>
                      <w:sz w:val="21"/>
                      <w:szCs w:val="21"/>
                      <w:highlight w:val="none"/>
                      <w:lang w:val="en-US" w:eastAsia="zh-CN"/>
                    </w:rPr>
                    <w:t>厂界噪声</w:t>
                  </w:r>
                  <w:r>
                    <w:rPr>
                      <w:rFonts w:hint="eastAsia" w:cs="Times New Roman"/>
                      <w:color w:val="auto"/>
                      <w:sz w:val="21"/>
                      <w:szCs w:val="21"/>
                      <w:highlight w:val="none"/>
                      <w:lang w:val="en-US" w:eastAsia="zh-CN"/>
                    </w:rPr>
                    <w:t>叠加后的</w:t>
                  </w:r>
                  <w:r>
                    <w:rPr>
                      <w:rFonts w:hint="eastAsia" w:ascii="Times New Roman" w:hAnsi="Times New Roman" w:eastAsia="宋体" w:cs="Times New Roman"/>
                      <w:color w:val="auto"/>
                      <w:sz w:val="21"/>
                      <w:szCs w:val="21"/>
                      <w:highlight w:val="none"/>
                      <w:lang w:val="en-US" w:eastAsia="zh-CN"/>
                    </w:rPr>
                    <w:t>贡献值距离衰减后至敏感点的贡献值。</w:t>
                  </w:r>
                </w:p>
              </w:tc>
            </w:tr>
          </w:tbl>
          <w:p w14:paraId="659B9F55">
            <w:pPr>
              <w:adjustRightInd w:val="0"/>
              <w:snapToGrid w:val="0"/>
              <w:spacing w:line="360" w:lineRule="auto"/>
              <w:ind w:firstLine="480" w:firstLineChars="200"/>
              <w:rPr>
                <w:rFonts w:hint="default" w:eastAsia="宋体"/>
                <w:bCs/>
                <w:color w:val="auto"/>
                <w:sz w:val="24"/>
                <w:highlight w:val="none"/>
                <w:lang w:val="en-US" w:eastAsia="zh-CN"/>
              </w:rPr>
            </w:pPr>
            <w:r>
              <w:rPr>
                <w:rFonts w:hint="eastAsia"/>
                <w:bCs/>
                <w:color w:val="auto"/>
                <w:sz w:val="24"/>
                <w:highlight w:val="none"/>
                <w:lang w:val="en-US" w:eastAsia="zh-CN"/>
              </w:rPr>
              <w:t>根据预测结果，本项目投入运行后，敏感点园区办公楼仍可满足</w:t>
            </w:r>
            <w:r>
              <w:rPr>
                <w:rFonts w:hint="eastAsia" w:ascii="Times New Roman" w:hAnsi="Times New Roman" w:eastAsia="宋体" w:cs="Times New Roman"/>
                <w:b w:val="0"/>
                <w:bCs w:val="0"/>
                <w:color w:val="auto"/>
                <w:kern w:val="2"/>
                <w:sz w:val="24"/>
                <w:szCs w:val="24"/>
                <w:highlight w:val="none"/>
                <w:lang w:val="en-US" w:eastAsia="zh-CN" w:bidi="ar-SA"/>
              </w:rPr>
              <w:t>《声环境质量标准》（GB3096-2008）2类标准要求。本项目运行过程中的噪声对敏感点</w:t>
            </w:r>
            <w:r>
              <w:rPr>
                <w:rFonts w:hint="eastAsia"/>
                <w:bCs/>
                <w:color w:val="auto"/>
                <w:sz w:val="24"/>
                <w:highlight w:val="none"/>
                <w:lang w:val="en-US" w:eastAsia="zh-CN"/>
              </w:rPr>
              <w:t>园区办公楼</w:t>
            </w:r>
            <w:r>
              <w:rPr>
                <w:rFonts w:hint="eastAsia" w:ascii="Times New Roman" w:hAnsi="Times New Roman" w:eastAsia="宋体" w:cs="Times New Roman"/>
                <w:b w:val="0"/>
                <w:bCs w:val="0"/>
                <w:color w:val="auto"/>
                <w:kern w:val="2"/>
                <w:sz w:val="24"/>
                <w:szCs w:val="24"/>
                <w:highlight w:val="none"/>
                <w:lang w:val="en-US" w:eastAsia="zh-CN" w:bidi="ar-SA"/>
              </w:rPr>
              <w:t>的影响可接受。</w:t>
            </w:r>
          </w:p>
          <w:p w14:paraId="18493A9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rPr>
            </w:pPr>
            <w:r>
              <w:rPr>
                <w:rFonts w:hint="eastAsia"/>
                <w:b/>
                <w:bCs/>
                <w:color w:val="auto"/>
                <w:sz w:val="24"/>
                <w:lang w:val="en-US" w:eastAsia="zh-CN"/>
              </w:rPr>
              <w:t>4、</w:t>
            </w:r>
            <w:r>
              <w:rPr>
                <w:b/>
                <w:bCs/>
                <w:color w:val="auto"/>
                <w:sz w:val="24"/>
              </w:rPr>
              <w:t>监测要求</w:t>
            </w:r>
          </w:p>
          <w:p w14:paraId="4AF82A18">
            <w:pPr>
              <w:autoSpaceDE w:val="0"/>
              <w:autoSpaceDN w:val="0"/>
              <w:adjustRightInd w:val="0"/>
              <w:snapToGrid w:val="0"/>
              <w:spacing w:line="360" w:lineRule="auto"/>
              <w:ind w:firstLine="480" w:firstLineChars="200"/>
              <w:rPr>
                <w:bCs/>
                <w:color w:val="auto"/>
                <w:sz w:val="24"/>
              </w:rPr>
            </w:pPr>
            <w:r>
              <w:rPr>
                <w:rFonts w:hint="eastAsia"/>
                <w:bCs/>
                <w:color w:val="auto"/>
                <w:sz w:val="24"/>
                <w:lang w:val="en-US" w:eastAsia="zh-CN"/>
              </w:rPr>
              <w:t>根据</w:t>
            </w:r>
            <w:r>
              <w:rPr>
                <w:rFonts w:hint="default" w:ascii="Times New Roman" w:hAnsi="Times New Roman" w:cs="Times New Roman"/>
                <w:color w:val="auto"/>
                <w:sz w:val="24"/>
                <w:lang w:eastAsia="zh-CN"/>
              </w:rPr>
              <w:t>《排污单位自行监测技术指南 酒、饮料制造》（HJ 1085-2020）</w:t>
            </w:r>
            <w:r>
              <w:rPr>
                <w:rFonts w:hint="eastAsia" w:cs="Times New Roman"/>
                <w:color w:val="auto"/>
                <w:sz w:val="24"/>
                <w:lang w:eastAsia="zh-CN"/>
              </w:rPr>
              <w:t>、</w:t>
            </w:r>
            <w:r>
              <w:rPr>
                <w:rFonts w:hint="eastAsia"/>
                <w:color w:val="auto"/>
                <w:sz w:val="24"/>
                <w:lang w:eastAsia="zh-CN"/>
              </w:rPr>
              <w:t>《</w:t>
            </w:r>
            <w:r>
              <w:rPr>
                <w:rFonts w:hint="eastAsia"/>
                <w:color w:val="auto"/>
                <w:sz w:val="24"/>
                <w:lang w:val="en-US" w:eastAsia="zh-CN"/>
              </w:rPr>
              <w:t>排污单位自行监测技术指南 火力发电及锅炉</w:t>
            </w:r>
            <w:r>
              <w:rPr>
                <w:rFonts w:hint="eastAsia"/>
                <w:color w:val="auto"/>
                <w:sz w:val="24"/>
                <w:lang w:eastAsia="zh-CN"/>
              </w:rPr>
              <w:t>》（</w:t>
            </w:r>
            <w:r>
              <w:rPr>
                <w:rFonts w:hint="eastAsia"/>
                <w:color w:val="auto"/>
                <w:sz w:val="24"/>
                <w:lang w:val="en-US" w:eastAsia="zh-CN"/>
              </w:rPr>
              <w:t>HJ820-2017</w:t>
            </w:r>
            <w:r>
              <w:rPr>
                <w:rFonts w:hint="eastAsia"/>
                <w:color w:val="auto"/>
                <w:sz w:val="24"/>
                <w:lang w:eastAsia="zh-CN"/>
              </w:rPr>
              <w:t>）</w:t>
            </w:r>
            <w:r>
              <w:rPr>
                <w:bCs/>
                <w:color w:val="auto"/>
                <w:sz w:val="24"/>
              </w:rPr>
              <w:t>中的监测要求，自行监测计划如下。</w:t>
            </w:r>
          </w:p>
          <w:p w14:paraId="45F93029">
            <w:pPr>
              <w:adjustRightInd w:val="0"/>
              <w:snapToGrid w:val="0"/>
              <w:spacing w:line="240" w:lineRule="auto"/>
              <w:jc w:val="center"/>
              <w:rPr>
                <w:b/>
                <w:bCs/>
                <w:color w:val="auto"/>
                <w:szCs w:val="21"/>
              </w:rPr>
            </w:pPr>
            <w:r>
              <w:rPr>
                <w:b/>
                <w:bCs/>
                <w:color w:val="auto"/>
                <w:szCs w:val="21"/>
                <w:highlight w:val="none"/>
              </w:rPr>
              <w:t>表4-</w:t>
            </w:r>
            <w:r>
              <w:rPr>
                <w:rFonts w:hint="eastAsia"/>
                <w:b/>
                <w:bCs/>
                <w:color w:val="auto"/>
                <w:szCs w:val="21"/>
                <w:highlight w:val="none"/>
                <w:lang w:val="en-US" w:eastAsia="zh-CN"/>
              </w:rPr>
              <w:t xml:space="preserve">19 </w:t>
            </w:r>
            <w:r>
              <w:rPr>
                <w:rFonts w:hint="eastAsia"/>
                <w:b/>
                <w:bCs/>
                <w:color w:val="auto"/>
                <w:szCs w:val="21"/>
                <w:lang w:val="en-US" w:eastAsia="zh-CN"/>
              </w:rPr>
              <w:t xml:space="preserve"> </w:t>
            </w:r>
            <w:r>
              <w:rPr>
                <w:b/>
                <w:bCs/>
                <w:color w:val="auto"/>
                <w:szCs w:val="21"/>
              </w:rPr>
              <w:t>噪声自行监测计划</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1425"/>
              <w:gridCol w:w="1680"/>
              <w:gridCol w:w="3328"/>
            </w:tblGrid>
            <w:tr w14:paraId="53C7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848" w:type="dxa"/>
                  <w:vAlign w:val="center"/>
                </w:tcPr>
                <w:p w14:paraId="2078CB5A">
                  <w:pPr>
                    <w:keepNext w:val="0"/>
                    <w:keepLines w:val="0"/>
                    <w:pageBreakBefore w:val="0"/>
                    <w:kinsoku/>
                    <w:wordWrap/>
                    <w:overflowPunct/>
                    <w:topLinePunct w:val="0"/>
                    <w:autoSpaceDE/>
                    <w:autoSpaceDN/>
                    <w:bidi w:val="0"/>
                    <w:adjustRightInd w:val="0"/>
                    <w:snapToGrid w:val="0"/>
                    <w:jc w:val="center"/>
                    <w:textAlignment w:val="baseline"/>
                    <w:rPr>
                      <w:b/>
                      <w:color w:val="auto"/>
                      <w:szCs w:val="21"/>
                    </w:rPr>
                  </w:pPr>
                  <w:r>
                    <w:rPr>
                      <w:b/>
                      <w:color w:val="auto"/>
                      <w:szCs w:val="21"/>
                    </w:rPr>
                    <w:t>监测点位</w:t>
                  </w:r>
                </w:p>
              </w:tc>
              <w:tc>
                <w:tcPr>
                  <w:tcW w:w="1425" w:type="dxa"/>
                  <w:vAlign w:val="center"/>
                </w:tcPr>
                <w:p w14:paraId="3331F1AF">
                  <w:pPr>
                    <w:keepNext w:val="0"/>
                    <w:keepLines w:val="0"/>
                    <w:pageBreakBefore w:val="0"/>
                    <w:kinsoku/>
                    <w:wordWrap/>
                    <w:overflowPunct/>
                    <w:topLinePunct w:val="0"/>
                    <w:autoSpaceDE/>
                    <w:autoSpaceDN/>
                    <w:bidi w:val="0"/>
                    <w:adjustRightInd w:val="0"/>
                    <w:snapToGrid w:val="0"/>
                    <w:jc w:val="center"/>
                    <w:textAlignment w:val="baseline"/>
                    <w:rPr>
                      <w:b/>
                      <w:color w:val="auto"/>
                      <w:szCs w:val="21"/>
                    </w:rPr>
                  </w:pPr>
                  <w:r>
                    <w:rPr>
                      <w:b/>
                      <w:color w:val="auto"/>
                      <w:szCs w:val="21"/>
                    </w:rPr>
                    <w:t>监测因子</w:t>
                  </w:r>
                </w:p>
              </w:tc>
              <w:tc>
                <w:tcPr>
                  <w:tcW w:w="1680" w:type="dxa"/>
                  <w:vAlign w:val="center"/>
                </w:tcPr>
                <w:p w14:paraId="20480A31">
                  <w:pPr>
                    <w:keepNext w:val="0"/>
                    <w:keepLines w:val="0"/>
                    <w:pageBreakBefore w:val="0"/>
                    <w:kinsoku/>
                    <w:wordWrap/>
                    <w:overflowPunct/>
                    <w:topLinePunct w:val="0"/>
                    <w:autoSpaceDE/>
                    <w:autoSpaceDN/>
                    <w:bidi w:val="0"/>
                    <w:adjustRightInd w:val="0"/>
                    <w:snapToGrid w:val="0"/>
                    <w:jc w:val="center"/>
                    <w:textAlignment w:val="baseline"/>
                    <w:rPr>
                      <w:b/>
                      <w:color w:val="auto"/>
                      <w:szCs w:val="21"/>
                    </w:rPr>
                  </w:pPr>
                  <w:r>
                    <w:rPr>
                      <w:b/>
                      <w:color w:val="auto"/>
                      <w:szCs w:val="21"/>
                    </w:rPr>
                    <w:t>监测频次</w:t>
                  </w:r>
                </w:p>
              </w:tc>
              <w:tc>
                <w:tcPr>
                  <w:tcW w:w="3328" w:type="dxa"/>
                  <w:vAlign w:val="center"/>
                </w:tcPr>
                <w:p w14:paraId="67A8E07E">
                  <w:pPr>
                    <w:keepNext w:val="0"/>
                    <w:keepLines w:val="0"/>
                    <w:pageBreakBefore w:val="0"/>
                    <w:kinsoku/>
                    <w:wordWrap/>
                    <w:overflowPunct/>
                    <w:topLinePunct w:val="0"/>
                    <w:autoSpaceDE/>
                    <w:autoSpaceDN/>
                    <w:bidi w:val="0"/>
                    <w:adjustRightInd w:val="0"/>
                    <w:snapToGrid w:val="0"/>
                    <w:jc w:val="center"/>
                    <w:textAlignment w:val="baseline"/>
                    <w:rPr>
                      <w:b/>
                      <w:color w:val="auto"/>
                      <w:szCs w:val="21"/>
                    </w:rPr>
                  </w:pPr>
                  <w:r>
                    <w:rPr>
                      <w:b/>
                      <w:color w:val="auto"/>
                      <w:szCs w:val="21"/>
                    </w:rPr>
                    <w:t>执行标准</w:t>
                  </w:r>
                </w:p>
              </w:tc>
            </w:tr>
            <w:tr w14:paraId="69BE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8" w:type="dxa"/>
                  <w:vAlign w:val="center"/>
                </w:tcPr>
                <w:p w14:paraId="392C983C">
                  <w:pPr>
                    <w:keepNext w:val="0"/>
                    <w:keepLines w:val="0"/>
                    <w:pageBreakBefore w:val="0"/>
                    <w:widowControl/>
                    <w:kinsoku/>
                    <w:wordWrap/>
                    <w:overflowPunct/>
                    <w:topLinePunct w:val="0"/>
                    <w:autoSpaceDE/>
                    <w:autoSpaceDN/>
                    <w:bidi w:val="0"/>
                    <w:jc w:val="center"/>
                    <w:rPr>
                      <w:color w:val="auto"/>
                      <w:szCs w:val="21"/>
                    </w:rPr>
                  </w:pPr>
                  <w:r>
                    <w:rPr>
                      <w:color w:val="auto"/>
                      <w:szCs w:val="21"/>
                    </w:rPr>
                    <w:t>厂界</w:t>
                  </w:r>
                  <w:r>
                    <w:rPr>
                      <w:rFonts w:hint="eastAsia"/>
                      <w:color w:val="auto"/>
                      <w:szCs w:val="21"/>
                      <w:lang w:val="en-US" w:eastAsia="zh-CN"/>
                    </w:rPr>
                    <w:t>东、</w:t>
                  </w:r>
                  <w:r>
                    <w:rPr>
                      <w:color w:val="auto"/>
                      <w:szCs w:val="21"/>
                    </w:rPr>
                    <w:t>南、西、北</w:t>
                  </w:r>
                </w:p>
              </w:tc>
              <w:tc>
                <w:tcPr>
                  <w:tcW w:w="1425" w:type="dxa"/>
                  <w:vAlign w:val="center"/>
                </w:tcPr>
                <w:p w14:paraId="3C1686B8">
                  <w:pPr>
                    <w:keepNext w:val="0"/>
                    <w:keepLines w:val="0"/>
                    <w:pageBreakBefore w:val="0"/>
                    <w:widowControl/>
                    <w:kinsoku/>
                    <w:wordWrap/>
                    <w:overflowPunct/>
                    <w:topLinePunct w:val="0"/>
                    <w:autoSpaceDE/>
                    <w:autoSpaceDN/>
                    <w:bidi w:val="0"/>
                    <w:jc w:val="center"/>
                    <w:rPr>
                      <w:color w:val="auto"/>
                      <w:kern w:val="0"/>
                      <w:szCs w:val="21"/>
                    </w:rPr>
                  </w:pPr>
                  <w:r>
                    <w:rPr>
                      <w:color w:val="auto"/>
                      <w:szCs w:val="21"/>
                    </w:rPr>
                    <w:t>等效连续A声级</w:t>
                  </w:r>
                </w:p>
              </w:tc>
              <w:tc>
                <w:tcPr>
                  <w:tcW w:w="1680" w:type="dxa"/>
                  <w:vAlign w:val="center"/>
                </w:tcPr>
                <w:p w14:paraId="43CB3BB7">
                  <w:pPr>
                    <w:keepNext w:val="0"/>
                    <w:keepLines w:val="0"/>
                    <w:pageBreakBefore w:val="0"/>
                    <w:widowControl/>
                    <w:kinsoku/>
                    <w:wordWrap/>
                    <w:overflowPunct/>
                    <w:topLinePunct w:val="0"/>
                    <w:autoSpaceDE/>
                    <w:autoSpaceDN/>
                    <w:bidi w:val="0"/>
                    <w:jc w:val="center"/>
                    <w:rPr>
                      <w:color w:val="auto"/>
                      <w:szCs w:val="21"/>
                    </w:rPr>
                  </w:pPr>
                  <w:r>
                    <w:rPr>
                      <w:rFonts w:hint="eastAsia"/>
                      <w:color w:val="auto"/>
                      <w:szCs w:val="21"/>
                      <w:lang w:val="en-US" w:eastAsia="zh-CN"/>
                    </w:rPr>
                    <w:t>1次/季度</w:t>
                  </w:r>
                </w:p>
              </w:tc>
              <w:tc>
                <w:tcPr>
                  <w:tcW w:w="3328" w:type="dxa"/>
                  <w:vAlign w:val="center"/>
                </w:tcPr>
                <w:p w14:paraId="1D7AF160">
                  <w:pPr>
                    <w:keepNext w:val="0"/>
                    <w:keepLines w:val="0"/>
                    <w:pageBreakBefore w:val="0"/>
                    <w:widowControl/>
                    <w:kinsoku/>
                    <w:wordWrap/>
                    <w:overflowPunct/>
                    <w:topLinePunct w:val="0"/>
                    <w:autoSpaceDE/>
                    <w:autoSpaceDN/>
                    <w:bidi w:val="0"/>
                    <w:jc w:val="center"/>
                    <w:rPr>
                      <w:color w:val="auto"/>
                      <w:szCs w:val="21"/>
                    </w:rPr>
                  </w:pPr>
                  <w:r>
                    <w:rPr>
                      <w:color w:val="auto"/>
                      <w:szCs w:val="21"/>
                    </w:rPr>
                    <w:t>《工业企业厂界环境噪声排放标准》（GB12348-2008）</w:t>
                  </w:r>
                  <w:r>
                    <w:rPr>
                      <w:rFonts w:hint="eastAsia"/>
                      <w:color w:val="auto"/>
                      <w:szCs w:val="21"/>
                      <w:lang w:val="en-US" w:eastAsia="zh-CN"/>
                    </w:rPr>
                    <w:t>3</w:t>
                  </w:r>
                  <w:r>
                    <w:rPr>
                      <w:color w:val="auto"/>
                      <w:szCs w:val="21"/>
                    </w:rPr>
                    <w:t xml:space="preserve"> 类标准</w:t>
                  </w:r>
                </w:p>
              </w:tc>
            </w:tr>
          </w:tbl>
          <w:p w14:paraId="3375C717">
            <w:pPr>
              <w:autoSpaceDE w:val="0"/>
              <w:autoSpaceDN w:val="0"/>
              <w:spacing w:line="360" w:lineRule="auto"/>
              <w:ind w:firstLine="482" w:firstLineChars="200"/>
              <w:rPr>
                <w:rFonts w:ascii="Times New Roman" w:hAnsi="Times New Roman" w:eastAsia="宋体" w:cs="Times New Roman"/>
                <w:b/>
                <w:bCs/>
                <w:color w:val="auto"/>
                <w:sz w:val="24"/>
                <w:szCs w:val="24"/>
              </w:rPr>
            </w:pPr>
          </w:p>
          <w:p w14:paraId="7D567D74">
            <w:pPr>
              <w:autoSpaceDE w:val="0"/>
              <w:autoSpaceDN w:val="0"/>
              <w:spacing w:line="360" w:lineRule="auto"/>
              <w:ind w:firstLine="482" w:firstLineChars="200"/>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四、固废</w:t>
            </w:r>
          </w:p>
          <w:p w14:paraId="3D37A67D">
            <w:pPr>
              <w:spacing w:line="360" w:lineRule="auto"/>
              <w:ind w:firstLine="482" w:firstLineChars="200"/>
              <w:rPr>
                <w:rFonts w:hint="default"/>
                <w:b/>
                <w:bCs/>
                <w:color w:val="auto"/>
                <w:sz w:val="24"/>
                <w:szCs w:val="24"/>
                <w:lang w:val="en-US" w:eastAsia="zh-CN"/>
              </w:rPr>
            </w:pPr>
            <w:r>
              <w:rPr>
                <w:rFonts w:hint="eastAsia"/>
                <w:b/>
                <w:bCs/>
                <w:color w:val="auto"/>
                <w:sz w:val="24"/>
                <w:szCs w:val="24"/>
                <w:lang w:val="en-US" w:eastAsia="zh-CN"/>
              </w:rPr>
              <w:t>1、固废产生情况</w:t>
            </w:r>
          </w:p>
          <w:p w14:paraId="32788439">
            <w:pPr>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本项目产生固废主要为一般固废、生活固废及危险废物。</w:t>
            </w:r>
          </w:p>
          <w:p w14:paraId="37432F74">
            <w:pPr>
              <w:spacing w:line="360" w:lineRule="auto"/>
              <w:ind w:firstLine="482" w:firstLineChars="200"/>
              <w:rPr>
                <w:rFonts w:hint="default"/>
                <w:color w:val="auto"/>
                <w:sz w:val="24"/>
                <w:szCs w:val="24"/>
                <w:lang w:val="en-US" w:eastAsia="zh-CN"/>
              </w:rPr>
            </w:pPr>
            <w:r>
              <w:rPr>
                <w:rFonts w:hint="eastAsia"/>
                <w:b/>
                <w:bCs/>
                <w:color w:val="auto"/>
                <w:sz w:val="24"/>
                <w:szCs w:val="24"/>
                <w:lang w:val="en-US" w:eastAsia="zh-CN"/>
              </w:rPr>
              <w:t>（1）一般固废</w:t>
            </w:r>
          </w:p>
          <w:p w14:paraId="13775864">
            <w:pPr>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①废果、</w:t>
            </w:r>
            <w:r>
              <w:rPr>
                <w:rFonts w:hint="eastAsia" w:cs="Times New Roman"/>
                <w:b w:val="0"/>
                <w:bCs/>
                <w:color w:val="auto"/>
                <w:sz w:val="24"/>
                <w:szCs w:val="24"/>
                <w:lang w:val="en-US" w:eastAsia="zh-CN"/>
              </w:rPr>
              <w:t>废果皮、废核及废果渣（S1）</w:t>
            </w:r>
          </w:p>
          <w:p w14:paraId="4A61C3D2">
            <w:pPr>
              <w:spacing w:line="360" w:lineRule="auto"/>
              <w:ind w:firstLine="480" w:firstLineChars="200"/>
              <w:rPr>
                <w:rFonts w:hint="default" w:eastAsia="宋体"/>
                <w:color w:val="auto"/>
                <w:sz w:val="24"/>
                <w:szCs w:val="24"/>
                <w:lang w:val="en-US" w:eastAsia="zh-CN"/>
              </w:rPr>
            </w:pPr>
            <w:r>
              <w:rPr>
                <w:rFonts w:hint="eastAsia"/>
                <w:color w:val="auto"/>
                <w:sz w:val="24"/>
                <w:szCs w:val="24"/>
                <w:lang w:val="en-US" w:eastAsia="zh-CN"/>
              </w:rPr>
              <w:t>本次技改后，</w:t>
            </w:r>
            <w:r>
              <w:rPr>
                <w:rFonts w:hint="eastAsia" w:ascii="宋体" w:hAnsi="宋体" w:eastAsia="宋体" w:cs="宋体"/>
                <w:color w:val="auto"/>
                <w:sz w:val="24"/>
                <w:szCs w:val="24"/>
                <w:lang w:val="en-US" w:eastAsia="zh-CN"/>
              </w:rPr>
              <w:t>废果、</w:t>
            </w:r>
            <w:r>
              <w:rPr>
                <w:rFonts w:hint="eastAsia" w:cs="Times New Roman"/>
                <w:b w:val="0"/>
                <w:bCs/>
                <w:color w:val="auto"/>
                <w:sz w:val="24"/>
                <w:szCs w:val="24"/>
                <w:lang w:val="en-US" w:eastAsia="zh-CN"/>
              </w:rPr>
              <w:t>废果皮、废核及废果渣总产生量不变，仍为1.15万t/a，</w:t>
            </w:r>
            <w:r>
              <w:rPr>
                <w:rFonts w:hint="eastAsia" w:ascii="Times New Roman" w:hAnsi="Times New Roman"/>
                <w:bCs/>
                <w:color w:val="auto"/>
                <w:sz w:val="24"/>
                <w:szCs w:val="24"/>
                <w:lang w:val="en-US" w:eastAsia="zh-CN"/>
              </w:rPr>
              <w:t>日产日清，经统一收集后的</w:t>
            </w:r>
            <w:r>
              <w:rPr>
                <w:rFonts w:hint="eastAsia" w:ascii="宋体" w:hAnsi="宋体" w:eastAsia="宋体" w:cs="宋体"/>
                <w:color w:val="auto"/>
                <w:sz w:val="24"/>
                <w:szCs w:val="24"/>
                <w:lang w:val="en-US" w:eastAsia="zh-CN"/>
              </w:rPr>
              <w:t>废果、</w:t>
            </w:r>
            <w:r>
              <w:rPr>
                <w:rFonts w:hint="eastAsia" w:cs="Times New Roman"/>
                <w:b w:val="0"/>
                <w:bCs/>
                <w:color w:val="auto"/>
                <w:sz w:val="24"/>
                <w:szCs w:val="24"/>
                <w:lang w:val="en-US" w:eastAsia="zh-CN"/>
              </w:rPr>
              <w:t>废果皮、废核及废果渣</w:t>
            </w:r>
            <w:r>
              <w:rPr>
                <w:rFonts w:hint="eastAsia"/>
                <w:color w:val="auto"/>
                <w:sz w:val="24"/>
                <w:lang w:val="en-US" w:eastAsia="zh-CN"/>
              </w:rPr>
              <w:t>委托</w:t>
            </w:r>
            <w:r>
              <w:rPr>
                <w:rFonts w:hint="eastAsia" w:cs="Times New Roman"/>
                <w:color w:val="auto"/>
                <w:sz w:val="24"/>
                <w:szCs w:val="24"/>
                <w:highlight w:val="none"/>
                <w:lang w:val="en-US" w:eastAsia="zh-CN"/>
              </w:rPr>
              <w:t>云南元江牛歌有机肥有限公司</w:t>
            </w:r>
            <w:r>
              <w:rPr>
                <w:rFonts w:hint="eastAsia" w:ascii="Times New Roman" w:hAnsi="Times New Roman" w:eastAsia="宋体"/>
                <w:bCs/>
                <w:color w:val="auto"/>
                <w:sz w:val="24"/>
                <w:szCs w:val="24"/>
                <w:lang w:val="en-US" w:eastAsia="zh-CN"/>
              </w:rPr>
              <w:t>进</w:t>
            </w:r>
            <w:r>
              <w:rPr>
                <w:rFonts w:ascii="Times New Roman" w:hAnsi="Times New Roman"/>
                <w:color w:val="auto"/>
                <w:sz w:val="24"/>
              </w:rPr>
              <w:t>行处理</w:t>
            </w:r>
            <w:r>
              <w:rPr>
                <w:rFonts w:hint="eastAsia" w:ascii="Times New Roman" w:hAnsi="Times New Roman"/>
                <w:color w:val="auto"/>
                <w:sz w:val="24"/>
              </w:rPr>
              <w:t>。</w:t>
            </w:r>
            <w:r>
              <w:rPr>
                <w:rFonts w:hint="eastAsia" w:cs="Times New Roman"/>
                <w:color w:val="auto"/>
                <w:sz w:val="24"/>
                <w:szCs w:val="24"/>
                <w:highlight w:val="none"/>
                <w:lang w:val="en-US" w:eastAsia="zh-CN"/>
              </w:rPr>
              <w:t>云南元江牛歌有机肥有限公司主要从事有机肥生产，</w:t>
            </w:r>
            <w:r>
              <w:rPr>
                <w:rFonts w:hint="eastAsia"/>
                <w:bCs/>
                <w:color w:val="auto"/>
                <w:spacing w:val="-10"/>
                <w:sz w:val="24"/>
                <w:highlight w:val="none"/>
                <w:lang w:val="en-US" w:eastAsia="zh-CN"/>
              </w:rPr>
              <w:t>建设单位已与其签订了委托处置协议（详见附件9）。</w:t>
            </w:r>
          </w:p>
          <w:p w14:paraId="5ABD6906">
            <w:pPr>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②炉渣</w:t>
            </w:r>
            <w:r>
              <w:rPr>
                <w:rFonts w:hint="eastAsia" w:cs="Times New Roman"/>
                <w:b w:val="0"/>
                <w:bCs/>
                <w:color w:val="auto"/>
                <w:sz w:val="24"/>
                <w:szCs w:val="24"/>
                <w:lang w:val="en-US" w:eastAsia="zh-CN"/>
              </w:rPr>
              <w:t>（S2）</w:t>
            </w:r>
          </w:p>
          <w:p w14:paraId="2AB42458">
            <w:pPr>
              <w:keepNext w:val="0"/>
              <w:keepLines w:val="0"/>
              <w:pageBreakBefore w:val="0"/>
              <w:kinsoku/>
              <w:wordWrap/>
              <w:overflowPunct/>
              <w:topLinePunct w:val="0"/>
              <w:autoSpaceDE/>
              <w:autoSpaceDN/>
              <w:bidi w:val="0"/>
              <w:spacing w:line="360" w:lineRule="auto"/>
              <w:ind w:left="0" w:leftChars="0" w:right="0" w:firstLine="480" w:firstLineChars="200"/>
              <w:textAlignment w:val="auto"/>
              <w:outlineLvl w:val="2"/>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根据《污染源强核算技术指南 锅炉》（</w:t>
            </w:r>
            <w:r>
              <w:rPr>
                <w:rFonts w:hint="default" w:ascii="Times New Roman" w:hAnsi="Times New Roman" w:eastAsia="宋体" w:cs="Times New Roman"/>
                <w:b w:val="0"/>
                <w:bCs/>
                <w:color w:val="auto"/>
                <w:sz w:val="24"/>
                <w:lang w:val="en-US" w:eastAsia="zh-CN"/>
              </w:rPr>
              <w:t>HJ991-2018</w:t>
            </w:r>
            <w:r>
              <w:rPr>
                <w:rFonts w:hint="eastAsia" w:ascii="Times New Roman" w:hAnsi="Times New Roman" w:eastAsia="宋体" w:cs="Times New Roman"/>
                <w:b w:val="0"/>
                <w:bCs/>
                <w:color w:val="auto"/>
                <w:sz w:val="24"/>
                <w:lang w:val="en-US" w:eastAsia="zh-CN"/>
              </w:rPr>
              <w:t>），本次锅炉灰渣核算选用物料衡算法，按以下公式计算如下：</w:t>
            </w:r>
          </w:p>
          <w:p w14:paraId="467C15D2">
            <w:pPr>
              <w:pStyle w:val="13"/>
              <w:keepNext w:val="0"/>
              <w:keepLines w:val="0"/>
              <w:pageBreakBefore w:val="0"/>
              <w:kinsoku/>
              <w:wordWrap/>
              <w:overflowPunct/>
              <w:topLinePunct w:val="0"/>
              <w:autoSpaceDE/>
              <w:autoSpaceDN/>
              <w:bidi w:val="0"/>
              <w:spacing w:after="0" w:afterLines="0" w:line="360" w:lineRule="auto"/>
              <w:ind w:left="0" w:leftChars="0" w:right="0" w:firstLine="0" w:firstLineChars="0"/>
              <w:jc w:val="center"/>
              <w:textAlignment w:val="auto"/>
              <w:rPr>
                <w:color w:val="auto"/>
              </w:rPr>
            </w:pPr>
            <w:r>
              <w:rPr>
                <w:color w:val="auto"/>
              </w:rPr>
              <w:drawing>
                <wp:inline distT="0" distB="0" distL="114300" distR="114300">
                  <wp:extent cx="2214880" cy="489585"/>
                  <wp:effectExtent l="0" t="0" r="13970" b="5715"/>
                  <wp:docPr id="1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9"/>
                          <pic:cNvPicPr>
                            <a:picLocks noChangeAspect="1"/>
                          </pic:cNvPicPr>
                        </pic:nvPicPr>
                        <pic:blipFill>
                          <a:blip r:embed="rId33"/>
                          <a:stretch>
                            <a:fillRect/>
                          </a:stretch>
                        </pic:blipFill>
                        <pic:spPr>
                          <a:xfrm>
                            <a:off x="0" y="0"/>
                            <a:ext cx="2214880" cy="489585"/>
                          </a:xfrm>
                          <a:prstGeom prst="rect">
                            <a:avLst/>
                          </a:prstGeom>
                          <a:noFill/>
                          <a:ln>
                            <a:noFill/>
                          </a:ln>
                        </pic:spPr>
                      </pic:pic>
                    </a:graphicData>
                  </a:graphic>
                </wp:inline>
              </w:drawing>
            </w:r>
          </w:p>
          <w:p w14:paraId="66DF3056">
            <w:pPr>
              <w:keepNext w:val="0"/>
              <w:keepLines w:val="0"/>
              <w:pageBreakBefore w:val="0"/>
              <w:kinsoku/>
              <w:wordWrap/>
              <w:overflowPunct/>
              <w:topLinePunct w:val="0"/>
              <w:autoSpaceDE/>
              <w:autoSpaceDN/>
              <w:bidi w:val="0"/>
              <w:spacing w:line="360" w:lineRule="auto"/>
              <w:ind w:left="0" w:leftChars="0" w:right="0" w:firstLine="480" w:firstLineChars="200"/>
              <w:textAlignment w:val="auto"/>
              <w:outlineLvl w:val="2"/>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lang w:val="en-US" w:eastAsia="zh-CN"/>
              </w:rPr>
              <w:t>式中：</w:t>
            </w:r>
            <w:r>
              <w:rPr>
                <w:rFonts w:hint="default" w:ascii="Times New Roman" w:hAnsi="Times New Roman" w:eastAsia="宋体" w:cs="Times New Roman"/>
                <w:b w:val="0"/>
                <w:bCs/>
                <w:i/>
                <w:iCs/>
                <w:color w:val="auto"/>
                <w:sz w:val="24"/>
                <w:lang w:val="en-US" w:eastAsia="zh-CN"/>
              </w:rPr>
              <w:t>E</w:t>
            </w:r>
            <w:r>
              <w:rPr>
                <w:rFonts w:hint="default" w:ascii="Times New Roman" w:hAnsi="Times New Roman" w:eastAsia="宋体" w:cs="Times New Roman"/>
                <w:b w:val="0"/>
                <w:bCs/>
                <w:i/>
                <w:iCs/>
                <w:color w:val="auto"/>
                <w:sz w:val="24"/>
                <w:vertAlign w:val="subscript"/>
                <w:lang w:val="en-US" w:eastAsia="zh-CN"/>
              </w:rPr>
              <w:t>hz</w:t>
            </w:r>
            <w:r>
              <w:rPr>
                <w:rFonts w:hint="default" w:ascii="Times New Roman" w:hAnsi="Times New Roman" w:eastAsia="宋体" w:cs="Times New Roman"/>
                <w:b w:val="0"/>
                <w:bCs/>
                <w:color w:val="auto"/>
                <w:sz w:val="24"/>
                <w:lang w:val="en-US" w:eastAsia="zh-CN"/>
              </w:rPr>
              <w:t>——</w:t>
            </w:r>
            <w:r>
              <w:rPr>
                <w:rFonts w:hint="eastAsia" w:ascii="Times New Roman" w:hAnsi="Times New Roman" w:eastAsia="宋体" w:cs="Times New Roman"/>
                <w:b w:val="0"/>
                <w:bCs/>
                <w:color w:val="auto"/>
                <w:sz w:val="24"/>
                <w:lang w:val="en-US" w:eastAsia="zh-CN"/>
              </w:rPr>
              <w:t>核算时段内灰渣产生量，吨</w:t>
            </w:r>
            <w:r>
              <w:rPr>
                <w:rFonts w:hint="eastAsia" w:ascii="Times New Roman" w:hAnsi="Times New Roman" w:eastAsia="宋体" w:cs="Times New Roman"/>
                <w:b w:val="0"/>
                <w:bCs/>
                <w:color w:val="auto"/>
                <w:sz w:val="24"/>
                <w:highlight w:val="none"/>
                <w:lang w:val="en-US" w:eastAsia="zh-CN"/>
              </w:rPr>
              <w:t>；</w:t>
            </w:r>
          </w:p>
          <w:p w14:paraId="437E204F">
            <w:pPr>
              <w:keepNext w:val="0"/>
              <w:keepLines w:val="0"/>
              <w:pageBreakBefore w:val="0"/>
              <w:kinsoku/>
              <w:wordWrap/>
              <w:overflowPunct/>
              <w:topLinePunct w:val="0"/>
              <w:autoSpaceDE/>
              <w:autoSpaceDN/>
              <w:bidi w:val="0"/>
              <w:spacing w:line="360" w:lineRule="auto"/>
              <w:ind w:left="0" w:leftChars="0" w:right="0" w:firstLine="480" w:firstLineChars="200"/>
              <w:textAlignment w:val="auto"/>
              <w:outlineLvl w:val="2"/>
              <w:rPr>
                <w:rFonts w:hint="eastAsia"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i/>
                <w:iCs/>
                <w:color w:val="auto"/>
                <w:sz w:val="24"/>
                <w:highlight w:val="none"/>
                <w:lang w:val="en-US" w:eastAsia="zh-CN"/>
              </w:rPr>
              <w:t>R</w:t>
            </w:r>
            <w:r>
              <w:rPr>
                <w:rFonts w:hint="default" w:ascii="Times New Roman" w:hAnsi="Times New Roman" w:eastAsia="宋体"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核算时段内燃烧生物质量，吨；本项目为</w:t>
            </w:r>
            <w:r>
              <w:rPr>
                <w:rFonts w:hint="eastAsia" w:cs="Times New Roman"/>
                <w:b w:val="0"/>
                <w:bCs/>
                <w:i w:val="0"/>
                <w:iCs w:val="0"/>
                <w:color w:val="auto"/>
                <w:sz w:val="24"/>
                <w:highlight w:val="none"/>
                <w:lang w:val="en-US" w:eastAsia="zh-CN"/>
              </w:rPr>
              <w:t>768</w:t>
            </w:r>
            <w:r>
              <w:rPr>
                <w:rFonts w:hint="default" w:ascii="Times New Roman" w:hAnsi="Times New Roman" w:eastAsia="宋体" w:cs="Times New Roman"/>
                <w:b w:val="0"/>
                <w:bCs/>
                <w:color w:val="auto"/>
                <w:sz w:val="24"/>
                <w:highlight w:val="none"/>
                <w:lang w:val="en-US" w:eastAsia="zh-CN"/>
              </w:rPr>
              <w:t>t/a</w:t>
            </w:r>
            <w:r>
              <w:rPr>
                <w:rFonts w:hint="eastAsia" w:ascii="Times New Roman" w:hAnsi="Times New Roman" w:eastAsia="宋体" w:cs="Times New Roman"/>
                <w:b w:val="0"/>
                <w:bCs/>
                <w:color w:val="auto"/>
                <w:sz w:val="24"/>
                <w:highlight w:val="none"/>
                <w:lang w:val="en-US" w:eastAsia="zh-CN"/>
              </w:rPr>
              <w:t>；</w:t>
            </w:r>
          </w:p>
          <w:p w14:paraId="597F466D">
            <w:pPr>
              <w:keepNext w:val="0"/>
              <w:keepLines w:val="0"/>
              <w:pageBreakBefore w:val="0"/>
              <w:kinsoku/>
              <w:wordWrap/>
              <w:overflowPunct/>
              <w:topLinePunct w:val="0"/>
              <w:autoSpaceDE/>
              <w:autoSpaceDN/>
              <w:bidi w:val="0"/>
              <w:spacing w:line="360" w:lineRule="auto"/>
              <w:ind w:left="0" w:leftChars="0" w:right="0" w:firstLine="480" w:firstLineChars="200"/>
              <w:textAlignment w:val="auto"/>
              <w:outlineLvl w:val="2"/>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i/>
                <w:iCs/>
                <w:color w:val="auto"/>
                <w:sz w:val="24"/>
                <w:highlight w:val="none"/>
                <w:lang w:val="en-US" w:eastAsia="zh-CN"/>
              </w:rPr>
              <w:t>A</w:t>
            </w:r>
            <w:r>
              <w:rPr>
                <w:rFonts w:hint="default" w:ascii="Times New Roman" w:hAnsi="Times New Roman" w:eastAsia="宋体" w:cs="Times New Roman"/>
                <w:b w:val="0"/>
                <w:bCs/>
                <w:i/>
                <w:iCs/>
                <w:color w:val="auto"/>
                <w:sz w:val="24"/>
                <w:highlight w:val="none"/>
                <w:vertAlign w:val="subscript"/>
                <w:lang w:val="en-US" w:eastAsia="zh-CN"/>
              </w:rPr>
              <w:t>ar</w:t>
            </w:r>
            <w:r>
              <w:rPr>
                <w:rFonts w:hint="default" w:ascii="Times New Roman" w:hAnsi="Times New Roman" w:eastAsia="宋体"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收到基灰分的质量分数，</w:t>
            </w:r>
            <w:r>
              <w:rPr>
                <w:rFonts w:hint="default" w:ascii="Times New Roman" w:hAnsi="Times New Roman" w:eastAsia="宋体"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；根据成分表取2.57</w:t>
            </w:r>
            <w:r>
              <w:rPr>
                <w:rFonts w:hint="default" w:ascii="Times New Roman" w:hAnsi="Times New Roman" w:eastAsia="宋体"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w:t>
            </w:r>
          </w:p>
          <w:p w14:paraId="358FF62E">
            <w:pPr>
              <w:keepNext w:val="0"/>
              <w:keepLines w:val="0"/>
              <w:pageBreakBefore w:val="0"/>
              <w:kinsoku/>
              <w:wordWrap/>
              <w:overflowPunct/>
              <w:topLinePunct w:val="0"/>
              <w:autoSpaceDE/>
              <w:autoSpaceDN/>
              <w:bidi w:val="0"/>
              <w:spacing w:line="360" w:lineRule="auto"/>
              <w:ind w:left="0" w:leftChars="0" w:right="0" w:firstLine="480" w:firstLineChars="200"/>
              <w:textAlignment w:val="auto"/>
              <w:outlineLvl w:val="2"/>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i/>
                <w:iCs/>
                <w:color w:val="auto"/>
                <w:sz w:val="24"/>
                <w:highlight w:val="none"/>
                <w:lang w:val="en-US" w:eastAsia="zh-CN"/>
              </w:rPr>
              <w:t>q</w:t>
            </w:r>
            <w:r>
              <w:rPr>
                <w:rFonts w:hint="default" w:ascii="Times New Roman" w:hAnsi="Times New Roman" w:eastAsia="宋体" w:cs="Times New Roman"/>
                <w:b w:val="0"/>
                <w:bCs/>
                <w:i/>
                <w:iCs/>
                <w:color w:val="auto"/>
                <w:sz w:val="24"/>
                <w:highlight w:val="none"/>
                <w:vertAlign w:val="subscript"/>
                <w:lang w:val="en-US" w:eastAsia="zh-CN"/>
              </w:rPr>
              <w:t>4</w:t>
            </w:r>
            <w:r>
              <w:rPr>
                <w:rFonts w:hint="default" w:ascii="Times New Roman" w:hAnsi="Times New Roman" w:eastAsia="宋体"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锅炉机械不完全燃烧热损失，</w:t>
            </w:r>
            <w:r>
              <w:rPr>
                <w:rFonts w:hint="default" w:ascii="Times New Roman" w:hAnsi="Times New Roman" w:eastAsia="宋体"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，根据《污染源强核算技术指南 锅炉》（</w:t>
            </w:r>
            <w:r>
              <w:rPr>
                <w:rFonts w:hint="default" w:ascii="Times New Roman" w:hAnsi="Times New Roman" w:eastAsia="宋体" w:cs="Times New Roman"/>
                <w:b w:val="0"/>
                <w:bCs/>
                <w:color w:val="auto"/>
                <w:sz w:val="24"/>
                <w:highlight w:val="none"/>
                <w:lang w:val="en-US" w:eastAsia="zh-CN"/>
              </w:rPr>
              <w:t>HJ991-2018</w:t>
            </w:r>
            <w:r>
              <w:rPr>
                <w:rFonts w:hint="eastAsia" w:ascii="Times New Roman" w:hAnsi="Times New Roman" w:eastAsia="宋体" w:cs="Times New Roman"/>
                <w:b w:val="0"/>
                <w:bCs/>
                <w:color w:val="auto"/>
                <w:sz w:val="24"/>
                <w:highlight w:val="none"/>
                <w:lang w:val="en-US" w:eastAsia="zh-CN"/>
              </w:rPr>
              <w:t>）附录</w:t>
            </w:r>
            <w:r>
              <w:rPr>
                <w:rFonts w:hint="default" w:ascii="Times New Roman" w:hAnsi="Times New Roman" w:eastAsia="宋体" w:cs="Times New Roman"/>
                <w:b w:val="0"/>
                <w:bCs/>
                <w:color w:val="auto"/>
                <w:sz w:val="24"/>
                <w:highlight w:val="none"/>
                <w:lang w:val="en-US" w:eastAsia="zh-CN"/>
              </w:rPr>
              <w:t>B</w:t>
            </w:r>
            <w:r>
              <w:rPr>
                <w:rFonts w:hint="eastAsia" w:ascii="Times New Roman" w:hAnsi="Times New Roman" w:eastAsia="宋体" w:cs="Times New Roman"/>
                <w:b w:val="0"/>
                <w:bCs/>
                <w:color w:val="auto"/>
                <w:sz w:val="24"/>
                <w:highlight w:val="none"/>
                <w:lang w:val="en-US" w:eastAsia="zh-CN"/>
              </w:rPr>
              <w:t>的表</w:t>
            </w:r>
            <w:r>
              <w:rPr>
                <w:rFonts w:hint="default" w:ascii="Times New Roman" w:hAnsi="Times New Roman" w:eastAsia="宋体" w:cs="Times New Roman"/>
                <w:b w:val="0"/>
                <w:bCs/>
                <w:color w:val="auto"/>
                <w:sz w:val="24"/>
                <w:highlight w:val="none"/>
                <w:lang w:val="en-US" w:eastAsia="zh-CN"/>
              </w:rPr>
              <w:t>B.1</w:t>
            </w:r>
            <w:r>
              <w:rPr>
                <w:rFonts w:hint="eastAsia" w:ascii="Times New Roman" w:hAnsi="Times New Roman" w:eastAsia="宋体" w:cs="Times New Roman"/>
                <w:b w:val="0"/>
                <w:bCs/>
                <w:color w:val="auto"/>
                <w:sz w:val="24"/>
                <w:highlight w:val="none"/>
                <w:lang w:val="en-US" w:eastAsia="zh-CN"/>
              </w:rPr>
              <w:t>，本项目选用炉型为链式，故取</w:t>
            </w:r>
            <w:r>
              <w:rPr>
                <w:rFonts w:hint="default" w:ascii="Times New Roman" w:hAnsi="Times New Roman" w:eastAsia="宋体" w:cs="Times New Roman"/>
                <w:b w:val="0"/>
                <w:bCs/>
                <w:color w:val="auto"/>
                <w:sz w:val="24"/>
                <w:highlight w:val="none"/>
                <w:lang w:val="en-US" w:eastAsia="zh-CN"/>
              </w:rPr>
              <w:t>5%</w:t>
            </w:r>
            <w:r>
              <w:rPr>
                <w:rFonts w:hint="eastAsia" w:ascii="Times New Roman" w:hAnsi="Times New Roman" w:eastAsia="宋体" w:cs="Times New Roman"/>
                <w:b w:val="0"/>
                <w:bCs/>
                <w:color w:val="auto"/>
                <w:sz w:val="24"/>
                <w:highlight w:val="none"/>
                <w:lang w:val="en-US" w:eastAsia="zh-CN"/>
              </w:rPr>
              <w:t>；</w:t>
            </w:r>
          </w:p>
          <w:p w14:paraId="5920EA66">
            <w:pPr>
              <w:keepNext w:val="0"/>
              <w:keepLines w:val="0"/>
              <w:pageBreakBefore w:val="0"/>
              <w:kinsoku/>
              <w:wordWrap/>
              <w:overflowPunct/>
              <w:topLinePunct w:val="0"/>
              <w:autoSpaceDE/>
              <w:autoSpaceDN/>
              <w:bidi w:val="0"/>
              <w:spacing w:line="360" w:lineRule="auto"/>
              <w:ind w:left="0" w:leftChars="0" w:right="0" w:firstLine="480" w:firstLineChars="200"/>
              <w:textAlignment w:val="auto"/>
              <w:outlineLvl w:val="2"/>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i/>
                <w:iCs/>
                <w:color w:val="auto"/>
                <w:sz w:val="24"/>
                <w:highlight w:val="none"/>
                <w:lang w:val="en-US" w:eastAsia="zh-CN"/>
              </w:rPr>
              <w:t>Q</w:t>
            </w:r>
            <w:r>
              <w:rPr>
                <w:rFonts w:hint="default" w:ascii="Times New Roman" w:hAnsi="Times New Roman" w:eastAsia="宋体" w:cs="Times New Roman"/>
                <w:b w:val="0"/>
                <w:bCs/>
                <w:i/>
                <w:iCs/>
                <w:color w:val="auto"/>
                <w:sz w:val="24"/>
                <w:highlight w:val="none"/>
                <w:vertAlign w:val="subscript"/>
                <w:lang w:val="en-US" w:eastAsia="zh-CN"/>
              </w:rPr>
              <w:t>net</w:t>
            </w:r>
            <w:r>
              <w:rPr>
                <w:rFonts w:hint="eastAsia" w:ascii="Times New Roman" w:hAnsi="Times New Roman" w:eastAsia="宋体" w:cs="Times New Roman"/>
                <w:b w:val="0"/>
                <w:bCs/>
                <w:i/>
                <w:iCs/>
                <w:color w:val="auto"/>
                <w:sz w:val="24"/>
                <w:highlight w:val="none"/>
                <w:vertAlign w:val="subscript"/>
                <w:lang w:val="en-US" w:eastAsia="zh-CN"/>
              </w:rPr>
              <w:t>，</w:t>
            </w:r>
            <w:r>
              <w:rPr>
                <w:rFonts w:hint="default" w:ascii="Times New Roman" w:hAnsi="Times New Roman" w:eastAsia="宋体" w:cs="Times New Roman"/>
                <w:b w:val="0"/>
                <w:bCs/>
                <w:i/>
                <w:iCs/>
                <w:color w:val="auto"/>
                <w:sz w:val="24"/>
                <w:highlight w:val="none"/>
                <w:vertAlign w:val="subscript"/>
                <w:lang w:val="en-US" w:eastAsia="zh-CN"/>
              </w:rPr>
              <w:t>ar</w:t>
            </w:r>
            <w:r>
              <w:rPr>
                <w:rFonts w:hint="default" w:ascii="Times New Roman" w:hAnsi="Times New Roman" w:eastAsia="宋体"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收到基低位发热量，</w:t>
            </w:r>
            <w:r>
              <w:rPr>
                <w:rFonts w:hint="default" w:ascii="Times New Roman" w:hAnsi="Times New Roman" w:eastAsia="宋体" w:cs="Times New Roman"/>
                <w:b w:val="0"/>
                <w:bCs/>
                <w:color w:val="auto"/>
                <w:sz w:val="24"/>
                <w:highlight w:val="none"/>
                <w:lang w:val="en-US" w:eastAsia="zh-CN"/>
              </w:rPr>
              <w:t>kJ/kg</w:t>
            </w:r>
            <w:r>
              <w:rPr>
                <w:rFonts w:hint="eastAsia" w:ascii="Times New Roman" w:hAnsi="Times New Roman" w:eastAsia="宋体" w:cs="Times New Roman"/>
                <w:b w:val="0"/>
                <w:bCs/>
                <w:color w:val="auto"/>
                <w:sz w:val="24"/>
                <w:highlight w:val="none"/>
                <w:lang w:val="en-US" w:eastAsia="zh-CN"/>
              </w:rPr>
              <w:t>，根据成分表取17.64MJ/kg=17640</w:t>
            </w:r>
            <w:r>
              <w:rPr>
                <w:rFonts w:hint="default" w:ascii="Times New Roman" w:hAnsi="Times New Roman" w:eastAsia="宋体" w:cs="Times New Roman"/>
                <w:b w:val="0"/>
                <w:bCs/>
                <w:color w:val="auto"/>
                <w:sz w:val="24"/>
                <w:highlight w:val="none"/>
                <w:lang w:val="en-US" w:eastAsia="zh-CN"/>
              </w:rPr>
              <w:t>kJ/kg</w:t>
            </w:r>
            <w:r>
              <w:rPr>
                <w:rFonts w:hint="eastAsia" w:ascii="Times New Roman" w:hAnsi="Times New Roman" w:eastAsia="宋体" w:cs="Times New Roman"/>
                <w:b w:val="0"/>
                <w:bCs/>
                <w:color w:val="auto"/>
                <w:sz w:val="24"/>
                <w:highlight w:val="none"/>
                <w:lang w:val="en-US" w:eastAsia="zh-CN"/>
              </w:rPr>
              <w:t>。</w:t>
            </w:r>
          </w:p>
          <w:p w14:paraId="6100614B">
            <w:pPr>
              <w:keepNext w:val="0"/>
              <w:keepLines w:val="0"/>
              <w:pageBreakBefore w:val="0"/>
              <w:kinsoku/>
              <w:wordWrap/>
              <w:overflowPunct/>
              <w:topLinePunct w:val="0"/>
              <w:autoSpaceDE/>
              <w:autoSpaceDN/>
              <w:bidi w:val="0"/>
              <w:spacing w:line="360" w:lineRule="auto"/>
              <w:ind w:left="0" w:leftChars="0" w:right="0" w:firstLine="480" w:firstLineChars="200"/>
              <w:textAlignment w:val="auto"/>
              <w:outlineLvl w:val="2"/>
              <w:rPr>
                <w:rFonts w:hint="default" w:cs="Times New Roman"/>
                <w:b w:val="0"/>
                <w:bCs/>
                <w:i w:val="0"/>
                <w:iCs w:val="0"/>
                <w:color w:val="auto"/>
                <w:sz w:val="24"/>
                <w:highlight w:val="none"/>
                <w:lang w:val="en-US" w:eastAsia="zh-CN"/>
              </w:rPr>
            </w:pPr>
            <w:r>
              <w:rPr>
                <w:rFonts w:hint="eastAsia" w:ascii="Times New Roman" w:hAnsi="Times New Roman" w:eastAsia="宋体" w:cs="Times New Roman"/>
                <w:b w:val="0"/>
                <w:bCs/>
                <w:i w:val="0"/>
                <w:iCs w:val="0"/>
                <w:color w:val="auto"/>
                <w:sz w:val="24"/>
                <w:highlight w:val="none"/>
                <w:lang w:val="en-US" w:eastAsia="zh-CN"/>
              </w:rPr>
              <w:t>根据上式计算，项目锅炉炉渣产生量为</w:t>
            </w:r>
            <w:r>
              <w:rPr>
                <w:rFonts w:hint="eastAsia" w:cs="Times New Roman"/>
                <w:b w:val="0"/>
                <w:bCs/>
                <w:i w:val="0"/>
                <w:iCs w:val="0"/>
                <w:color w:val="auto"/>
                <w:sz w:val="24"/>
                <w:highlight w:val="none"/>
                <w:lang w:val="en-US" w:eastAsia="zh-CN"/>
              </w:rPr>
              <w:t>39.74</w:t>
            </w:r>
            <w:r>
              <w:rPr>
                <w:rFonts w:hint="default" w:ascii="Times New Roman" w:hAnsi="Times New Roman" w:eastAsia="宋体" w:cs="Times New Roman"/>
                <w:b w:val="0"/>
                <w:bCs/>
                <w:i w:val="0"/>
                <w:iCs w:val="0"/>
                <w:color w:val="auto"/>
                <w:sz w:val="24"/>
                <w:highlight w:val="none"/>
                <w:lang w:val="en-US" w:eastAsia="zh-CN"/>
              </w:rPr>
              <w:t>t/a</w:t>
            </w:r>
            <w:r>
              <w:rPr>
                <w:rFonts w:hint="eastAsia" w:cs="Times New Roman"/>
                <w:b w:val="0"/>
                <w:bCs/>
                <w:i w:val="0"/>
                <w:iCs w:val="0"/>
                <w:color w:val="auto"/>
                <w:sz w:val="24"/>
                <w:highlight w:val="none"/>
                <w:lang w:val="en-US" w:eastAsia="zh-CN"/>
              </w:rPr>
              <w:t>，炉渣属于</w:t>
            </w:r>
            <w:r>
              <w:rPr>
                <w:rFonts w:hint="eastAsia" w:ascii="Times New Roman" w:hAnsi="Times New Roman" w:eastAsia="宋体" w:cs="Times New Roman"/>
                <w:b w:val="0"/>
                <w:bCs/>
                <w:i w:val="0"/>
                <w:iCs w:val="0"/>
                <w:color w:val="auto"/>
                <w:sz w:val="24"/>
                <w:lang w:val="en-US" w:eastAsia="zh-CN"/>
              </w:rPr>
              <w:t>一般工业固废</w:t>
            </w:r>
            <w:r>
              <w:rPr>
                <w:rFonts w:hint="eastAsia" w:cs="Times New Roman"/>
                <w:b w:val="0"/>
                <w:bCs/>
                <w:i w:val="0"/>
                <w:iCs w:val="0"/>
                <w:color w:val="auto"/>
                <w:sz w:val="24"/>
                <w:lang w:val="en-US" w:eastAsia="zh-CN"/>
              </w:rPr>
              <w:t>，可定期外售至合法的肥料生产厂家综合利用。</w:t>
            </w:r>
          </w:p>
          <w:p w14:paraId="60A9A352">
            <w:pPr>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③</w:t>
            </w:r>
            <w:r>
              <w:rPr>
                <w:rFonts w:hint="eastAsia" w:ascii="宋体" w:hAnsi="宋体" w:cs="宋体"/>
                <w:color w:val="auto"/>
                <w:sz w:val="24"/>
                <w:szCs w:val="24"/>
                <w:lang w:val="en-US" w:eastAsia="zh-CN"/>
              </w:rPr>
              <w:t>除尘灰</w:t>
            </w:r>
            <w:r>
              <w:rPr>
                <w:rFonts w:hint="eastAsia" w:cs="Times New Roman"/>
                <w:b w:val="0"/>
                <w:bCs/>
                <w:color w:val="auto"/>
                <w:sz w:val="24"/>
                <w:szCs w:val="24"/>
                <w:lang w:val="en-US" w:eastAsia="zh-CN"/>
              </w:rPr>
              <w:t>（S3）</w:t>
            </w:r>
          </w:p>
          <w:p w14:paraId="3548A809">
            <w:pPr>
              <w:spacing w:line="360" w:lineRule="auto"/>
              <w:ind w:firstLine="482"/>
              <w:rPr>
                <w:rFonts w:hint="default" w:eastAsia="宋体"/>
                <w:color w:val="auto"/>
                <w:sz w:val="24"/>
                <w:szCs w:val="24"/>
                <w:lang w:val="en-US" w:eastAsia="zh-CN"/>
              </w:rPr>
            </w:pPr>
            <w:r>
              <w:rPr>
                <w:color w:val="auto"/>
                <w:sz w:val="24"/>
                <w:szCs w:val="24"/>
              </w:rPr>
              <w:t>生物质燃料燃烧过程中将会有烟尘产生，烟尘经</w:t>
            </w:r>
            <w:r>
              <w:rPr>
                <w:rFonts w:hint="eastAsia"/>
                <w:color w:val="auto"/>
                <w:sz w:val="24"/>
                <w:szCs w:val="24"/>
                <w:lang w:val="en-US" w:eastAsia="zh-CN"/>
              </w:rPr>
              <w:t>多管旋风除尘器+布袋除尘器</w:t>
            </w:r>
            <w:r>
              <w:rPr>
                <w:color w:val="auto"/>
                <w:sz w:val="24"/>
                <w:szCs w:val="24"/>
              </w:rPr>
              <w:t>处理后，大部分烟尘被除尘器收集，形成灰渣，根据除尘器收集的除尘灰量为</w:t>
            </w:r>
            <w:r>
              <w:rPr>
                <w:rFonts w:hint="eastAsia"/>
                <w:color w:val="auto"/>
                <w:sz w:val="24"/>
                <w:szCs w:val="24"/>
                <w:lang w:val="en-US" w:eastAsia="zh-CN"/>
              </w:rPr>
              <w:t>11.286</w:t>
            </w:r>
            <w:r>
              <w:rPr>
                <w:color w:val="auto"/>
                <w:sz w:val="24"/>
                <w:szCs w:val="24"/>
              </w:rPr>
              <w:t>t/a</w:t>
            </w:r>
            <w:r>
              <w:rPr>
                <w:rFonts w:hint="eastAsia"/>
                <w:color w:val="auto"/>
                <w:sz w:val="24"/>
                <w:szCs w:val="24"/>
                <w:lang w:eastAsia="zh-CN"/>
              </w:rPr>
              <w:t>，</w:t>
            </w:r>
            <w:r>
              <w:rPr>
                <w:rFonts w:hint="eastAsia"/>
                <w:color w:val="auto"/>
                <w:sz w:val="24"/>
                <w:szCs w:val="24"/>
                <w:lang w:val="en-US" w:eastAsia="zh-CN"/>
              </w:rPr>
              <w:t>经袋装收集后外售肥料制作单位制作肥料。</w:t>
            </w:r>
          </w:p>
          <w:p w14:paraId="7A78E651">
            <w:pPr>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④废培养基</w:t>
            </w:r>
            <w:r>
              <w:rPr>
                <w:rFonts w:hint="eastAsia" w:cs="Times New Roman"/>
                <w:b w:val="0"/>
                <w:bCs/>
                <w:color w:val="auto"/>
                <w:sz w:val="24"/>
                <w:szCs w:val="24"/>
                <w:lang w:val="en-US" w:eastAsia="zh-CN"/>
              </w:rPr>
              <w:t>（S4）</w:t>
            </w:r>
          </w:p>
          <w:p w14:paraId="3488D134">
            <w:pPr>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本次技改后，化验室废培养基产生量不变，仍为0.003t/a，</w:t>
            </w:r>
            <w:r>
              <w:rPr>
                <w:rFonts w:hint="default" w:ascii="Times New Roman" w:hAnsi="Times New Roman" w:cs="Times New Roman"/>
                <w:b w:val="0"/>
                <w:bCs w:val="0"/>
                <w:color w:val="auto"/>
                <w:sz w:val="24"/>
                <w:szCs w:val="24"/>
                <w:lang w:val="en-US" w:eastAsia="zh-CN"/>
              </w:rPr>
              <w:t>经</w:t>
            </w:r>
            <w:r>
              <w:rPr>
                <w:rFonts w:hint="eastAsia" w:ascii="Times New Roman" w:hAnsi="Times New Roman" w:cs="Times New Roman"/>
                <w:b w:val="0"/>
                <w:bCs w:val="0"/>
                <w:color w:val="auto"/>
                <w:sz w:val="24"/>
                <w:szCs w:val="24"/>
                <w:lang w:val="en-US" w:eastAsia="zh-CN"/>
              </w:rPr>
              <w:t>高压</w:t>
            </w:r>
            <w:r>
              <w:rPr>
                <w:rFonts w:hint="default" w:ascii="Times New Roman" w:hAnsi="Times New Roman" w:cs="Times New Roman"/>
                <w:b w:val="0"/>
                <w:bCs w:val="0"/>
                <w:color w:val="auto"/>
                <w:sz w:val="24"/>
                <w:szCs w:val="24"/>
                <w:lang w:val="en-US" w:eastAsia="zh-CN"/>
              </w:rPr>
              <w:t>灭活后委托</w:t>
            </w:r>
            <w:r>
              <w:rPr>
                <w:rFonts w:hint="eastAsia" w:ascii="Times New Roman" w:hAnsi="Times New Roman" w:cs="Times New Roman"/>
                <w:b w:val="0"/>
                <w:bCs w:val="0"/>
                <w:color w:val="auto"/>
                <w:sz w:val="24"/>
                <w:szCs w:val="24"/>
                <w:lang w:val="en-US" w:eastAsia="zh-CN"/>
              </w:rPr>
              <w:t>环卫</w:t>
            </w:r>
            <w:r>
              <w:rPr>
                <w:rFonts w:hint="default" w:ascii="Times New Roman" w:hAnsi="Times New Roman" w:cs="Times New Roman"/>
                <w:b w:val="0"/>
                <w:bCs w:val="0"/>
                <w:color w:val="auto"/>
                <w:sz w:val="24"/>
                <w:szCs w:val="24"/>
                <w:lang w:val="en-US" w:eastAsia="zh-CN"/>
              </w:rPr>
              <w:t>部门定期清运处置。</w:t>
            </w:r>
          </w:p>
          <w:p w14:paraId="044D8DE1">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⑤</w:t>
            </w:r>
            <w:r>
              <w:rPr>
                <w:rFonts w:hint="eastAsia" w:cs="Times New Roman"/>
                <w:b w:val="0"/>
                <w:bCs/>
                <w:color w:val="auto"/>
                <w:sz w:val="24"/>
                <w:szCs w:val="24"/>
                <w:lang w:val="en-US" w:eastAsia="zh-CN"/>
              </w:rPr>
              <w:t>废反渗透膜（S5）</w:t>
            </w:r>
          </w:p>
          <w:p w14:paraId="7BFDD154">
            <w:pPr>
              <w:spacing w:line="360" w:lineRule="auto"/>
              <w:ind w:firstLine="480" w:firstLineChars="200"/>
              <w:rPr>
                <w:rFonts w:hint="eastAsia"/>
                <w:color w:val="auto"/>
                <w:sz w:val="24"/>
                <w:szCs w:val="24"/>
                <w:lang w:val="en-US" w:eastAsia="zh-CN"/>
              </w:rPr>
            </w:pPr>
            <w:r>
              <w:rPr>
                <w:rFonts w:hint="eastAsia" w:cs="Times New Roman"/>
                <w:color w:val="auto"/>
                <w:sz w:val="24"/>
                <w:szCs w:val="24"/>
                <w:lang w:val="en-US" w:eastAsia="zh-CN"/>
              </w:rPr>
              <w:t>本次技改后，</w:t>
            </w:r>
            <w:r>
              <w:rPr>
                <w:rFonts w:hint="default" w:ascii="Times New Roman" w:hAnsi="Times New Roman" w:cs="Times New Roman"/>
                <w:color w:val="auto"/>
                <w:sz w:val="24"/>
                <w:szCs w:val="24"/>
              </w:rPr>
              <w:t>纯水制备</w:t>
            </w:r>
            <w:r>
              <w:rPr>
                <w:rFonts w:hint="eastAsia" w:cs="Times New Roman"/>
                <w:color w:val="auto"/>
                <w:sz w:val="24"/>
                <w:szCs w:val="24"/>
                <w:lang w:val="en-US" w:eastAsia="zh-CN"/>
              </w:rPr>
              <w:t>设备</w:t>
            </w:r>
            <w:r>
              <w:rPr>
                <w:rFonts w:hint="eastAsia" w:ascii="Times New Roman" w:hAnsi="Times New Roman" w:cs="Times New Roman"/>
                <w:color w:val="auto"/>
                <w:sz w:val="24"/>
                <w:szCs w:val="24"/>
                <w:lang w:val="en-US" w:eastAsia="zh-CN"/>
              </w:rPr>
              <w:t>反渗透膜</w:t>
            </w:r>
            <w:r>
              <w:rPr>
                <w:rFonts w:hint="eastAsia" w:cs="Times New Roman"/>
                <w:color w:val="auto"/>
                <w:sz w:val="24"/>
                <w:szCs w:val="24"/>
                <w:lang w:val="en-US" w:eastAsia="zh-CN"/>
              </w:rPr>
              <w:t>更换频次及</w:t>
            </w:r>
            <w:r>
              <w:rPr>
                <w:rFonts w:hint="eastAsia" w:ascii="Times New Roman" w:hAnsi="Times New Roman" w:cs="Times New Roman"/>
                <w:color w:val="auto"/>
                <w:sz w:val="24"/>
                <w:szCs w:val="24"/>
                <w:lang w:val="en-US" w:eastAsia="zh-CN"/>
              </w:rPr>
              <w:t>废反渗透膜</w:t>
            </w:r>
            <w:r>
              <w:rPr>
                <w:rFonts w:hint="eastAsia" w:cs="Times New Roman"/>
                <w:color w:val="auto"/>
                <w:sz w:val="24"/>
                <w:szCs w:val="24"/>
                <w:lang w:val="en-US" w:eastAsia="zh-CN"/>
              </w:rPr>
              <w:t>产生量不变</w:t>
            </w:r>
            <w:r>
              <w:rPr>
                <w:rFonts w:hint="default" w:ascii="Times New Roman" w:hAnsi="Times New Roman" w:cs="Times New Roman"/>
                <w:color w:val="auto"/>
                <w:sz w:val="24"/>
                <w:szCs w:val="24"/>
              </w:rPr>
              <w:t>，</w:t>
            </w:r>
            <w:r>
              <w:rPr>
                <w:rFonts w:hint="eastAsia" w:cs="Times New Roman"/>
                <w:color w:val="auto"/>
                <w:sz w:val="24"/>
                <w:szCs w:val="24"/>
                <w:lang w:val="en-US" w:eastAsia="zh-CN"/>
              </w:rPr>
              <w:t>仍为</w:t>
            </w:r>
            <w:r>
              <w:rPr>
                <w:rFonts w:hint="default" w:ascii="Times New Roman" w:hAnsi="Times New Roman" w:cs="Times New Roman"/>
                <w:color w:val="auto"/>
                <w:sz w:val="24"/>
                <w:szCs w:val="24"/>
              </w:rPr>
              <w:t>每年更换一次，约为</w:t>
            </w:r>
            <w:r>
              <w:rPr>
                <w:rFonts w:hint="eastAsia" w:ascii="Times New Roman" w:hAnsi="Times New Roman" w:cs="Times New Roman"/>
                <w:color w:val="auto"/>
                <w:sz w:val="24"/>
                <w:szCs w:val="24"/>
                <w:lang w:val="en-US" w:eastAsia="zh-CN"/>
              </w:rPr>
              <w:t>50kg</w:t>
            </w:r>
            <w:r>
              <w:rPr>
                <w:rFonts w:hint="default" w:ascii="Times New Roman" w:hAnsi="Times New Roman" w:cs="Times New Roman"/>
                <w:color w:val="auto"/>
                <w:sz w:val="24"/>
                <w:szCs w:val="24"/>
              </w:rPr>
              <w:t>/a，为一般固体废物，</w:t>
            </w:r>
            <w:r>
              <w:rPr>
                <w:rFonts w:hint="eastAsia" w:ascii="Times New Roman" w:hAnsi="Times New Roman" w:cs="Times New Roman"/>
                <w:color w:val="auto"/>
                <w:sz w:val="24"/>
                <w:szCs w:val="24"/>
                <w:lang w:val="en-US" w:eastAsia="zh-CN"/>
              </w:rPr>
              <w:t>废反渗透膜</w:t>
            </w:r>
            <w:r>
              <w:rPr>
                <w:rFonts w:hint="eastAsia" w:cs="Times New Roman"/>
                <w:color w:val="auto"/>
                <w:sz w:val="24"/>
                <w:szCs w:val="24"/>
                <w:lang w:val="en-US" w:eastAsia="zh-CN"/>
              </w:rPr>
              <w:t>由厂家回收处理</w:t>
            </w:r>
            <w:r>
              <w:rPr>
                <w:rFonts w:hint="default" w:ascii="Times New Roman" w:hAnsi="Times New Roman" w:cs="Times New Roman"/>
                <w:color w:val="auto"/>
                <w:sz w:val="24"/>
                <w:szCs w:val="24"/>
              </w:rPr>
              <w:t>。</w:t>
            </w:r>
          </w:p>
          <w:p w14:paraId="36A15473">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⑥废包装材料</w:t>
            </w:r>
            <w:r>
              <w:rPr>
                <w:rFonts w:hint="eastAsia" w:cs="Times New Roman"/>
                <w:b w:val="0"/>
                <w:bCs/>
                <w:color w:val="auto"/>
                <w:sz w:val="24"/>
                <w:szCs w:val="24"/>
                <w:lang w:val="en-US" w:eastAsia="zh-CN"/>
              </w:rPr>
              <w:t>（S6）</w:t>
            </w:r>
          </w:p>
          <w:p w14:paraId="40A761B9">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eastAsia" w:ascii="Times New Roman" w:hAnsi="Times New Roman"/>
                <w:bCs/>
                <w:color w:val="auto"/>
                <w:sz w:val="24"/>
                <w:szCs w:val="24"/>
                <w:lang w:eastAsia="zh-CN"/>
              </w:rPr>
            </w:pPr>
            <w:r>
              <w:rPr>
                <w:rFonts w:hint="eastAsia"/>
                <w:color w:val="auto"/>
                <w:sz w:val="24"/>
                <w:szCs w:val="24"/>
                <w:lang w:val="en-US" w:eastAsia="zh-CN"/>
              </w:rPr>
              <w:t>本次技改后，废包装材料产生量不变，仍为0.1t/a，经统一</w:t>
            </w:r>
            <w:r>
              <w:rPr>
                <w:rFonts w:ascii="Times New Roman" w:hAnsi="Times New Roman"/>
                <w:bCs/>
                <w:color w:val="auto"/>
                <w:sz w:val="24"/>
                <w:szCs w:val="24"/>
              </w:rPr>
              <w:t>收集后</w:t>
            </w:r>
            <w:r>
              <w:rPr>
                <w:rFonts w:hint="eastAsia" w:ascii="Times New Roman" w:hAnsi="Times New Roman"/>
                <w:bCs/>
                <w:color w:val="auto"/>
                <w:sz w:val="24"/>
                <w:szCs w:val="24"/>
                <w:lang w:val="en-US" w:eastAsia="zh-CN"/>
              </w:rPr>
              <w:t>外售</w:t>
            </w:r>
            <w:r>
              <w:rPr>
                <w:rFonts w:ascii="Times New Roman" w:hAnsi="Times New Roman"/>
                <w:bCs/>
                <w:color w:val="auto"/>
                <w:sz w:val="24"/>
                <w:szCs w:val="24"/>
              </w:rPr>
              <w:t>废旧物资收购站</w:t>
            </w:r>
            <w:r>
              <w:rPr>
                <w:rFonts w:hint="eastAsia" w:ascii="Times New Roman" w:hAnsi="Times New Roman"/>
                <w:bCs/>
                <w:color w:val="auto"/>
                <w:sz w:val="24"/>
                <w:szCs w:val="24"/>
                <w:lang w:eastAsia="zh-CN"/>
              </w:rPr>
              <w:t>。</w:t>
            </w:r>
          </w:p>
          <w:p w14:paraId="2A04B87C">
            <w:pPr>
              <w:pStyle w:val="10"/>
              <w:keepNext w:val="0"/>
              <w:keepLines w:val="0"/>
              <w:pageBreakBefore w:val="0"/>
              <w:kinsoku/>
              <w:wordWrap/>
              <w:overflowPunct/>
              <w:topLinePunct w:val="0"/>
              <w:autoSpaceDE/>
              <w:autoSpaceDN/>
              <w:bidi w:val="0"/>
              <w:adjustRightInd w:val="0"/>
              <w:snapToGrid w:val="0"/>
              <w:spacing w:before="0" w:after="0" w:line="360" w:lineRule="auto"/>
              <w:ind w:right="0" w:firstLine="480" w:firstLineChars="200"/>
              <w:textAlignment w:val="auto"/>
              <w:rPr>
                <w:rFonts w:hint="default"/>
                <w:color w:val="auto"/>
                <w:lang w:val="en-US" w:eastAsia="zh-CN"/>
              </w:rPr>
            </w:pPr>
            <w:r>
              <w:rPr>
                <w:rFonts w:hint="eastAsia"/>
                <w:bCs/>
                <w:color w:val="auto"/>
                <w:sz w:val="24"/>
                <w:szCs w:val="24"/>
                <w:lang w:val="en-US" w:eastAsia="zh-CN"/>
              </w:rPr>
              <w:t>⑦污水处理设施污泥</w:t>
            </w:r>
          </w:p>
          <w:p w14:paraId="0D2AAB7C">
            <w:pPr>
              <w:pStyle w:val="46"/>
              <w:keepNext w:val="0"/>
              <w:keepLines w:val="0"/>
              <w:pageBreakBefore w:val="0"/>
              <w:widowControl w:val="0"/>
              <w:kinsoku/>
              <w:wordWrap/>
              <w:overflowPunct/>
              <w:topLinePunct w:val="0"/>
              <w:autoSpaceDE/>
              <w:autoSpaceDN/>
              <w:bidi w:val="0"/>
              <w:adjustRightInd/>
              <w:snapToGrid/>
              <w:spacing w:before="0" w:beforeLines="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参照《排污许可证申请与核发技术规范水处理（试行）》（HJ978-2018），污泥产生量按如下公式计算：</w:t>
            </w:r>
          </w:p>
          <w:p w14:paraId="21554B53">
            <w:pPr>
              <w:pStyle w:val="46"/>
              <w:keepNext w:val="0"/>
              <w:keepLines w:val="0"/>
              <w:pageBreakBefore w:val="0"/>
              <w:widowControl w:val="0"/>
              <w:kinsoku/>
              <w:wordWrap/>
              <w:overflowPunct/>
              <w:topLinePunct w:val="0"/>
              <w:autoSpaceDE/>
              <w:autoSpaceDN/>
              <w:bidi w:val="0"/>
              <w:adjustRightInd/>
              <w:snapToGrid/>
              <w:spacing w:before="0" w:beforeLines="0" w:line="360" w:lineRule="auto"/>
              <w:ind w:left="0" w:leftChars="0" w:firstLine="0" w:firstLineChars="0"/>
              <w:jc w:val="center"/>
              <w:textAlignment w:val="auto"/>
              <w:rPr>
                <w:rFonts w:hint="default" w:ascii="Times New Roman" w:hAnsi="Times New Roman" w:cs="Times New Roman"/>
                <w:color w:val="auto"/>
                <w:sz w:val="24"/>
                <w:szCs w:val="24"/>
                <w:highlight w:val="none"/>
                <w:lang w:val="en-US" w:eastAsia="zh-CN"/>
              </w:rPr>
            </w:pPr>
            <w:r>
              <w:rPr>
                <w:color w:val="auto"/>
              </w:rPr>
              <w:drawing>
                <wp:inline distT="0" distB="0" distL="114300" distR="114300">
                  <wp:extent cx="2562225" cy="4667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4"/>
                          <a:stretch>
                            <a:fillRect/>
                          </a:stretch>
                        </pic:blipFill>
                        <pic:spPr>
                          <a:xfrm>
                            <a:off x="0" y="0"/>
                            <a:ext cx="2562225" cy="466725"/>
                          </a:xfrm>
                          <a:prstGeom prst="rect">
                            <a:avLst/>
                          </a:prstGeom>
                          <a:noFill/>
                          <a:ln>
                            <a:noFill/>
                          </a:ln>
                        </pic:spPr>
                      </pic:pic>
                    </a:graphicData>
                  </a:graphic>
                </wp:inline>
              </w:drawing>
            </w:r>
          </w:p>
          <w:p w14:paraId="56AE4EDE">
            <w:pPr>
              <w:pStyle w:val="46"/>
              <w:keepNext w:val="0"/>
              <w:keepLines w:val="0"/>
              <w:pageBreakBefore w:val="0"/>
              <w:widowControl w:val="0"/>
              <w:kinsoku/>
              <w:wordWrap/>
              <w:overflowPunct/>
              <w:topLinePunct w:val="0"/>
              <w:autoSpaceDE/>
              <w:autoSpaceDN/>
              <w:bidi w:val="0"/>
              <w:adjustRightInd/>
              <w:snapToGrid/>
              <w:spacing w:before="0" w:beforeLines="0" w:line="360" w:lineRule="auto"/>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式中：E</w:t>
            </w:r>
            <w:r>
              <w:rPr>
                <w:rFonts w:hint="default" w:ascii="Times New Roman" w:hAnsi="Times New Roman" w:cs="Times New Roman"/>
                <w:color w:val="auto"/>
                <w:sz w:val="24"/>
                <w:szCs w:val="24"/>
                <w:highlight w:val="none"/>
                <w:vertAlign w:val="subscript"/>
                <w:lang w:val="en-US" w:eastAsia="zh-CN"/>
              </w:rPr>
              <w:t>产生量</w:t>
            </w:r>
            <w:r>
              <w:rPr>
                <w:rFonts w:hint="default" w:ascii="Times New Roman" w:hAnsi="Times New Roman" w:cs="Times New Roman"/>
                <w:color w:val="auto"/>
                <w:sz w:val="24"/>
                <w:szCs w:val="24"/>
                <w:highlight w:val="none"/>
                <w:lang w:val="en-US" w:eastAsia="zh-CN"/>
              </w:rPr>
              <w:t>—污水处理过程中产生的污泥量，以干泥计，t；</w:t>
            </w:r>
          </w:p>
          <w:p w14:paraId="4629C6BD">
            <w:pPr>
              <w:pStyle w:val="46"/>
              <w:keepNext w:val="0"/>
              <w:keepLines w:val="0"/>
              <w:pageBreakBefore w:val="0"/>
              <w:widowControl w:val="0"/>
              <w:kinsoku/>
              <w:wordWrap/>
              <w:overflowPunct/>
              <w:topLinePunct w:val="0"/>
              <w:autoSpaceDE/>
              <w:autoSpaceDN/>
              <w:bidi w:val="0"/>
              <w:adjustRightInd/>
              <w:snapToGrid/>
              <w:spacing w:before="0" w:beforeLines="0" w:line="360" w:lineRule="auto"/>
              <w:ind w:firstLine="1200" w:firstLineChars="5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Q—核算时段内排污单位废水排放量，m³，具有有效出水口实测值按实测值计，无有效出水口实测值按进水口实测值计，无有效进水口实测值按协议进水水量计，</w:t>
            </w:r>
            <w:r>
              <w:rPr>
                <w:rFonts w:hint="eastAsia" w:ascii="Times New Roman" w:hAnsi="Times New Roman" w:cs="Times New Roman"/>
                <w:color w:val="auto"/>
                <w:sz w:val="24"/>
                <w:szCs w:val="24"/>
                <w:highlight w:val="none"/>
                <w:lang w:val="en-US" w:eastAsia="zh-CN"/>
              </w:rPr>
              <w:t>技改后项目总</w:t>
            </w:r>
            <w:r>
              <w:rPr>
                <w:rFonts w:hint="default" w:ascii="Times New Roman" w:hAnsi="Times New Roman" w:cs="Times New Roman"/>
                <w:color w:val="auto"/>
                <w:sz w:val="24"/>
                <w:szCs w:val="24"/>
                <w:highlight w:val="none"/>
                <w:lang w:val="en-US" w:eastAsia="zh-CN"/>
              </w:rPr>
              <w:t>污水处理量为</w:t>
            </w:r>
            <w:r>
              <w:rPr>
                <w:rFonts w:hint="eastAsia" w:ascii="Times New Roman" w:hAnsi="Times New Roman" w:cs="Times New Roman"/>
                <w:color w:val="auto"/>
                <w:sz w:val="24"/>
                <w:szCs w:val="24"/>
                <w:highlight w:val="none"/>
                <w:lang w:val="en-US" w:eastAsia="zh-CN"/>
              </w:rPr>
              <w:t>9982</w:t>
            </w:r>
            <w:r>
              <w:rPr>
                <w:rFonts w:hint="default" w:ascii="Times New Roman" w:hAnsi="Times New Roman" w:cs="Times New Roman"/>
                <w:color w:val="auto"/>
                <w:sz w:val="24"/>
                <w:szCs w:val="24"/>
                <w:highlight w:val="none"/>
                <w:lang w:val="en-US" w:eastAsia="zh-CN"/>
              </w:rPr>
              <w:t>m³/a；</w:t>
            </w:r>
          </w:p>
          <w:p w14:paraId="79AC5276">
            <w:pPr>
              <w:pStyle w:val="46"/>
              <w:keepNext w:val="0"/>
              <w:keepLines w:val="0"/>
              <w:pageBreakBefore w:val="0"/>
              <w:widowControl w:val="0"/>
              <w:kinsoku/>
              <w:wordWrap/>
              <w:overflowPunct/>
              <w:topLinePunct w:val="0"/>
              <w:autoSpaceDE/>
              <w:autoSpaceDN/>
              <w:bidi w:val="0"/>
              <w:adjustRightInd/>
              <w:snapToGrid/>
              <w:spacing w:before="0" w:beforeLines="0" w:line="360" w:lineRule="auto"/>
              <w:ind w:firstLine="1200" w:firstLineChars="5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w:t>
            </w:r>
            <w:r>
              <w:rPr>
                <w:rFonts w:hint="default" w:ascii="Times New Roman" w:hAnsi="Times New Roman" w:cs="Times New Roman"/>
                <w:color w:val="auto"/>
                <w:sz w:val="24"/>
                <w:szCs w:val="24"/>
                <w:highlight w:val="none"/>
                <w:vertAlign w:val="subscript"/>
                <w:lang w:val="en-US" w:eastAsia="zh-CN"/>
              </w:rPr>
              <w:t>深</w:t>
            </w:r>
            <w:r>
              <w:rPr>
                <w:rFonts w:hint="default" w:ascii="Times New Roman" w:hAnsi="Times New Roman" w:cs="Times New Roman"/>
                <w:color w:val="auto"/>
                <w:sz w:val="24"/>
                <w:szCs w:val="24"/>
                <w:highlight w:val="none"/>
                <w:lang w:val="en-US" w:eastAsia="zh-CN"/>
              </w:rPr>
              <w:t>—有深度处理工艺（添加化学药剂）时按2计，无深度处理工艺时按1计。</w:t>
            </w:r>
            <w:r>
              <w:rPr>
                <w:rFonts w:hint="eastAsia" w:ascii="Times New Roman" w:hAnsi="Times New Roman" w:cs="Times New Roman"/>
                <w:color w:val="auto"/>
                <w:sz w:val="24"/>
                <w:szCs w:val="24"/>
                <w:highlight w:val="none"/>
                <w:lang w:val="en-US" w:eastAsia="zh-CN"/>
              </w:rPr>
              <w:t>本次</w:t>
            </w:r>
            <w:r>
              <w:rPr>
                <w:rFonts w:hint="default" w:ascii="Times New Roman" w:hAnsi="Times New Roman" w:cs="Times New Roman"/>
                <w:color w:val="auto"/>
                <w:sz w:val="24"/>
                <w:szCs w:val="24"/>
                <w:highlight w:val="none"/>
                <w:lang w:val="en-US" w:eastAsia="zh-CN"/>
              </w:rPr>
              <w:t>取2。</w:t>
            </w:r>
          </w:p>
          <w:p w14:paraId="7D67A2DB">
            <w:pPr>
              <w:pStyle w:val="46"/>
              <w:keepNext w:val="0"/>
              <w:keepLines w:val="0"/>
              <w:pageBreakBefore w:val="0"/>
              <w:widowControl w:val="0"/>
              <w:kinsoku/>
              <w:wordWrap/>
              <w:overflowPunct/>
              <w:topLinePunct w:val="0"/>
              <w:autoSpaceDE/>
              <w:autoSpaceDN/>
              <w:bidi w:val="0"/>
              <w:adjustRightInd/>
              <w:snapToGrid/>
              <w:spacing w:before="0" w:beforeLines="0" w:line="360" w:lineRule="auto"/>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经计算，污泥产生量为</w:t>
            </w:r>
            <w:r>
              <w:rPr>
                <w:rFonts w:hint="eastAsia" w:ascii="Times New Roman" w:hAnsi="Times New Roman" w:cs="Times New Roman"/>
                <w:color w:val="auto"/>
                <w:sz w:val="24"/>
                <w:szCs w:val="24"/>
                <w:highlight w:val="none"/>
                <w:lang w:val="en-US" w:eastAsia="zh-CN"/>
              </w:rPr>
              <w:t>3.39</w:t>
            </w:r>
            <w:r>
              <w:rPr>
                <w:rFonts w:hint="default" w:ascii="Times New Roman" w:hAnsi="Times New Roman" w:cs="Times New Roman"/>
                <w:color w:val="auto"/>
                <w:sz w:val="24"/>
                <w:szCs w:val="24"/>
                <w:highlight w:val="none"/>
                <w:lang w:val="en-US" w:eastAsia="zh-CN"/>
              </w:rPr>
              <w:t>t/a（干污泥）。含水率按75%计，则污泥产生量为</w:t>
            </w:r>
            <w:r>
              <w:rPr>
                <w:rFonts w:hint="eastAsia" w:ascii="Times New Roman" w:hAnsi="Times New Roman" w:cs="Times New Roman"/>
                <w:color w:val="auto"/>
                <w:sz w:val="24"/>
                <w:szCs w:val="24"/>
                <w:highlight w:val="none"/>
                <w:lang w:val="en-US" w:eastAsia="zh-CN"/>
              </w:rPr>
              <w:t>13.56</w:t>
            </w:r>
            <w:r>
              <w:rPr>
                <w:rFonts w:hint="default" w:ascii="Times New Roman" w:hAnsi="Times New Roman" w:cs="Times New Roman"/>
                <w:color w:val="auto"/>
                <w:sz w:val="24"/>
                <w:szCs w:val="24"/>
                <w:highlight w:val="none"/>
                <w:lang w:val="en-US" w:eastAsia="zh-CN"/>
              </w:rPr>
              <w:t>t/a</w:t>
            </w:r>
            <w:r>
              <w:rPr>
                <w:rFonts w:hint="eastAsia" w:ascii="Times New Roman" w:hAnsi="Times New Roman" w:cs="Times New Roman"/>
                <w:color w:val="auto"/>
                <w:sz w:val="24"/>
                <w:szCs w:val="24"/>
                <w:highlight w:val="none"/>
                <w:lang w:val="en-US" w:eastAsia="zh-CN"/>
              </w:rPr>
              <w:t>，委托环卫部门清掏、清运处置。</w:t>
            </w:r>
          </w:p>
          <w:p w14:paraId="330F8815">
            <w:pPr>
              <w:spacing w:line="360" w:lineRule="auto"/>
              <w:ind w:firstLine="482" w:firstLineChars="200"/>
              <w:rPr>
                <w:rFonts w:hint="default"/>
                <w:b/>
                <w:bCs/>
                <w:color w:val="auto"/>
                <w:sz w:val="24"/>
                <w:szCs w:val="24"/>
                <w:lang w:val="en-US" w:eastAsia="zh-CN"/>
              </w:rPr>
            </w:pPr>
            <w:r>
              <w:rPr>
                <w:rFonts w:hint="eastAsia"/>
                <w:b/>
                <w:bCs/>
                <w:color w:val="auto"/>
                <w:sz w:val="24"/>
                <w:szCs w:val="24"/>
                <w:lang w:val="en-US" w:eastAsia="zh-CN"/>
              </w:rPr>
              <w:t>（2）生活垃圾</w:t>
            </w:r>
            <w:r>
              <w:rPr>
                <w:rFonts w:hint="eastAsia" w:cs="Times New Roman"/>
                <w:b w:val="0"/>
                <w:bCs/>
                <w:color w:val="auto"/>
                <w:sz w:val="24"/>
                <w:szCs w:val="24"/>
                <w:lang w:val="en-US" w:eastAsia="zh-CN"/>
              </w:rPr>
              <w:t>（S7）</w:t>
            </w:r>
          </w:p>
          <w:p w14:paraId="7C07C8AF">
            <w:pPr>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本次技改</w:t>
            </w:r>
            <w:r>
              <w:rPr>
                <w:rFonts w:hint="eastAsia"/>
                <w:color w:val="auto"/>
                <w:sz w:val="24"/>
                <w:szCs w:val="24"/>
                <w:highlight w:val="none"/>
                <w:lang w:val="en-US" w:eastAsia="zh-CN"/>
              </w:rPr>
              <w:t>后，生活垃圾产生量不变</w:t>
            </w:r>
            <w:r>
              <w:rPr>
                <w:rFonts w:hint="eastAsia"/>
                <w:color w:val="auto"/>
                <w:sz w:val="24"/>
                <w:szCs w:val="24"/>
                <w:lang w:val="en-US" w:eastAsia="zh-CN"/>
              </w:rPr>
              <w:t>，仍为</w:t>
            </w:r>
            <w:r>
              <w:rPr>
                <w:rFonts w:ascii="Times New Roman" w:hAnsi="Times New Roman"/>
                <w:color w:val="auto"/>
                <w:sz w:val="24"/>
                <w:szCs w:val="24"/>
              </w:rPr>
              <w:t>3.75t/a，</w:t>
            </w:r>
            <w:r>
              <w:rPr>
                <w:rFonts w:hint="eastAsia" w:ascii="Times New Roman" w:hAnsi="Times New Roman" w:cs="Times New Roman"/>
                <w:b w:val="0"/>
                <w:bCs w:val="0"/>
                <w:color w:val="auto"/>
                <w:sz w:val="24"/>
                <w:lang w:val="en-US" w:eastAsia="zh-CN" w:bidi="ar"/>
              </w:rPr>
              <w:t>经垃圾桶收集后委托环卫部门定期清运处置。</w:t>
            </w:r>
          </w:p>
          <w:p w14:paraId="2F487B73">
            <w:pPr>
              <w:spacing w:line="360" w:lineRule="auto"/>
              <w:ind w:firstLine="482" w:firstLineChars="200"/>
              <w:rPr>
                <w:rFonts w:hint="default"/>
                <w:b/>
                <w:bCs/>
                <w:color w:val="auto"/>
                <w:sz w:val="24"/>
                <w:szCs w:val="24"/>
                <w:lang w:val="en-US" w:eastAsia="zh-CN"/>
              </w:rPr>
            </w:pPr>
            <w:r>
              <w:rPr>
                <w:rFonts w:hint="eastAsia"/>
                <w:b/>
                <w:bCs/>
                <w:color w:val="auto"/>
                <w:sz w:val="24"/>
                <w:szCs w:val="24"/>
                <w:lang w:val="en-US" w:eastAsia="zh-CN"/>
              </w:rPr>
              <w:t>（3）危险废物</w:t>
            </w:r>
          </w:p>
          <w:p w14:paraId="38B76087">
            <w:pPr>
              <w:spacing w:line="360" w:lineRule="auto"/>
              <w:ind w:firstLine="480" w:firstLineChars="200"/>
              <w:rPr>
                <w:rFonts w:hint="default" w:ascii="Times New Roman" w:hAnsi="Times New Roman"/>
                <w:color w:val="auto"/>
                <w:sz w:val="24"/>
                <w:szCs w:val="24"/>
                <w:lang w:val="en-US" w:eastAsia="zh-CN"/>
              </w:rPr>
            </w:pPr>
            <w:r>
              <w:rPr>
                <w:rFonts w:hint="eastAsia"/>
                <w:color w:val="auto"/>
                <w:sz w:val="24"/>
                <w:szCs w:val="24"/>
                <w:lang w:val="en-US" w:eastAsia="zh-CN"/>
              </w:rPr>
              <w:t>①废冷冻油</w:t>
            </w:r>
            <w:r>
              <w:rPr>
                <w:rFonts w:hint="eastAsia" w:cs="Times New Roman"/>
                <w:b w:val="0"/>
                <w:bCs/>
                <w:color w:val="auto"/>
                <w:sz w:val="24"/>
                <w:szCs w:val="24"/>
                <w:lang w:val="en-US" w:eastAsia="zh-CN"/>
              </w:rPr>
              <w:t>（S8）</w:t>
            </w:r>
          </w:p>
          <w:p w14:paraId="69D7AC6B">
            <w:pPr>
              <w:spacing w:line="360" w:lineRule="auto"/>
              <w:ind w:firstLine="480" w:firstLineChars="200"/>
              <w:rPr>
                <w:rFonts w:hint="default"/>
                <w:bCs/>
                <w:color w:val="auto"/>
                <w:spacing w:val="-10"/>
                <w:sz w:val="24"/>
                <w:lang w:val="en-US"/>
              </w:rPr>
            </w:pPr>
            <w:r>
              <w:rPr>
                <w:rFonts w:hint="eastAsia"/>
                <w:color w:val="auto"/>
                <w:sz w:val="24"/>
                <w:szCs w:val="24"/>
                <w:lang w:val="en-US" w:eastAsia="zh-CN"/>
              </w:rPr>
              <w:t>本次技改后，速冻车间废冷冻油产生量不变，仍</w:t>
            </w:r>
            <w:r>
              <w:rPr>
                <w:rFonts w:hint="eastAsia" w:ascii="Times New Roman" w:hAnsi="Times New Roman"/>
                <w:color w:val="auto"/>
                <w:sz w:val="24"/>
                <w:szCs w:val="24"/>
              </w:rPr>
              <w:t>为</w:t>
            </w:r>
            <w:r>
              <w:rPr>
                <w:rFonts w:hint="eastAsia"/>
                <w:color w:val="auto"/>
                <w:sz w:val="24"/>
                <w:szCs w:val="24"/>
                <w:lang w:val="en-US" w:eastAsia="zh-CN"/>
              </w:rPr>
              <w:t>0.1</w:t>
            </w:r>
            <w:r>
              <w:rPr>
                <w:rFonts w:ascii="Times New Roman" w:hAnsi="Times New Roman"/>
                <w:color w:val="auto"/>
                <w:sz w:val="24"/>
                <w:szCs w:val="24"/>
              </w:rPr>
              <w:t>t/a</w:t>
            </w:r>
            <w:r>
              <w:rPr>
                <w:rFonts w:hint="eastAsia"/>
                <w:color w:val="auto"/>
                <w:sz w:val="24"/>
                <w:szCs w:val="24"/>
                <w:lang w:eastAsia="zh-CN"/>
              </w:rPr>
              <w:t>。</w:t>
            </w:r>
            <w:r>
              <w:rPr>
                <w:rFonts w:ascii="Times New Roman" w:hAnsi="Times New Roman"/>
                <w:color w:val="auto"/>
                <w:sz w:val="24"/>
                <w:szCs w:val="24"/>
              </w:rPr>
              <w:t>根据《国家危险废物名录》（202</w:t>
            </w:r>
            <w:r>
              <w:rPr>
                <w:rFonts w:hint="eastAsia"/>
                <w:color w:val="auto"/>
                <w:sz w:val="24"/>
                <w:szCs w:val="24"/>
                <w:lang w:val="en-US" w:eastAsia="zh-CN"/>
              </w:rPr>
              <w:t>5</w:t>
            </w:r>
            <w:r>
              <w:rPr>
                <w:rFonts w:ascii="Times New Roman" w:hAnsi="Times New Roman"/>
                <w:color w:val="auto"/>
                <w:sz w:val="24"/>
                <w:szCs w:val="24"/>
              </w:rPr>
              <w:t>年版）</w:t>
            </w:r>
            <w:r>
              <w:rPr>
                <w:rFonts w:hint="eastAsia"/>
                <w:color w:val="auto"/>
                <w:sz w:val="24"/>
                <w:szCs w:val="24"/>
                <w:lang w:eastAsia="zh-CN"/>
              </w:rPr>
              <w:t>，</w:t>
            </w:r>
            <w:r>
              <w:rPr>
                <w:rFonts w:hint="eastAsia"/>
                <w:color w:val="auto"/>
                <w:sz w:val="24"/>
                <w:szCs w:val="24"/>
                <w:lang w:val="en-US" w:eastAsia="zh-CN"/>
              </w:rPr>
              <w:t>该固废</w:t>
            </w:r>
            <w:r>
              <w:rPr>
                <w:rFonts w:ascii="Times New Roman" w:hAnsi="Times New Roman"/>
                <w:color w:val="auto"/>
                <w:sz w:val="24"/>
                <w:szCs w:val="24"/>
              </w:rPr>
              <w:t>属于</w:t>
            </w:r>
            <w:r>
              <w:rPr>
                <w:color w:val="auto"/>
                <w:sz w:val="24"/>
              </w:rPr>
              <w:t>“HW08废矿物油与含矿物油废物”类别中的“</w:t>
            </w:r>
            <w:r>
              <w:rPr>
                <w:rFonts w:hint="eastAsia"/>
                <w:color w:val="auto"/>
                <w:sz w:val="24"/>
                <w:lang w:val="en-US" w:eastAsia="zh-CN"/>
              </w:rPr>
              <w:t>冷冻压缩设备维护、更换和拆解过程中产生的废冷冻机油</w:t>
            </w:r>
            <w:r>
              <w:rPr>
                <w:color w:val="auto"/>
                <w:sz w:val="24"/>
              </w:rPr>
              <w:t>”，危废代码为900-2</w:t>
            </w:r>
            <w:r>
              <w:rPr>
                <w:rFonts w:hint="eastAsia"/>
                <w:color w:val="auto"/>
                <w:sz w:val="24"/>
                <w:lang w:val="en-US" w:eastAsia="zh-CN"/>
              </w:rPr>
              <w:t>1</w:t>
            </w:r>
            <w:r>
              <w:rPr>
                <w:color w:val="auto"/>
                <w:sz w:val="24"/>
              </w:rPr>
              <w:t>9-08</w:t>
            </w:r>
            <w:r>
              <w:rPr>
                <w:rFonts w:hint="eastAsia"/>
                <w:color w:val="auto"/>
                <w:sz w:val="24"/>
              </w:rPr>
              <w:t>，</w:t>
            </w:r>
            <w:r>
              <w:rPr>
                <w:color w:val="auto"/>
                <w:kern w:val="1"/>
                <w:sz w:val="24"/>
              </w:rPr>
              <w:t>危险特性为T、I</w:t>
            </w:r>
            <w:r>
              <w:rPr>
                <w:bCs/>
                <w:color w:val="auto"/>
                <w:sz w:val="24"/>
              </w:rPr>
              <w:t>。统一收集后暂存于危废</w:t>
            </w:r>
            <w:r>
              <w:rPr>
                <w:rFonts w:hint="eastAsia"/>
                <w:bCs/>
                <w:color w:val="auto"/>
                <w:sz w:val="24"/>
                <w:lang w:val="en-US" w:eastAsia="zh-CN"/>
              </w:rPr>
              <w:t>贮存</w:t>
            </w:r>
            <w:r>
              <w:rPr>
                <w:bCs/>
                <w:color w:val="auto"/>
                <w:sz w:val="24"/>
              </w:rPr>
              <w:t>间内，</w:t>
            </w:r>
            <w:r>
              <w:rPr>
                <w:rFonts w:ascii="Times New Roman" w:hAnsi="Times New Roman"/>
                <w:bCs/>
                <w:color w:val="auto"/>
                <w:spacing w:val="-10"/>
                <w:sz w:val="24"/>
                <w:highlight w:val="none"/>
              </w:rPr>
              <w:t>定期委托</w:t>
            </w:r>
            <w:r>
              <w:rPr>
                <w:rFonts w:hint="eastAsia" w:ascii="Times New Roman" w:hAnsi="Times New Roman"/>
                <w:bCs/>
                <w:color w:val="auto"/>
                <w:spacing w:val="-10"/>
                <w:sz w:val="24"/>
                <w:highlight w:val="none"/>
                <w:lang w:val="en-US" w:eastAsia="zh-CN"/>
              </w:rPr>
              <w:t>云南大地丰源环保有限公司处置</w:t>
            </w:r>
            <w:r>
              <w:rPr>
                <w:rFonts w:hint="eastAsia"/>
                <w:bCs/>
                <w:color w:val="auto"/>
                <w:spacing w:val="-10"/>
                <w:sz w:val="24"/>
              </w:rPr>
              <w:t>。</w:t>
            </w:r>
            <w:r>
              <w:rPr>
                <w:rFonts w:hint="eastAsia" w:ascii="Times New Roman" w:hAnsi="Times New Roman"/>
                <w:bCs/>
                <w:color w:val="auto"/>
                <w:spacing w:val="-10"/>
                <w:sz w:val="24"/>
                <w:highlight w:val="none"/>
                <w:lang w:val="en-US" w:eastAsia="zh-CN"/>
              </w:rPr>
              <w:t>云南大地丰源环保有限公司</w:t>
            </w:r>
            <w:r>
              <w:rPr>
                <w:rFonts w:hint="eastAsia"/>
                <w:bCs/>
                <w:color w:val="auto"/>
                <w:spacing w:val="-10"/>
                <w:sz w:val="24"/>
                <w:highlight w:val="none"/>
                <w:lang w:val="en-US" w:eastAsia="zh-CN"/>
              </w:rPr>
              <w:t>为有资质的危废处置单位，建设单位已与其签订了危废处置协议（详见附件8）。</w:t>
            </w:r>
          </w:p>
          <w:p w14:paraId="158562F2">
            <w:pPr>
              <w:keepNext w:val="0"/>
              <w:keepLines w:val="0"/>
              <w:pageBreakBefore w:val="0"/>
              <w:widowControl w:val="0"/>
              <w:kinsoku/>
              <w:wordWrap/>
              <w:overflowPunct/>
              <w:topLinePunct w:val="0"/>
              <w:autoSpaceDE/>
              <w:autoSpaceDN/>
              <w:bidi w:val="0"/>
              <w:adjustRightInd/>
              <w:spacing w:line="360" w:lineRule="auto"/>
              <w:ind w:firstLine="440" w:firstLineChars="200"/>
              <w:textAlignment w:val="auto"/>
              <w:rPr>
                <w:rFonts w:hint="default" w:ascii="Times New Roman" w:hAnsi="Times New Roman" w:eastAsia="宋体" w:cs="宋体"/>
                <w:color w:val="auto"/>
                <w:sz w:val="24"/>
                <w:szCs w:val="24"/>
                <w:highlight w:val="none"/>
                <w:lang w:val="en-US" w:eastAsia="zh-CN"/>
              </w:rPr>
            </w:pPr>
            <w:r>
              <w:rPr>
                <w:rFonts w:hint="eastAsia"/>
                <w:bCs/>
                <w:color w:val="auto"/>
                <w:spacing w:val="-10"/>
                <w:sz w:val="24"/>
                <w:lang w:val="en-US" w:eastAsia="zh-CN"/>
              </w:rPr>
              <w:t>②</w:t>
            </w:r>
            <w:r>
              <w:rPr>
                <w:rFonts w:hint="eastAsia" w:ascii="Times New Roman" w:hAnsi="Times New Roman" w:eastAsia="宋体" w:cs="宋体"/>
                <w:color w:val="auto"/>
                <w:sz w:val="24"/>
                <w:szCs w:val="24"/>
                <w:highlight w:val="none"/>
                <w:lang w:val="en-US" w:eastAsia="zh-CN"/>
              </w:rPr>
              <w:t>废包装桶</w:t>
            </w:r>
            <w:r>
              <w:rPr>
                <w:rFonts w:hint="eastAsia" w:cs="Times New Roman"/>
                <w:b w:val="0"/>
                <w:bCs/>
                <w:color w:val="auto"/>
                <w:sz w:val="24"/>
                <w:szCs w:val="24"/>
                <w:lang w:val="en-US" w:eastAsia="zh-CN"/>
              </w:rPr>
              <w:t>（S9）</w:t>
            </w:r>
          </w:p>
          <w:p w14:paraId="6364A3F0">
            <w:pPr>
              <w:pStyle w:val="2"/>
              <w:spacing w:line="360" w:lineRule="auto"/>
              <w:rPr>
                <w:rFonts w:hint="default"/>
                <w:color w:val="auto"/>
                <w:lang w:val="en-US" w:eastAsia="zh-CN"/>
              </w:rPr>
            </w:pPr>
            <w:r>
              <w:rPr>
                <w:rFonts w:hint="eastAsia"/>
                <w:color w:val="auto"/>
                <w:sz w:val="24"/>
                <w:szCs w:val="24"/>
                <w:lang w:val="en-US" w:eastAsia="zh-CN"/>
              </w:rPr>
              <w:t>本次技改后，废</w:t>
            </w:r>
            <w:r>
              <w:rPr>
                <w:rFonts w:hint="eastAsia" w:ascii="Times New Roman" w:hAnsi="Times New Roman" w:cs="Times New Roman"/>
                <w:color w:val="auto"/>
                <w:sz w:val="24"/>
                <w:szCs w:val="24"/>
                <w:highlight w:val="none"/>
                <w:lang w:val="en-US" w:eastAsia="zh-CN"/>
              </w:rPr>
              <w:t>酸碱液</w:t>
            </w:r>
            <w:r>
              <w:rPr>
                <w:rFonts w:hint="eastAsia" w:cs="Times New Roman"/>
                <w:color w:val="auto"/>
                <w:sz w:val="24"/>
                <w:szCs w:val="24"/>
                <w:highlight w:val="none"/>
                <w:lang w:val="en-US" w:eastAsia="zh-CN"/>
              </w:rPr>
              <w:t>包装</w:t>
            </w:r>
            <w:r>
              <w:rPr>
                <w:rFonts w:hint="eastAsia" w:ascii="Times New Roman" w:hAnsi="Times New Roman" w:cs="Times New Roman"/>
                <w:color w:val="auto"/>
                <w:sz w:val="24"/>
                <w:szCs w:val="24"/>
                <w:highlight w:val="none"/>
                <w:lang w:val="en-US" w:eastAsia="zh-CN"/>
              </w:rPr>
              <w:t>桶</w:t>
            </w:r>
            <w:r>
              <w:rPr>
                <w:rFonts w:hint="eastAsia" w:cs="Times New Roman"/>
                <w:color w:val="auto"/>
                <w:sz w:val="24"/>
                <w:szCs w:val="24"/>
                <w:highlight w:val="none"/>
                <w:lang w:val="en-US" w:eastAsia="zh-CN"/>
              </w:rPr>
              <w:t>产生量不变，仍</w:t>
            </w:r>
            <w:r>
              <w:rPr>
                <w:rFonts w:hint="eastAsia" w:ascii="Times New Roman" w:hAnsi="Times New Roman"/>
                <w:color w:val="auto"/>
                <w:sz w:val="24"/>
                <w:szCs w:val="24"/>
                <w:highlight w:val="none"/>
              </w:rPr>
              <w:t>为</w:t>
            </w:r>
            <w:r>
              <w:rPr>
                <w:rFonts w:hint="eastAsia" w:ascii="Times New Roman" w:hAnsi="Times New Roman"/>
                <w:color w:val="auto"/>
                <w:sz w:val="24"/>
                <w:szCs w:val="24"/>
                <w:highlight w:val="none"/>
                <w:lang w:val="en-US" w:eastAsia="zh-CN"/>
              </w:rPr>
              <w:t>1.5</w:t>
            </w:r>
            <w:r>
              <w:rPr>
                <w:rFonts w:ascii="Times New Roman" w:hAnsi="Times New Roman"/>
                <w:color w:val="auto"/>
                <w:sz w:val="24"/>
                <w:szCs w:val="24"/>
                <w:highlight w:val="none"/>
              </w:rPr>
              <w:t>t/a，根据《国家危险废物名录》（202</w:t>
            </w:r>
            <w:r>
              <w:rPr>
                <w:rFonts w:hint="eastAsia" w:ascii="Times New Roman" w:hAnsi="Times New Roman"/>
                <w:color w:val="auto"/>
                <w:sz w:val="24"/>
                <w:szCs w:val="24"/>
                <w:highlight w:val="none"/>
                <w:lang w:val="en-US" w:eastAsia="zh-CN"/>
              </w:rPr>
              <w:t>5</w:t>
            </w:r>
            <w:r>
              <w:rPr>
                <w:rFonts w:ascii="Times New Roman" w:hAnsi="Times New Roman"/>
                <w:color w:val="auto"/>
                <w:sz w:val="24"/>
                <w:szCs w:val="24"/>
                <w:highlight w:val="none"/>
              </w:rPr>
              <w:t>年版）</w:t>
            </w:r>
            <w:r>
              <w:rPr>
                <w:rFonts w:hint="eastAsia"/>
                <w:color w:val="auto"/>
                <w:sz w:val="24"/>
                <w:szCs w:val="24"/>
                <w:highlight w:val="none"/>
                <w:lang w:eastAsia="zh-CN"/>
              </w:rPr>
              <w:t>，</w:t>
            </w:r>
            <w:r>
              <w:rPr>
                <w:rFonts w:hint="eastAsia"/>
                <w:color w:val="auto"/>
                <w:sz w:val="24"/>
                <w:szCs w:val="24"/>
                <w:highlight w:val="none"/>
                <w:lang w:val="en-US" w:eastAsia="zh-CN"/>
              </w:rPr>
              <w:t>该固废</w:t>
            </w:r>
            <w:r>
              <w:rPr>
                <w:rFonts w:ascii="Times New Roman" w:hAnsi="Times New Roman"/>
                <w:color w:val="auto"/>
                <w:sz w:val="24"/>
                <w:szCs w:val="24"/>
                <w:highlight w:val="none"/>
              </w:rPr>
              <w:t>属于</w:t>
            </w:r>
            <w:r>
              <w:rPr>
                <w:rFonts w:ascii="Times New Roman" w:hAnsi="Times New Roman"/>
                <w:color w:val="auto"/>
                <w:sz w:val="24"/>
                <w:highlight w:val="none"/>
              </w:rPr>
              <w:t>“HW</w:t>
            </w:r>
            <w:r>
              <w:rPr>
                <w:rFonts w:hint="eastAsia" w:ascii="Times New Roman" w:hAnsi="Times New Roman"/>
                <w:color w:val="auto"/>
                <w:sz w:val="24"/>
                <w:highlight w:val="none"/>
                <w:lang w:val="en-US" w:eastAsia="zh-CN"/>
              </w:rPr>
              <w:t>49其他废物</w:t>
            </w:r>
            <w:r>
              <w:rPr>
                <w:rFonts w:ascii="Times New Roman" w:hAnsi="Times New Roman"/>
                <w:color w:val="auto"/>
                <w:sz w:val="24"/>
                <w:highlight w:val="none"/>
              </w:rPr>
              <w:t>”类别中的“</w:t>
            </w:r>
            <w:r>
              <w:rPr>
                <w:rFonts w:hint="eastAsia" w:ascii="Times New Roman" w:hAnsi="Times New Roman"/>
                <w:color w:val="auto"/>
                <w:sz w:val="24"/>
                <w:highlight w:val="none"/>
                <w:lang w:val="en-US" w:eastAsia="zh-CN"/>
              </w:rPr>
              <w:t>含有或沾染性、感染性危险废物的废弃包装物、容器、过滤吸附介质</w:t>
            </w:r>
            <w:r>
              <w:rPr>
                <w:rFonts w:ascii="Times New Roman" w:hAnsi="Times New Roman"/>
                <w:color w:val="auto"/>
                <w:sz w:val="24"/>
                <w:highlight w:val="none"/>
              </w:rPr>
              <w:t>”，危废代码为900-</w:t>
            </w:r>
            <w:r>
              <w:rPr>
                <w:rFonts w:hint="eastAsia" w:ascii="Times New Roman" w:hAnsi="Times New Roman"/>
                <w:color w:val="auto"/>
                <w:sz w:val="24"/>
                <w:highlight w:val="none"/>
                <w:lang w:val="en-US" w:eastAsia="zh-CN"/>
              </w:rPr>
              <w:t>041</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49</w:t>
            </w:r>
            <w:r>
              <w:rPr>
                <w:rFonts w:hint="eastAsia" w:ascii="Times New Roman" w:hAnsi="Times New Roman"/>
                <w:color w:val="auto"/>
                <w:sz w:val="24"/>
                <w:highlight w:val="none"/>
              </w:rPr>
              <w:t>，</w:t>
            </w:r>
            <w:r>
              <w:rPr>
                <w:rFonts w:ascii="Times New Roman" w:hAnsi="Times New Roman"/>
                <w:color w:val="auto"/>
                <w:kern w:val="1"/>
                <w:sz w:val="24"/>
                <w:highlight w:val="none"/>
              </w:rPr>
              <w:t>危险特性为T、I</w:t>
            </w:r>
            <w:r>
              <w:rPr>
                <w:rFonts w:hint="eastAsia" w:ascii="Times New Roman" w:hAnsi="Times New Roman"/>
                <w:color w:val="auto"/>
                <w:kern w:val="1"/>
                <w:sz w:val="24"/>
                <w:highlight w:val="none"/>
                <w:lang w:val="en-US" w:eastAsia="zh-CN"/>
              </w:rPr>
              <w:t>n</w:t>
            </w:r>
            <w:r>
              <w:rPr>
                <w:rFonts w:ascii="Times New Roman" w:hAnsi="Times New Roman"/>
                <w:bCs/>
                <w:color w:val="auto"/>
                <w:sz w:val="24"/>
                <w:highlight w:val="none"/>
              </w:rPr>
              <w:t>。统一收集后暂存于</w:t>
            </w:r>
            <w:r>
              <w:rPr>
                <w:bCs/>
                <w:color w:val="auto"/>
                <w:sz w:val="24"/>
              </w:rPr>
              <w:t>危废</w:t>
            </w:r>
            <w:r>
              <w:rPr>
                <w:rFonts w:hint="eastAsia"/>
                <w:bCs/>
                <w:color w:val="auto"/>
                <w:sz w:val="24"/>
                <w:lang w:val="en-US" w:eastAsia="zh-CN"/>
              </w:rPr>
              <w:t>贮存</w:t>
            </w:r>
            <w:r>
              <w:rPr>
                <w:bCs/>
                <w:color w:val="auto"/>
                <w:sz w:val="24"/>
              </w:rPr>
              <w:t>间</w:t>
            </w:r>
            <w:r>
              <w:rPr>
                <w:rFonts w:ascii="Times New Roman" w:hAnsi="Times New Roman"/>
                <w:bCs/>
                <w:color w:val="auto"/>
                <w:sz w:val="24"/>
                <w:highlight w:val="none"/>
              </w:rPr>
              <w:t>内，</w:t>
            </w:r>
            <w:r>
              <w:rPr>
                <w:rFonts w:ascii="Times New Roman" w:hAnsi="Times New Roman"/>
                <w:bCs/>
                <w:color w:val="auto"/>
                <w:spacing w:val="-10"/>
                <w:sz w:val="24"/>
                <w:highlight w:val="none"/>
              </w:rPr>
              <w:t>定期委托</w:t>
            </w:r>
            <w:r>
              <w:rPr>
                <w:rFonts w:hint="eastAsia" w:ascii="Times New Roman" w:hAnsi="Times New Roman"/>
                <w:bCs/>
                <w:color w:val="auto"/>
                <w:spacing w:val="-10"/>
                <w:sz w:val="24"/>
                <w:highlight w:val="none"/>
                <w:lang w:val="en-US" w:eastAsia="zh-CN"/>
              </w:rPr>
              <w:t>云南大地丰源环保有限公司处置。</w:t>
            </w:r>
          </w:p>
          <w:p w14:paraId="204865A5">
            <w:pPr>
              <w:widowControl/>
              <w:spacing w:line="360" w:lineRule="auto"/>
              <w:ind w:firstLine="482"/>
              <w:rPr>
                <w:rFonts w:ascii="Times New Roman" w:hAnsi="Times New Roman"/>
                <w:b/>
                <w:color w:val="auto"/>
                <w:sz w:val="21"/>
                <w:szCs w:val="21"/>
              </w:rPr>
            </w:pPr>
            <w:r>
              <w:rPr>
                <w:color w:val="auto"/>
                <w:sz w:val="24"/>
              </w:rPr>
              <w:t>综上所述，</w:t>
            </w:r>
            <w:r>
              <w:rPr>
                <w:rFonts w:hint="eastAsia"/>
                <w:color w:val="auto"/>
                <w:sz w:val="24"/>
                <w:lang w:val="en-US" w:eastAsia="zh-CN"/>
              </w:rPr>
              <w:t>本次技改后</w:t>
            </w:r>
            <w:r>
              <w:rPr>
                <w:color w:val="auto"/>
                <w:sz w:val="24"/>
              </w:rPr>
              <w:t>运营期固废汇总情况见下表。</w:t>
            </w:r>
          </w:p>
          <w:p w14:paraId="6F34022B">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b/>
                <w:color w:val="auto"/>
                <w:sz w:val="21"/>
                <w:szCs w:val="21"/>
              </w:rPr>
            </w:pPr>
            <w:r>
              <w:rPr>
                <w:rFonts w:ascii="Times New Roman" w:hAnsi="Times New Roman"/>
                <w:b/>
                <w:color w:val="auto"/>
                <w:sz w:val="21"/>
                <w:szCs w:val="21"/>
              </w:rPr>
              <w:t>表4-</w:t>
            </w:r>
            <w:r>
              <w:rPr>
                <w:rFonts w:hint="eastAsia" w:ascii="Times New Roman" w:hAnsi="Times New Roman"/>
                <w:b/>
                <w:color w:val="auto"/>
                <w:sz w:val="21"/>
                <w:szCs w:val="21"/>
                <w:lang w:val="en-US" w:eastAsia="zh-CN"/>
              </w:rPr>
              <w:t xml:space="preserve">20  </w:t>
            </w:r>
            <w:r>
              <w:rPr>
                <w:rFonts w:ascii="Times New Roman" w:hAnsi="Times New Roman"/>
                <w:b/>
                <w:color w:val="auto"/>
                <w:sz w:val="21"/>
                <w:szCs w:val="21"/>
              </w:rPr>
              <w:t>主要固废产生及处置情况一览表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791"/>
              <w:gridCol w:w="900"/>
              <w:gridCol w:w="714"/>
              <w:gridCol w:w="668"/>
              <w:gridCol w:w="666"/>
              <w:gridCol w:w="916"/>
              <w:gridCol w:w="481"/>
              <w:gridCol w:w="916"/>
              <w:gridCol w:w="865"/>
              <w:gridCol w:w="667"/>
            </w:tblGrid>
            <w:tr w14:paraId="1999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97" w:type="dxa"/>
                  <w:shd w:val="clear" w:color="auto" w:fill="auto"/>
                  <w:noWrap w:val="0"/>
                  <w:vAlign w:val="center"/>
                </w:tcPr>
                <w:p w14:paraId="7C582C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cs="Times New Roman"/>
                      <w:b/>
                      <w:bCs w:val="0"/>
                      <w:color w:val="auto"/>
                      <w:sz w:val="21"/>
                      <w:szCs w:val="21"/>
                      <w:lang w:val="en-US" w:eastAsia="zh-CN"/>
                    </w:rPr>
                    <w:t>产污环节</w:t>
                  </w:r>
                </w:p>
              </w:tc>
              <w:tc>
                <w:tcPr>
                  <w:tcW w:w="791" w:type="dxa"/>
                  <w:shd w:val="clear" w:color="auto" w:fill="auto"/>
                  <w:noWrap w:val="0"/>
                  <w:vAlign w:val="center"/>
                </w:tcPr>
                <w:p w14:paraId="3EEE2A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cs="Times New Roman"/>
                      <w:b/>
                      <w:bCs w:val="0"/>
                      <w:color w:val="auto"/>
                      <w:sz w:val="21"/>
                      <w:szCs w:val="21"/>
                      <w:lang w:val="en-US" w:eastAsia="zh-CN"/>
                    </w:rPr>
                    <w:t>污染物名称</w:t>
                  </w:r>
                </w:p>
              </w:tc>
              <w:tc>
                <w:tcPr>
                  <w:tcW w:w="900" w:type="dxa"/>
                  <w:shd w:val="clear" w:color="auto" w:fill="auto"/>
                  <w:noWrap w:val="0"/>
                  <w:vAlign w:val="center"/>
                </w:tcPr>
                <w:p w14:paraId="19AE01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属性</w:t>
                  </w:r>
                </w:p>
              </w:tc>
              <w:tc>
                <w:tcPr>
                  <w:tcW w:w="714" w:type="dxa"/>
                  <w:shd w:val="clear" w:color="auto" w:fill="auto"/>
                  <w:noWrap w:val="0"/>
                  <w:vAlign w:val="center"/>
                </w:tcPr>
                <w:p w14:paraId="6DE9505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主要有毒有害物质名称</w:t>
                  </w:r>
                </w:p>
              </w:tc>
              <w:tc>
                <w:tcPr>
                  <w:tcW w:w="668" w:type="dxa"/>
                  <w:shd w:val="clear" w:color="auto" w:fill="auto"/>
                  <w:noWrap w:val="0"/>
                  <w:vAlign w:val="center"/>
                </w:tcPr>
                <w:p w14:paraId="254E0E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物理性状</w:t>
                  </w:r>
                </w:p>
              </w:tc>
              <w:tc>
                <w:tcPr>
                  <w:tcW w:w="666" w:type="dxa"/>
                  <w:shd w:val="clear" w:color="auto" w:fill="auto"/>
                  <w:noWrap w:val="0"/>
                  <w:vAlign w:val="center"/>
                </w:tcPr>
                <w:p w14:paraId="21494A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环境危险特性</w:t>
                  </w:r>
                </w:p>
              </w:tc>
              <w:tc>
                <w:tcPr>
                  <w:tcW w:w="916" w:type="dxa"/>
                  <w:shd w:val="clear" w:color="auto" w:fill="auto"/>
                  <w:noWrap w:val="0"/>
                  <w:vAlign w:val="center"/>
                </w:tcPr>
                <w:p w14:paraId="210756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年度产生量</w:t>
                  </w:r>
                  <w:r>
                    <w:rPr>
                      <w:rFonts w:hint="default" w:ascii="Times New Roman" w:hAnsi="Times New Roman" w:eastAsia="宋体" w:cs="Times New Roman"/>
                      <w:b/>
                      <w:bCs w:val="0"/>
                      <w:color w:val="auto"/>
                      <w:sz w:val="21"/>
                      <w:szCs w:val="21"/>
                      <w:lang w:eastAsia="zh-CN"/>
                    </w:rPr>
                    <w:t>（</w:t>
                  </w:r>
                  <w:r>
                    <w:rPr>
                      <w:rFonts w:hint="eastAsia" w:cs="Times New Roman"/>
                      <w:b/>
                      <w:bCs w:val="0"/>
                      <w:color w:val="auto"/>
                      <w:sz w:val="21"/>
                      <w:szCs w:val="21"/>
                      <w:lang w:val="en-US" w:eastAsia="zh-CN"/>
                    </w:rPr>
                    <w:t>t</w:t>
                  </w:r>
                  <w:r>
                    <w:rPr>
                      <w:rFonts w:hint="eastAsia" w:ascii="Times New Roman" w:hAnsi="Times New Roman" w:cs="Times New Roman"/>
                      <w:b/>
                      <w:bCs w:val="0"/>
                      <w:color w:val="auto"/>
                      <w:sz w:val="21"/>
                      <w:szCs w:val="21"/>
                      <w:lang w:val="en-US" w:eastAsia="zh-CN"/>
                    </w:rPr>
                    <w:t>/a</w:t>
                  </w:r>
                  <w:r>
                    <w:rPr>
                      <w:rFonts w:hint="default" w:ascii="Times New Roman" w:hAnsi="Times New Roman" w:eastAsia="宋体" w:cs="Times New Roman"/>
                      <w:b/>
                      <w:bCs w:val="0"/>
                      <w:color w:val="auto"/>
                      <w:sz w:val="21"/>
                      <w:szCs w:val="21"/>
                      <w:lang w:eastAsia="zh-CN"/>
                    </w:rPr>
                    <w:t>）</w:t>
                  </w:r>
                </w:p>
              </w:tc>
              <w:tc>
                <w:tcPr>
                  <w:tcW w:w="481" w:type="dxa"/>
                  <w:shd w:val="clear" w:color="auto" w:fill="auto"/>
                  <w:noWrap w:val="0"/>
                  <w:vAlign w:val="center"/>
                </w:tcPr>
                <w:p w14:paraId="1941AB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贮存方式</w:t>
                  </w:r>
                </w:p>
              </w:tc>
              <w:tc>
                <w:tcPr>
                  <w:tcW w:w="916" w:type="dxa"/>
                  <w:shd w:val="clear" w:color="auto" w:fill="auto"/>
                  <w:noWrap w:val="0"/>
                  <w:vAlign w:val="center"/>
                </w:tcPr>
                <w:p w14:paraId="1418DA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利用处置方式和去向</w:t>
                  </w:r>
                </w:p>
              </w:tc>
              <w:tc>
                <w:tcPr>
                  <w:tcW w:w="865" w:type="dxa"/>
                  <w:shd w:val="clear" w:color="auto" w:fill="auto"/>
                  <w:noWrap w:val="0"/>
                  <w:vAlign w:val="center"/>
                </w:tcPr>
                <w:p w14:paraId="34268E7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利用或处置量</w:t>
                  </w:r>
                  <w:r>
                    <w:rPr>
                      <w:rFonts w:hint="eastAsia" w:ascii="Times New Roman" w:hAnsi="Times New Roman" w:cs="Times New Roman"/>
                      <w:b/>
                      <w:bCs w:val="0"/>
                      <w:color w:val="auto"/>
                      <w:sz w:val="21"/>
                      <w:szCs w:val="21"/>
                      <w:lang w:eastAsia="zh-CN"/>
                    </w:rPr>
                    <w:t>（</w:t>
                  </w:r>
                  <w:r>
                    <w:rPr>
                      <w:rFonts w:hint="eastAsia" w:cs="Times New Roman"/>
                      <w:b/>
                      <w:bCs w:val="0"/>
                      <w:color w:val="auto"/>
                      <w:sz w:val="21"/>
                      <w:szCs w:val="21"/>
                      <w:lang w:val="en-US" w:eastAsia="zh-CN"/>
                    </w:rPr>
                    <w:t>t</w:t>
                  </w:r>
                  <w:r>
                    <w:rPr>
                      <w:rFonts w:hint="eastAsia" w:ascii="Times New Roman" w:hAnsi="Times New Roman" w:cs="Times New Roman"/>
                      <w:b/>
                      <w:bCs w:val="0"/>
                      <w:color w:val="auto"/>
                      <w:sz w:val="21"/>
                      <w:szCs w:val="21"/>
                      <w:lang w:val="en-US" w:eastAsia="zh-CN"/>
                    </w:rPr>
                    <w:t>/a</w:t>
                  </w:r>
                  <w:r>
                    <w:rPr>
                      <w:rFonts w:hint="eastAsia" w:ascii="Times New Roman" w:hAnsi="Times New Roman" w:cs="Times New Roman"/>
                      <w:b/>
                      <w:bCs w:val="0"/>
                      <w:color w:val="auto"/>
                      <w:sz w:val="21"/>
                      <w:szCs w:val="21"/>
                      <w:lang w:eastAsia="zh-CN"/>
                    </w:rPr>
                    <w:t>）</w:t>
                  </w:r>
                </w:p>
              </w:tc>
              <w:tc>
                <w:tcPr>
                  <w:tcW w:w="667" w:type="dxa"/>
                  <w:shd w:val="clear" w:color="auto" w:fill="auto"/>
                  <w:noWrap w:val="0"/>
                  <w:vAlign w:val="center"/>
                </w:tcPr>
                <w:p w14:paraId="25549E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环境管理要求</w:t>
                  </w:r>
                </w:p>
              </w:tc>
            </w:tr>
            <w:tr w14:paraId="1F51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97" w:type="dxa"/>
                  <w:shd w:val="clear" w:color="auto" w:fill="auto"/>
                  <w:noWrap w:val="0"/>
                  <w:vAlign w:val="center"/>
                </w:tcPr>
                <w:p w14:paraId="046A772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挑选、去梗、去皮、去核、打浆等</w:t>
                  </w:r>
                </w:p>
              </w:tc>
              <w:tc>
                <w:tcPr>
                  <w:tcW w:w="791" w:type="dxa"/>
                  <w:shd w:val="clear" w:color="auto" w:fill="auto"/>
                  <w:noWrap w:val="0"/>
                  <w:vAlign w:val="center"/>
                </w:tcPr>
                <w:p w14:paraId="3D61AF0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color w:val="auto"/>
                      <w:sz w:val="21"/>
                      <w:szCs w:val="21"/>
                      <w:lang w:val="en-US" w:eastAsia="zh-CN"/>
                    </w:rPr>
                  </w:pPr>
                  <w:r>
                    <w:rPr>
                      <w:rFonts w:hint="eastAsia" w:ascii="宋体" w:hAnsi="宋体" w:eastAsia="宋体" w:cs="宋体"/>
                      <w:color w:val="auto"/>
                      <w:sz w:val="21"/>
                      <w:szCs w:val="21"/>
                      <w:lang w:val="en-US" w:eastAsia="zh-CN"/>
                    </w:rPr>
                    <w:t>废果、</w:t>
                  </w:r>
                  <w:r>
                    <w:rPr>
                      <w:rFonts w:hint="eastAsia" w:cs="Times New Roman"/>
                      <w:b w:val="0"/>
                      <w:bCs/>
                      <w:color w:val="auto"/>
                      <w:sz w:val="21"/>
                      <w:szCs w:val="21"/>
                      <w:lang w:val="en-US" w:eastAsia="zh-CN"/>
                    </w:rPr>
                    <w:t>废果皮、废核及废果渣</w:t>
                  </w:r>
                </w:p>
              </w:tc>
              <w:tc>
                <w:tcPr>
                  <w:tcW w:w="900" w:type="dxa"/>
                  <w:shd w:val="clear" w:color="auto" w:fill="auto"/>
                  <w:noWrap w:val="0"/>
                  <w:vAlign w:val="center"/>
                </w:tcPr>
                <w:p w14:paraId="1017AC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hint="eastAsia" w:cs="Times New Roman"/>
                      <w:b w:val="0"/>
                      <w:bCs/>
                      <w:color w:val="auto"/>
                      <w:sz w:val="21"/>
                      <w:szCs w:val="21"/>
                      <w:lang w:val="en-US" w:eastAsia="zh-CN"/>
                    </w:rPr>
                    <w:t>一般固体废弃物</w:t>
                  </w:r>
                </w:p>
              </w:tc>
              <w:tc>
                <w:tcPr>
                  <w:tcW w:w="714" w:type="dxa"/>
                  <w:shd w:val="clear" w:color="auto" w:fill="auto"/>
                  <w:noWrap w:val="0"/>
                  <w:vAlign w:val="center"/>
                </w:tcPr>
                <w:p w14:paraId="3666058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668" w:type="dxa"/>
                  <w:shd w:val="clear" w:color="auto" w:fill="auto"/>
                  <w:noWrap w:val="0"/>
                  <w:vAlign w:val="center"/>
                </w:tcPr>
                <w:p w14:paraId="037237F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固态</w:t>
                  </w:r>
                </w:p>
              </w:tc>
              <w:tc>
                <w:tcPr>
                  <w:tcW w:w="666" w:type="dxa"/>
                  <w:shd w:val="clear" w:color="auto" w:fill="auto"/>
                  <w:noWrap w:val="0"/>
                  <w:vAlign w:val="center"/>
                </w:tcPr>
                <w:p w14:paraId="4BCE7A3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916" w:type="dxa"/>
                  <w:shd w:val="clear" w:color="auto" w:fill="auto"/>
                  <w:noWrap w:val="0"/>
                  <w:vAlign w:val="center"/>
                </w:tcPr>
                <w:p w14:paraId="77FB86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lang w:val="en-US"/>
                    </w:rPr>
                  </w:pPr>
                  <w:r>
                    <w:rPr>
                      <w:rFonts w:hint="eastAsia" w:cs="Times New Roman"/>
                      <w:b w:val="0"/>
                      <w:bCs/>
                      <w:color w:val="auto"/>
                      <w:sz w:val="21"/>
                      <w:szCs w:val="21"/>
                      <w:lang w:val="en-US" w:eastAsia="zh-CN"/>
                    </w:rPr>
                    <w:t>11430</w:t>
                  </w:r>
                </w:p>
              </w:tc>
              <w:tc>
                <w:tcPr>
                  <w:tcW w:w="481" w:type="dxa"/>
                  <w:shd w:val="clear" w:color="auto" w:fill="auto"/>
                  <w:noWrap w:val="0"/>
                  <w:vAlign w:val="center"/>
                </w:tcPr>
                <w:p w14:paraId="53834A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916" w:type="dxa"/>
                  <w:shd w:val="clear" w:color="auto" w:fill="auto"/>
                  <w:noWrap w:val="0"/>
                  <w:vAlign w:val="center"/>
                </w:tcPr>
                <w:p w14:paraId="698BBF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hint="eastAsia"/>
                      <w:color w:val="auto"/>
                      <w:sz w:val="21"/>
                      <w:szCs w:val="21"/>
                      <w:lang w:val="en-US" w:eastAsia="zh-CN"/>
                    </w:rPr>
                    <w:t>委托</w:t>
                  </w:r>
                  <w:r>
                    <w:rPr>
                      <w:rFonts w:hint="eastAsia" w:ascii="Times New Roman" w:hAnsi="Times New Roman" w:eastAsia="宋体"/>
                      <w:bCs/>
                      <w:color w:val="auto"/>
                      <w:sz w:val="21"/>
                      <w:szCs w:val="21"/>
                      <w:lang w:val="en-US" w:eastAsia="zh-CN"/>
                    </w:rPr>
                    <w:t>云南元江牛歌有机肥有限公司</w:t>
                  </w:r>
                  <w:r>
                    <w:rPr>
                      <w:rFonts w:ascii="Times New Roman" w:hAnsi="Times New Roman"/>
                      <w:color w:val="auto"/>
                      <w:sz w:val="21"/>
                      <w:szCs w:val="21"/>
                    </w:rPr>
                    <w:t>进行处理</w:t>
                  </w:r>
                </w:p>
              </w:tc>
              <w:tc>
                <w:tcPr>
                  <w:tcW w:w="865" w:type="dxa"/>
                  <w:shd w:val="clear" w:color="auto" w:fill="auto"/>
                  <w:noWrap w:val="0"/>
                  <w:vAlign w:val="center"/>
                </w:tcPr>
                <w:p w14:paraId="66BF6E5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lang w:val="en-US"/>
                    </w:rPr>
                  </w:pPr>
                  <w:r>
                    <w:rPr>
                      <w:rFonts w:hint="eastAsia" w:cs="Times New Roman"/>
                      <w:b w:val="0"/>
                      <w:bCs/>
                      <w:color w:val="auto"/>
                      <w:sz w:val="21"/>
                      <w:szCs w:val="21"/>
                      <w:lang w:val="en-US" w:eastAsia="zh-CN"/>
                    </w:rPr>
                    <w:t>11430</w:t>
                  </w:r>
                </w:p>
              </w:tc>
              <w:tc>
                <w:tcPr>
                  <w:tcW w:w="667" w:type="dxa"/>
                  <w:vMerge w:val="restart"/>
                  <w:shd w:val="clear" w:color="auto" w:fill="auto"/>
                  <w:noWrap w:val="0"/>
                  <w:vAlign w:val="center"/>
                </w:tcPr>
                <w:p w14:paraId="70AD8D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100%处置</w:t>
                  </w:r>
                </w:p>
              </w:tc>
            </w:tr>
            <w:tr w14:paraId="77CA7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97" w:type="dxa"/>
                  <w:shd w:val="clear" w:color="auto" w:fill="auto"/>
                  <w:noWrap w:val="0"/>
                  <w:vAlign w:val="center"/>
                </w:tcPr>
                <w:p w14:paraId="319514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生物质锅炉</w:t>
                  </w:r>
                </w:p>
              </w:tc>
              <w:tc>
                <w:tcPr>
                  <w:tcW w:w="791" w:type="dxa"/>
                  <w:shd w:val="clear" w:color="auto" w:fill="auto"/>
                  <w:noWrap w:val="0"/>
                  <w:vAlign w:val="center"/>
                </w:tcPr>
                <w:p w14:paraId="15EFFE1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color w:val="auto"/>
                      <w:sz w:val="21"/>
                      <w:szCs w:val="21"/>
                      <w:lang w:val="en-US" w:eastAsia="zh-CN"/>
                    </w:rPr>
                  </w:pPr>
                  <w:r>
                    <w:rPr>
                      <w:rFonts w:hint="eastAsia" w:ascii="宋体" w:hAnsi="宋体" w:eastAsia="宋体" w:cs="宋体"/>
                      <w:color w:val="auto"/>
                      <w:sz w:val="21"/>
                      <w:szCs w:val="21"/>
                      <w:lang w:val="en-US" w:eastAsia="zh-CN"/>
                    </w:rPr>
                    <w:t>炉渣</w:t>
                  </w:r>
                </w:p>
              </w:tc>
              <w:tc>
                <w:tcPr>
                  <w:tcW w:w="900" w:type="dxa"/>
                  <w:shd w:val="clear" w:color="auto" w:fill="auto"/>
                  <w:noWrap w:val="0"/>
                  <w:vAlign w:val="center"/>
                </w:tcPr>
                <w:p w14:paraId="75E0F4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一般固体废弃物</w:t>
                  </w:r>
                </w:p>
              </w:tc>
              <w:tc>
                <w:tcPr>
                  <w:tcW w:w="714" w:type="dxa"/>
                  <w:shd w:val="clear" w:color="auto" w:fill="auto"/>
                  <w:noWrap w:val="0"/>
                  <w:vAlign w:val="center"/>
                </w:tcPr>
                <w:p w14:paraId="0A968CA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w:t>
                  </w:r>
                </w:p>
              </w:tc>
              <w:tc>
                <w:tcPr>
                  <w:tcW w:w="668" w:type="dxa"/>
                  <w:shd w:val="clear" w:color="auto" w:fill="auto"/>
                  <w:noWrap w:val="0"/>
                  <w:vAlign w:val="center"/>
                </w:tcPr>
                <w:p w14:paraId="27B5AB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固态</w:t>
                  </w:r>
                </w:p>
              </w:tc>
              <w:tc>
                <w:tcPr>
                  <w:tcW w:w="666" w:type="dxa"/>
                  <w:shd w:val="clear" w:color="auto" w:fill="auto"/>
                  <w:noWrap w:val="0"/>
                  <w:vAlign w:val="center"/>
                </w:tcPr>
                <w:p w14:paraId="0C9372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w:t>
                  </w:r>
                </w:p>
              </w:tc>
              <w:tc>
                <w:tcPr>
                  <w:tcW w:w="916" w:type="dxa"/>
                  <w:shd w:val="clear" w:color="auto" w:fill="auto"/>
                  <w:noWrap w:val="0"/>
                  <w:vAlign w:val="center"/>
                </w:tcPr>
                <w:p w14:paraId="70A1E9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lang w:val="en-US" w:eastAsia="zh-CN"/>
                    </w:rPr>
                  </w:pPr>
                  <w:r>
                    <w:rPr>
                      <w:rFonts w:hint="eastAsia"/>
                      <w:color w:val="auto"/>
                      <w:sz w:val="21"/>
                      <w:szCs w:val="21"/>
                      <w:lang w:val="en-US" w:eastAsia="zh-CN"/>
                    </w:rPr>
                    <w:t>39.74</w:t>
                  </w:r>
                </w:p>
              </w:tc>
              <w:tc>
                <w:tcPr>
                  <w:tcW w:w="481" w:type="dxa"/>
                  <w:shd w:val="clear" w:color="auto" w:fill="auto"/>
                  <w:noWrap w:val="0"/>
                  <w:vAlign w:val="center"/>
                </w:tcPr>
                <w:p w14:paraId="60F1224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916" w:type="dxa"/>
                  <w:shd w:val="clear" w:color="auto" w:fill="auto"/>
                  <w:noWrap w:val="0"/>
                  <w:vAlign w:val="center"/>
                </w:tcPr>
                <w:p w14:paraId="0F0C36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color w:val="auto"/>
                      <w:kern w:val="0"/>
                      <w:sz w:val="21"/>
                      <w:szCs w:val="21"/>
                      <w:lang w:val="en-US" w:eastAsia="zh-CN" w:bidi="ar"/>
                    </w:rPr>
                    <w:t>外售肥料制作单位制作</w:t>
                  </w:r>
                  <w:r>
                    <w:rPr>
                      <w:rFonts w:hint="eastAsia" w:ascii="Times New Roman" w:hAnsi="Times New Roman" w:eastAsia="宋体" w:cs="Times New Roman"/>
                      <w:color w:val="auto"/>
                      <w:kern w:val="0"/>
                      <w:sz w:val="21"/>
                      <w:szCs w:val="21"/>
                      <w:lang w:bidi="ar"/>
                    </w:rPr>
                    <w:t>肥料</w:t>
                  </w:r>
                </w:p>
              </w:tc>
              <w:tc>
                <w:tcPr>
                  <w:tcW w:w="865" w:type="dxa"/>
                  <w:shd w:val="clear" w:color="auto" w:fill="auto"/>
                  <w:noWrap w:val="0"/>
                  <w:vAlign w:val="center"/>
                </w:tcPr>
                <w:p w14:paraId="4A4C1B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lang w:val="en-US" w:eastAsia="zh-CN"/>
                    </w:rPr>
                  </w:pPr>
                  <w:r>
                    <w:rPr>
                      <w:rFonts w:hint="eastAsia"/>
                      <w:color w:val="auto"/>
                      <w:sz w:val="21"/>
                      <w:szCs w:val="21"/>
                      <w:lang w:val="en-US" w:eastAsia="zh-CN"/>
                    </w:rPr>
                    <w:t>39.74</w:t>
                  </w:r>
                </w:p>
              </w:tc>
              <w:tc>
                <w:tcPr>
                  <w:tcW w:w="667" w:type="dxa"/>
                  <w:vMerge w:val="continue"/>
                  <w:shd w:val="clear" w:color="auto" w:fill="auto"/>
                  <w:noWrap w:val="0"/>
                  <w:vAlign w:val="center"/>
                </w:tcPr>
                <w:p w14:paraId="5DC0FD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p>
              </w:tc>
            </w:tr>
            <w:tr w14:paraId="5EF8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97" w:type="dxa"/>
                  <w:shd w:val="clear" w:color="auto" w:fill="auto"/>
                  <w:noWrap w:val="0"/>
                  <w:vAlign w:val="center"/>
                </w:tcPr>
                <w:p w14:paraId="024F82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生物质锅炉</w:t>
                  </w:r>
                  <w:r>
                    <w:rPr>
                      <w:rFonts w:hint="eastAsia" w:cs="Times New Roman"/>
                      <w:b w:val="0"/>
                      <w:bCs/>
                      <w:color w:val="auto"/>
                      <w:sz w:val="21"/>
                      <w:szCs w:val="21"/>
                      <w:lang w:val="en-US" w:eastAsia="zh-CN"/>
                    </w:rPr>
                    <w:t>除尘器</w:t>
                  </w:r>
                </w:p>
              </w:tc>
              <w:tc>
                <w:tcPr>
                  <w:tcW w:w="791" w:type="dxa"/>
                  <w:shd w:val="clear" w:color="auto" w:fill="auto"/>
                  <w:noWrap w:val="0"/>
                  <w:vAlign w:val="center"/>
                </w:tcPr>
                <w:p w14:paraId="2B7E426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color w:val="auto"/>
                      <w:sz w:val="21"/>
                      <w:szCs w:val="21"/>
                      <w:lang w:val="en-US" w:eastAsia="zh-CN"/>
                    </w:rPr>
                  </w:pPr>
                  <w:r>
                    <w:rPr>
                      <w:rFonts w:hint="eastAsia" w:ascii="宋体" w:hAnsi="宋体" w:cs="宋体"/>
                      <w:color w:val="auto"/>
                      <w:sz w:val="21"/>
                      <w:szCs w:val="21"/>
                      <w:lang w:val="en-US" w:eastAsia="zh-CN"/>
                    </w:rPr>
                    <w:t>除尘灰</w:t>
                  </w:r>
                </w:p>
              </w:tc>
              <w:tc>
                <w:tcPr>
                  <w:tcW w:w="900" w:type="dxa"/>
                  <w:shd w:val="clear" w:color="auto" w:fill="auto"/>
                  <w:noWrap w:val="0"/>
                  <w:vAlign w:val="center"/>
                </w:tcPr>
                <w:p w14:paraId="68FD89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一般固体废弃物</w:t>
                  </w:r>
                </w:p>
              </w:tc>
              <w:tc>
                <w:tcPr>
                  <w:tcW w:w="714" w:type="dxa"/>
                  <w:shd w:val="clear" w:color="auto" w:fill="auto"/>
                  <w:noWrap w:val="0"/>
                  <w:vAlign w:val="center"/>
                </w:tcPr>
                <w:p w14:paraId="68A5C8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w:t>
                  </w:r>
                </w:p>
              </w:tc>
              <w:tc>
                <w:tcPr>
                  <w:tcW w:w="668" w:type="dxa"/>
                  <w:shd w:val="clear" w:color="auto" w:fill="auto"/>
                  <w:noWrap w:val="0"/>
                  <w:vAlign w:val="center"/>
                </w:tcPr>
                <w:p w14:paraId="6BABACB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固态</w:t>
                  </w:r>
                </w:p>
              </w:tc>
              <w:tc>
                <w:tcPr>
                  <w:tcW w:w="666" w:type="dxa"/>
                  <w:shd w:val="clear" w:color="auto" w:fill="auto"/>
                  <w:noWrap w:val="0"/>
                  <w:vAlign w:val="center"/>
                </w:tcPr>
                <w:p w14:paraId="084336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w:t>
                  </w:r>
                </w:p>
              </w:tc>
              <w:tc>
                <w:tcPr>
                  <w:tcW w:w="916" w:type="dxa"/>
                  <w:shd w:val="clear" w:color="auto" w:fill="auto"/>
                  <w:noWrap w:val="0"/>
                  <w:vAlign w:val="center"/>
                </w:tcPr>
                <w:p w14:paraId="0CC6A1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lang w:val="en-US"/>
                    </w:rPr>
                  </w:pPr>
                  <w:r>
                    <w:rPr>
                      <w:rFonts w:hint="eastAsia"/>
                      <w:color w:val="auto"/>
                      <w:sz w:val="21"/>
                      <w:szCs w:val="21"/>
                      <w:lang w:val="en-US" w:eastAsia="zh-CN"/>
                    </w:rPr>
                    <w:t>11.286</w:t>
                  </w:r>
                </w:p>
              </w:tc>
              <w:tc>
                <w:tcPr>
                  <w:tcW w:w="481" w:type="dxa"/>
                  <w:shd w:val="clear" w:color="auto" w:fill="auto"/>
                  <w:noWrap w:val="0"/>
                  <w:vAlign w:val="center"/>
                </w:tcPr>
                <w:p w14:paraId="34442B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hint="eastAsia" w:ascii="Times New Roman" w:hAnsi="Times New Roman" w:cs="Times New Roman"/>
                      <w:b w:val="0"/>
                      <w:bCs/>
                      <w:color w:val="auto"/>
                      <w:sz w:val="21"/>
                      <w:szCs w:val="21"/>
                      <w:lang w:val="en-US" w:eastAsia="zh-CN"/>
                    </w:rPr>
                    <w:t>/</w:t>
                  </w:r>
                </w:p>
              </w:tc>
              <w:tc>
                <w:tcPr>
                  <w:tcW w:w="916" w:type="dxa"/>
                  <w:shd w:val="clear" w:color="auto" w:fill="auto"/>
                  <w:noWrap w:val="0"/>
                  <w:vAlign w:val="center"/>
                </w:tcPr>
                <w:p w14:paraId="490BF2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hint="eastAsia"/>
                      <w:color w:val="auto"/>
                      <w:sz w:val="21"/>
                      <w:szCs w:val="21"/>
                      <w:lang w:val="en-US" w:eastAsia="zh-CN"/>
                    </w:rPr>
                    <w:t>外售肥制作单位制作肥料</w:t>
                  </w:r>
                </w:p>
              </w:tc>
              <w:tc>
                <w:tcPr>
                  <w:tcW w:w="865" w:type="dxa"/>
                  <w:shd w:val="clear" w:color="auto" w:fill="auto"/>
                  <w:noWrap w:val="0"/>
                  <w:vAlign w:val="center"/>
                </w:tcPr>
                <w:p w14:paraId="022F7B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lang w:val="en-US"/>
                    </w:rPr>
                  </w:pPr>
                  <w:r>
                    <w:rPr>
                      <w:rFonts w:hint="eastAsia"/>
                      <w:color w:val="auto"/>
                      <w:sz w:val="21"/>
                      <w:szCs w:val="21"/>
                      <w:lang w:val="en-US" w:eastAsia="zh-CN"/>
                    </w:rPr>
                    <w:t>11.286</w:t>
                  </w:r>
                </w:p>
              </w:tc>
              <w:tc>
                <w:tcPr>
                  <w:tcW w:w="667" w:type="dxa"/>
                  <w:vMerge w:val="continue"/>
                  <w:shd w:val="clear" w:color="auto" w:fill="auto"/>
                  <w:noWrap w:val="0"/>
                  <w:vAlign w:val="center"/>
                </w:tcPr>
                <w:p w14:paraId="3D71B3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p>
              </w:tc>
            </w:tr>
            <w:tr w14:paraId="72A5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97" w:type="dxa"/>
                  <w:shd w:val="clear" w:color="auto" w:fill="auto"/>
                  <w:noWrap w:val="0"/>
                  <w:vAlign w:val="center"/>
                </w:tcPr>
                <w:p w14:paraId="2D7782B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color w:val="auto"/>
                      <w:sz w:val="21"/>
                      <w:szCs w:val="21"/>
                      <w:lang w:val="en-US" w:eastAsia="zh-CN"/>
                    </w:rPr>
                  </w:pPr>
                  <w:r>
                    <w:rPr>
                      <w:rFonts w:hint="eastAsia"/>
                      <w:color w:val="auto"/>
                      <w:sz w:val="21"/>
                      <w:szCs w:val="21"/>
                      <w:lang w:val="en-US" w:eastAsia="zh-CN"/>
                    </w:rPr>
                    <w:t>化验室检测</w:t>
                  </w:r>
                </w:p>
              </w:tc>
              <w:tc>
                <w:tcPr>
                  <w:tcW w:w="791" w:type="dxa"/>
                  <w:shd w:val="clear" w:color="auto" w:fill="auto"/>
                  <w:noWrap w:val="0"/>
                  <w:vAlign w:val="center"/>
                </w:tcPr>
                <w:p w14:paraId="230CEC3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color w:val="auto"/>
                      <w:sz w:val="21"/>
                      <w:szCs w:val="21"/>
                      <w:lang w:val="en-US" w:eastAsia="zh-CN"/>
                    </w:rPr>
                  </w:pPr>
                  <w:r>
                    <w:rPr>
                      <w:rFonts w:hint="eastAsia" w:ascii="宋体" w:hAnsi="宋体" w:cs="宋体"/>
                      <w:color w:val="auto"/>
                      <w:sz w:val="21"/>
                      <w:szCs w:val="21"/>
                      <w:lang w:val="en-US" w:eastAsia="zh-CN"/>
                    </w:rPr>
                    <w:t>废培养基</w:t>
                  </w:r>
                </w:p>
              </w:tc>
              <w:tc>
                <w:tcPr>
                  <w:tcW w:w="900" w:type="dxa"/>
                  <w:shd w:val="clear" w:color="auto" w:fill="auto"/>
                  <w:noWrap w:val="0"/>
                  <w:vAlign w:val="center"/>
                </w:tcPr>
                <w:p w14:paraId="34279A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一般固体废弃物</w:t>
                  </w:r>
                </w:p>
              </w:tc>
              <w:tc>
                <w:tcPr>
                  <w:tcW w:w="714" w:type="dxa"/>
                  <w:shd w:val="clear" w:color="auto" w:fill="auto"/>
                  <w:noWrap w:val="0"/>
                  <w:vAlign w:val="center"/>
                </w:tcPr>
                <w:p w14:paraId="105EB9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w:t>
                  </w:r>
                </w:p>
              </w:tc>
              <w:tc>
                <w:tcPr>
                  <w:tcW w:w="668" w:type="dxa"/>
                  <w:shd w:val="clear" w:color="auto" w:fill="auto"/>
                  <w:noWrap w:val="0"/>
                  <w:vAlign w:val="center"/>
                </w:tcPr>
                <w:p w14:paraId="50913A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固态</w:t>
                  </w:r>
                </w:p>
              </w:tc>
              <w:tc>
                <w:tcPr>
                  <w:tcW w:w="666" w:type="dxa"/>
                  <w:shd w:val="clear" w:color="auto" w:fill="auto"/>
                  <w:noWrap w:val="0"/>
                  <w:vAlign w:val="center"/>
                </w:tcPr>
                <w:p w14:paraId="6E2986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w:t>
                  </w:r>
                </w:p>
              </w:tc>
              <w:tc>
                <w:tcPr>
                  <w:tcW w:w="916" w:type="dxa"/>
                  <w:shd w:val="clear" w:color="auto" w:fill="auto"/>
                  <w:noWrap w:val="0"/>
                  <w:vAlign w:val="center"/>
                </w:tcPr>
                <w:p w14:paraId="041943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hint="eastAsia"/>
                      <w:color w:val="auto"/>
                      <w:sz w:val="21"/>
                      <w:szCs w:val="21"/>
                      <w:lang w:val="en-US" w:eastAsia="zh-CN"/>
                    </w:rPr>
                    <w:t>0.003</w:t>
                  </w:r>
                </w:p>
              </w:tc>
              <w:tc>
                <w:tcPr>
                  <w:tcW w:w="481" w:type="dxa"/>
                  <w:shd w:val="clear" w:color="auto" w:fill="auto"/>
                  <w:noWrap w:val="0"/>
                  <w:vAlign w:val="center"/>
                </w:tcPr>
                <w:p w14:paraId="5C9477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hint="eastAsia" w:ascii="Times New Roman" w:hAnsi="Times New Roman" w:cs="Times New Roman"/>
                      <w:b w:val="0"/>
                      <w:bCs/>
                      <w:color w:val="auto"/>
                      <w:sz w:val="21"/>
                      <w:szCs w:val="21"/>
                      <w:lang w:val="en-US" w:eastAsia="zh-CN"/>
                    </w:rPr>
                    <w:t>/</w:t>
                  </w:r>
                </w:p>
              </w:tc>
              <w:tc>
                <w:tcPr>
                  <w:tcW w:w="916" w:type="dxa"/>
                  <w:shd w:val="clear" w:color="auto" w:fill="auto"/>
                  <w:noWrap w:val="0"/>
                  <w:vAlign w:val="center"/>
                </w:tcPr>
                <w:p w14:paraId="06DF4A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cs="Times New Roman"/>
                      <w:b w:val="0"/>
                      <w:bCs w:val="0"/>
                      <w:color w:val="auto"/>
                      <w:sz w:val="21"/>
                      <w:szCs w:val="21"/>
                      <w:lang w:val="en-US" w:eastAsia="zh-CN"/>
                    </w:rPr>
                    <w:t>经</w:t>
                  </w:r>
                  <w:r>
                    <w:rPr>
                      <w:rFonts w:hint="eastAsia" w:ascii="Times New Roman" w:hAnsi="Times New Roman" w:cs="Times New Roman"/>
                      <w:b w:val="0"/>
                      <w:bCs w:val="0"/>
                      <w:color w:val="auto"/>
                      <w:sz w:val="21"/>
                      <w:szCs w:val="21"/>
                      <w:lang w:val="en-US" w:eastAsia="zh-CN"/>
                    </w:rPr>
                    <w:t>高压</w:t>
                  </w:r>
                  <w:r>
                    <w:rPr>
                      <w:rFonts w:hint="default" w:ascii="Times New Roman" w:hAnsi="Times New Roman" w:cs="Times New Roman"/>
                      <w:b w:val="0"/>
                      <w:bCs w:val="0"/>
                      <w:color w:val="auto"/>
                      <w:sz w:val="21"/>
                      <w:szCs w:val="21"/>
                      <w:lang w:val="en-US" w:eastAsia="zh-CN"/>
                    </w:rPr>
                    <w:t>灭活后委托</w:t>
                  </w:r>
                  <w:r>
                    <w:rPr>
                      <w:rFonts w:hint="eastAsia" w:ascii="Times New Roman" w:hAnsi="Times New Roman" w:cs="Times New Roman"/>
                      <w:b w:val="0"/>
                      <w:bCs w:val="0"/>
                      <w:color w:val="auto"/>
                      <w:sz w:val="21"/>
                      <w:szCs w:val="21"/>
                      <w:lang w:val="en-US" w:eastAsia="zh-CN"/>
                    </w:rPr>
                    <w:t>环卫</w:t>
                  </w:r>
                  <w:r>
                    <w:rPr>
                      <w:rFonts w:hint="default" w:ascii="Times New Roman" w:hAnsi="Times New Roman" w:cs="Times New Roman"/>
                      <w:b w:val="0"/>
                      <w:bCs w:val="0"/>
                      <w:color w:val="auto"/>
                      <w:sz w:val="21"/>
                      <w:szCs w:val="21"/>
                      <w:lang w:val="en-US" w:eastAsia="zh-CN"/>
                    </w:rPr>
                    <w:t>部门定期清运处置</w:t>
                  </w:r>
                </w:p>
              </w:tc>
              <w:tc>
                <w:tcPr>
                  <w:tcW w:w="865" w:type="dxa"/>
                  <w:shd w:val="clear" w:color="auto" w:fill="auto"/>
                  <w:noWrap w:val="0"/>
                  <w:vAlign w:val="center"/>
                </w:tcPr>
                <w:p w14:paraId="3439EC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hint="eastAsia"/>
                      <w:color w:val="auto"/>
                      <w:sz w:val="21"/>
                      <w:szCs w:val="21"/>
                      <w:lang w:val="en-US" w:eastAsia="zh-CN"/>
                    </w:rPr>
                    <w:t>0.003</w:t>
                  </w:r>
                </w:p>
              </w:tc>
              <w:tc>
                <w:tcPr>
                  <w:tcW w:w="667" w:type="dxa"/>
                  <w:vMerge w:val="continue"/>
                  <w:shd w:val="clear" w:color="auto" w:fill="auto"/>
                  <w:noWrap w:val="0"/>
                  <w:vAlign w:val="center"/>
                </w:tcPr>
                <w:p w14:paraId="1BA4AF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p>
              </w:tc>
            </w:tr>
            <w:tr w14:paraId="1FB5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97" w:type="dxa"/>
                  <w:shd w:val="clear" w:color="auto" w:fill="auto"/>
                  <w:noWrap w:val="0"/>
                  <w:vAlign w:val="center"/>
                </w:tcPr>
                <w:p w14:paraId="058E3C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纯水制备系统</w:t>
                  </w:r>
                </w:p>
              </w:tc>
              <w:tc>
                <w:tcPr>
                  <w:tcW w:w="791" w:type="dxa"/>
                  <w:shd w:val="clear" w:color="auto" w:fill="auto"/>
                  <w:noWrap w:val="0"/>
                  <w:vAlign w:val="center"/>
                </w:tcPr>
                <w:p w14:paraId="0A743B6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废反渗透膜</w:t>
                  </w:r>
                </w:p>
              </w:tc>
              <w:tc>
                <w:tcPr>
                  <w:tcW w:w="900" w:type="dxa"/>
                  <w:shd w:val="clear" w:color="auto" w:fill="auto"/>
                  <w:noWrap w:val="0"/>
                  <w:vAlign w:val="center"/>
                </w:tcPr>
                <w:p w14:paraId="0F638F70">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一般固</w:t>
                  </w:r>
                </w:p>
                <w:p w14:paraId="5EA5D85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体废弃物</w:t>
                  </w:r>
                </w:p>
              </w:tc>
              <w:tc>
                <w:tcPr>
                  <w:tcW w:w="714" w:type="dxa"/>
                  <w:shd w:val="clear" w:color="auto" w:fill="auto"/>
                  <w:noWrap w:val="0"/>
                  <w:vAlign w:val="center"/>
                </w:tcPr>
                <w:p w14:paraId="0C76B7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w:t>
                  </w:r>
                </w:p>
              </w:tc>
              <w:tc>
                <w:tcPr>
                  <w:tcW w:w="668" w:type="dxa"/>
                  <w:shd w:val="clear" w:color="auto" w:fill="auto"/>
                  <w:noWrap w:val="0"/>
                  <w:vAlign w:val="center"/>
                </w:tcPr>
                <w:p w14:paraId="22CE3E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固态</w:t>
                  </w:r>
                </w:p>
              </w:tc>
              <w:tc>
                <w:tcPr>
                  <w:tcW w:w="666" w:type="dxa"/>
                  <w:shd w:val="clear" w:color="auto" w:fill="auto"/>
                  <w:noWrap w:val="0"/>
                  <w:vAlign w:val="center"/>
                </w:tcPr>
                <w:p w14:paraId="5A3A2D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w:t>
                  </w:r>
                </w:p>
              </w:tc>
              <w:tc>
                <w:tcPr>
                  <w:tcW w:w="916" w:type="dxa"/>
                  <w:shd w:val="clear" w:color="auto" w:fill="auto"/>
                  <w:noWrap w:val="0"/>
                  <w:vAlign w:val="center"/>
                </w:tcPr>
                <w:p w14:paraId="15A235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0.05</w:t>
                  </w:r>
                </w:p>
              </w:tc>
              <w:tc>
                <w:tcPr>
                  <w:tcW w:w="481" w:type="dxa"/>
                  <w:shd w:val="clear" w:color="auto" w:fill="auto"/>
                  <w:noWrap w:val="0"/>
                  <w:vAlign w:val="center"/>
                </w:tcPr>
                <w:p w14:paraId="116CB6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hint="eastAsia" w:ascii="Times New Roman" w:hAnsi="Times New Roman" w:cs="Times New Roman"/>
                      <w:b w:val="0"/>
                      <w:bCs/>
                      <w:color w:val="auto"/>
                      <w:sz w:val="21"/>
                      <w:szCs w:val="21"/>
                      <w:lang w:val="en-US" w:eastAsia="zh-CN"/>
                    </w:rPr>
                    <w:t>/</w:t>
                  </w:r>
                </w:p>
              </w:tc>
              <w:tc>
                <w:tcPr>
                  <w:tcW w:w="916" w:type="dxa"/>
                  <w:shd w:val="clear" w:color="auto" w:fill="auto"/>
                  <w:noWrap w:val="0"/>
                  <w:vAlign w:val="center"/>
                </w:tcPr>
                <w:p w14:paraId="2E3062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hint="eastAsia" w:cs="Times New Roman"/>
                      <w:color w:val="auto"/>
                      <w:sz w:val="21"/>
                      <w:szCs w:val="21"/>
                      <w:lang w:val="en-US" w:eastAsia="zh-CN"/>
                    </w:rPr>
                    <w:t>由厂家回收处理</w:t>
                  </w:r>
                </w:p>
              </w:tc>
              <w:tc>
                <w:tcPr>
                  <w:tcW w:w="865" w:type="dxa"/>
                  <w:shd w:val="clear" w:color="auto" w:fill="auto"/>
                  <w:noWrap w:val="0"/>
                  <w:vAlign w:val="center"/>
                </w:tcPr>
                <w:p w14:paraId="047C80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hint="eastAsia" w:ascii="Times New Roman" w:hAnsi="Times New Roman" w:cs="Times New Roman"/>
                      <w:b w:val="0"/>
                      <w:bCs/>
                      <w:color w:val="auto"/>
                      <w:sz w:val="21"/>
                      <w:szCs w:val="21"/>
                      <w:lang w:val="en-US" w:eastAsia="zh-CN"/>
                    </w:rPr>
                    <w:t>0.05</w:t>
                  </w:r>
                </w:p>
              </w:tc>
              <w:tc>
                <w:tcPr>
                  <w:tcW w:w="667" w:type="dxa"/>
                  <w:vMerge w:val="continue"/>
                  <w:shd w:val="clear" w:color="auto" w:fill="auto"/>
                  <w:noWrap w:val="0"/>
                  <w:vAlign w:val="center"/>
                </w:tcPr>
                <w:p w14:paraId="584662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p>
              </w:tc>
            </w:tr>
            <w:tr w14:paraId="0C87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97" w:type="dxa"/>
                  <w:shd w:val="clear" w:color="auto" w:fill="auto"/>
                  <w:noWrap w:val="0"/>
                  <w:vAlign w:val="center"/>
                </w:tcPr>
                <w:p w14:paraId="7ADF7DD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装袋</w:t>
                  </w:r>
                </w:p>
              </w:tc>
              <w:tc>
                <w:tcPr>
                  <w:tcW w:w="791" w:type="dxa"/>
                  <w:shd w:val="clear" w:color="auto" w:fill="auto"/>
                  <w:noWrap w:val="0"/>
                  <w:vAlign w:val="center"/>
                </w:tcPr>
                <w:p w14:paraId="5D9FF97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color w:val="auto"/>
                      <w:sz w:val="21"/>
                      <w:szCs w:val="21"/>
                      <w:lang w:val="en-US" w:eastAsia="zh-CN"/>
                    </w:rPr>
                  </w:pPr>
                  <w:r>
                    <w:rPr>
                      <w:rFonts w:hint="eastAsia" w:ascii="宋体" w:hAnsi="宋体" w:cs="宋体"/>
                      <w:color w:val="auto"/>
                      <w:sz w:val="21"/>
                      <w:szCs w:val="21"/>
                      <w:lang w:val="en-US" w:eastAsia="zh-CN"/>
                    </w:rPr>
                    <w:t>废包装材料</w:t>
                  </w:r>
                </w:p>
              </w:tc>
              <w:tc>
                <w:tcPr>
                  <w:tcW w:w="900" w:type="dxa"/>
                  <w:shd w:val="clear" w:color="auto" w:fill="auto"/>
                  <w:noWrap w:val="0"/>
                  <w:vAlign w:val="center"/>
                </w:tcPr>
                <w:p w14:paraId="2DA623DD">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一般固</w:t>
                  </w:r>
                </w:p>
                <w:p w14:paraId="71B441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体废弃物</w:t>
                  </w:r>
                </w:p>
              </w:tc>
              <w:tc>
                <w:tcPr>
                  <w:tcW w:w="714" w:type="dxa"/>
                  <w:shd w:val="clear" w:color="auto" w:fill="auto"/>
                  <w:noWrap w:val="0"/>
                  <w:vAlign w:val="center"/>
                </w:tcPr>
                <w:p w14:paraId="1B5517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w:t>
                  </w:r>
                </w:p>
              </w:tc>
              <w:tc>
                <w:tcPr>
                  <w:tcW w:w="668" w:type="dxa"/>
                  <w:shd w:val="clear" w:color="auto" w:fill="auto"/>
                  <w:noWrap w:val="0"/>
                  <w:vAlign w:val="center"/>
                </w:tcPr>
                <w:p w14:paraId="3217D3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固态</w:t>
                  </w:r>
                </w:p>
              </w:tc>
              <w:tc>
                <w:tcPr>
                  <w:tcW w:w="666" w:type="dxa"/>
                  <w:shd w:val="clear" w:color="auto" w:fill="auto"/>
                  <w:noWrap w:val="0"/>
                  <w:vAlign w:val="center"/>
                </w:tcPr>
                <w:p w14:paraId="006E4A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w:t>
                  </w:r>
                </w:p>
              </w:tc>
              <w:tc>
                <w:tcPr>
                  <w:tcW w:w="916" w:type="dxa"/>
                  <w:shd w:val="clear" w:color="auto" w:fill="auto"/>
                  <w:noWrap w:val="0"/>
                  <w:vAlign w:val="center"/>
                </w:tcPr>
                <w:p w14:paraId="2CF77B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0.1</w:t>
                  </w:r>
                </w:p>
              </w:tc>
              <w:tc>
                <w:tcPr>
                  <w:tcW w:w="481" w:type="dxa"/>
                  <w:shd w:val="clear" w:color="auto" w:fill="auto"/>
                  <w:noWrap w:val="0"/>
                  <w:vAlign w:val="center"/>
                </w:tcPr>
                <w:p w14:paraId="6F406C9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916" w:type="dxa"/>
                  <w:shd w:val="clear" w:color="auto" w:fill="auto"/>
                  <w:noWrap w:val="0"/>
                  <w:vAlign w:val="center"/>
                </w:tcPr>
                <w:p w14:paraId="324033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hint="eastAsia" w:ascii="Times New Roman" w:hAnsi="Times New Roman"/>
                      <w:bCs/>
                      <w:color w:val="auto"/>
                      <w:sz w:val="21"/>
                      <w:szCs w:val="21"/>
                      <w:lang w:val="en-US" w:eastAsia="zh-CN"/>
                    </w:rPr>
                    <w:t>外售</w:t>
                  </w:r>
                  <w:r>
                    <w:rPr>
                      <w:rFonts w:ascii="Times New Roman" w:hAnsi="Times New Roman"/>
                      <w:bCs/>
                      <w:color w:val="auto"/>
                      <w:sz w:val="21"/>
                      <w:szCs w:val="21"/>
                    </w:rPr>
                    <w:t>废旧物资收购站</w:t>
                  </w:r>
                </w:p>
              </w:tc>
              <w:tc>
                <w:tcPr>
                  <w:tcW w:w="865" w:type="dxa"/>
                  <w:shd w:val="clear" w:color="auto" w:fill="auto"/>
                  <w:noWrap w:val="0"/>
                  <w:vAlign w:val="center"/>
                </w:tcPr>
                <w:p w14:paraId="59F067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0.1</w:t>
                  </w:r>
                </w:p>
              </w:tc>
              <w:tc>
                <w:tcPr>
                  <w:tcW w:w="667" w:type="dxa"/>
                  <w:vMerge w:val="continue"/>
                  <w:shd w:val="clear" w:color="auto" w:fill="auto"/>
                  <w:noWrap w:val="0"/>
                  <w:vAlign w:val="center"/>
                </w:tcPr>
                <w:p w14:paraId="75C356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p>
              </w:tc>
            </w:tr>
            <w:tr w14:paraId="03BA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97" w:type="dxa"/>
                  <w:shd w:val="clear" w:color="auto" w:fill="auto"/>
                  <w:noWrap w:val="0"/>
                  <w:vAlign w:val="center"/>
                </w:tcPr>
                <w:p w14:paraId="052C87E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污水处理</w:t>
                  </w:r>
                </w:p>
              </w:tc>
              <w:tc>
                <w:tcPr>
                  <w:tcW w:w="791" w:type="dxa"/>
                  <w:shd w:val="clear" w:color="auto" w:fill="auto"/>
                  <w:noWrap w:val="0"/>
                  <w:vAlign w:val="center"/>
                </w:tcPr>
                <w:p w14:paraId="69FD5335">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污水处理设施污泥</w:t>
                  </w:r>
                </w:p>
              </w:tc>
              <w:tc>
                <w:tcPr>
                  <w:tcW w:w="900" w:type="dxa"/>
                  <w:shd w:val="clear" w:color="auto" w:fill="auto"/>
                  <w:noWrap w:val="0"/>
                  <w:vAlign w:val="center"/>
                </w:tcPr>
                <w:p w14:paraId="329F0C52">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一般固</w:t>
                  </w:r>
                </w:p>
                <w:p w14:paraId="4EA96205">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体废弃物</w:t>
                  </w:r>
                </w:p>
              </w:tc>
              <w:tc>
                <w:tcPr>
                  <w:tcW w:w="714" w:type="dxa"/>
                  <w:shd w:val="clear" w:color="auto" w:fill="auto"/>
                  <w:noWrap w:val="0"/>
                  <w:vAlign w:val="center"/>
                </w:tcPr>
                <w:p w14:paraId="2E01A7E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668" w:type="dxa"/>
                  <w:shd w:val="clear" w:color="auto" w:fill="auto"/>
                  <w:noWrap w:val="0"/>
                  <w:vAlign w:val="center"/>
                </w:tcPr>
                <w:p w14:paraId="2E0DC6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固态</w:t>
                  </w:r>
                </w:p>
              </w:tc>
              <w:tc>
                <w:tcPr>
                  <w:tcW w:w="666" w:type="dxa"/>
                  <w:shd w:val="clear" w:color="auto" w:fill="auto"/>
                  <w:noWrap w:val="0"/>
                  <w:vAlign w:val="center"/>
                </w:tcPr>
                <w:p w14:paraId="147178D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916" w:type="dxa"/>
                  <w:shd w:val="clear" w:color="auto" w:fill="auto"/>
                  <w:noWrap w:val="0"/>
                  <w:vAlign w:val="center"/>
                </w:tcPr>
                <w:p w14:paraId="2EDC06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13.56</w:t>
                  </w:r>
                </w:p>
              </w:tc>
              <w:tc>
                <w:tcPr>
                  <w:tcW w:w="481" w:type="dxa"/>
                  <w:shd w:val="clear" w:color="auto" w:fill="auto"/>
                  <w:noWrap w:val="0"/>
                  <w:vAlign w:val="center"/>
                </w:tcPr>
                <w:p w14:paraId="542B6FE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916" w:type="dxa"/>
                  <w:shd w:val="clear" w:color="auto" w:fill="auto"/>
                  <w:noWrap w:val="0"/>
                  <w:vAlign w:val="center"/>
                </w:tcPr>
                <w:p w14:paraId="0E8EB9C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bCs/>
                      <w:color w:val="auto"/>
                      <w:sz w:val="21"/>
                      <w:szCs w:val="21"/>
                      <w:lang w:val="en-US" w:eastAsia="zh-CN"/>
                    </w:rPr>
                  </w:pPr>
                  <w:r>
                    <w:rPr>
                      <w:rFonts w:hint="eastAsia" w:ascii="Times New Roman" w:hAnsi="Times New Roman" w:cs="Times New Roman"/>
                      <w:color w:val="auto"/>
                      <w:sz w:val="21"/>
                      <w:szCs w:val="21"/>
                      <w:highlight w:val="none"/>
                      <w:lang w:val="en-US" w:eastAsia="zh-CN"/>
                    </w:rPr>
                    <w:t>委托环卫部门清掏、清运处置</w:t>
                  </w:r>
                </w:p>
              </w:tc>
              <w:tc>
                <w:tcPr>
                  <w:tcW w:w="865" w:type="dxa"/>
                  <w:shd w:val="clear" w:color="auto" w:fill="auto"/>
                  <w:noWrap w:val="0"/>
                  <w:vAlign w:val="center"/>
                </w:tcPr>
                <w:p w14:paraId="1750EBA5">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13.56</w:t>
                  </w:r>
                </w:p>
              </w:tc>
              <w:tc>
                <w:tcPr>
                  <w:tcW w:w="667" w:type="dxa"/>
                  <w:vMerge w:val="continue"/>
                  <w:shd w:val="clear" w:color="auto" w:fill="auto"/>
                  <w:noWrap w:val="0"/>
                  <w:vAlign w:val="center"/>
                </w:tcPr>
                <w:p w14:paraId="1D32B7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p>
              </w:tc>
            </w:tr>
            <w:tr w14:paraId="7FD6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97" w:type="dxa"/>
                  <w:shd w:val="clear" w:color="auto" w:fill="auto"/>
                  <w:noWrap w:val="0"/>
                  <w:vAlign w:val="center"/>
                </w:tcPr>
                <w:p w14:paraId="36EE8A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办公生活</w:t>
                  </w:r>
                </w:p>
              </w:tc>
              <w:tc>
                <w:tcPr>
                  <w:tcW w:w="791" w:type="dxa"/>
                  <w:shd w:val="clear" w:color="auto" w:fill="auto"/>
                  <w:noWrap w:val="0"/>
                  <w:vAlign w:val="center"/>
                </w:tcPr>
                <w:p w14:paraId="4E614E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生活垃圾</w:t>
                  </w:r>
                </w:p>
              </w:tc>
              <w:tc>
                <w:tcPr>
                  <w:tcW w:w="900" w:type="dxa"/>
                  <w:shd w:val="clear" w:color="auto" w:fill="auto"/>
                  <w:noWrap w:val="0"/>
                  <w:vAlign w:val="center"/>
                </w:tcPr>
                <w:p w14:paraId="2EC50A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生活固废</w:t>
                  </w:r>
                </w:p>
              </w:tc>
              <w:tc>
                <w:tcPr>
                  <w:tcW w:w="714" w:type="dxa"/>
                  <w:shd w:val="clear" w:color="auto" w:fill="auto"/>
                  <w:noWrap w:val="0"/>
                  <w:vAlign w:val="center"/>
                </w:tcPr>
                <w:p w14:paraId="09F77E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w:t>
                  </w:r>
                </w:p>
              </w:tc>
              <w:tc>
                <w:tcPr>
                  <w:tcW w:w="668" w:type="dxa"/>
                  <w:shd w:val="clear" w:color="auto" w:fill="auto"/>
                  <w:noWrap w:val="0"/>
                  <w:vAlign w:val="center"/>
                </w:tcPr>
                <w:p w14:paraId="6729C8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固态</w:t>
                  </w:r>
                </w:p>
              </w:tc>
              <w:tc>
                <w:tcPr>
                  <w:tcW w:w="666" w:type="dxa"/>
                  <w:shd w:val="clear" w:color="auto" w:fill="auto"/>
                  <w:noWrap w:val="0"/>
                  <w:vAlign w:val="center"/>
                </w:tcPr>
                <w:p w14:paraId="759E9B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w:t>
                  </w:r>
                </w:p>
              </w:tc>
              <w:tc>
                <w:tcPr>
                  <w:tcW w:w="916" w:type="dxa"/>
                  <w:shd w:val="clear" w:color="auto" w:fill="auto"/>
                  <w:noWrap w:val="0"/>
                  <w:vAlign w:val="center"/>
                </w:tcPr>
                <w:p w14:paraId="0C3F16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ascii="Times New Roman" w:hAnsi="Times New Roman"/>
                      <w:color w:val="auto"/>
                      <w:sz w:val="21"/>
                      <w:szCs w:val="21"/>
                    </w:rPr>
                    <w:t>3.75</w:t>
                  </w:r>
                </w:p>
              </w:tc>
              <w:tc>
                <w:tcPr>
                  <w:tcW w:w="481" w:type="dxa"/>
                  <w:shd w:val="clear" w:color="auto" w:fill="auto"/>
                  <w:noWrap w:val="0"/>
                  <w:vAlign w:val="center"/>
                </w:tcPr>
                <w:p w14:paraId="2ED42D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916" w:type="dxa"/>
                  <w:shd w:val="clear" w:color="auto" w:fill="auto"/>
                  <w:noWrap w:val="0"/>
                  <w:vAlign w:val="center"/>
                </w:tcPr>
                <w:p w14:paraId="0EC4F9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hint="eastAsia" w:ascii="Times New Roman" w:hAnsi="Times New Roman" w:cs="Times New Roman"/>
                      <w:b w:val="0"/>
                      <w:bCs w:val="0"/>
                      <w:color w:val="auto"/>
                      <w:sz w:val="21"/>
                      <w:szCs w:val="21"/>
                      <w:lang w:val="en-US" w:eastAsia="zh-CN" w:bidi="ar"/>
                    </w:rPr>
                    <w:t>经垃圾桶收集后委托环卫部门定期清运处置</w:t>
                  </w:r>
                </w:p>
              </w:tc>
              <w:tc>
                <w:tcPr>
                  <w:tcW w:w="865" w:type="dxa"/>
                  <w:shd w:val="clear" w:color="auto" w:fill="auto"/>
                  <w:noWrap w:val="0"/>
                  <w:vAlign w:val="center"/>
                </w:tcPr>
                <w:p w14:paraId="73AF8D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ascii="Times New Roman" w:hAnsi="Times New Roman"/>
                      <w:color w:val="auto"/>
                      <w:sz w:val="21"/>
                      <w:szCs w:val="21"/>
                    </w:rPr>
                    <w:t>3.75</w:t>
                  </w:r>
                </w:p>
              </w:tc>
              <w:tc>
                <w:tcPr>
                  <w:tcW w:w="667" w:type="dxa"/>
                  <w:vMerge w:val="continue"/>
                  <w:shd w:val="clear" w:color="auto" w:fill="auto"/>
                  <w:noWrap w:val="0"/>
                  <w:vAlign w:val="center"/>
                </w:tcPr>
                <w:p w14:paraId="24C849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p>
              </w:tc>
            </w:tr>
            <w:tr w14:paraId="1F402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97" w:type="dxa"/>
                  <w:shd w:val="clear" w:color="auto" w:fill="auto"/>
                  <w:noWrap w:val="0"/>
                  <w:vAlign w:val="center"/>
                </w:tcPr>
                <w:p w14:paraId="6C7BF62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color w:val="auto"/>
                      <w:sz w:val="21"/>
                      <w:szCs w:val="21"/>
                      <w:lang w:val="en-US" w:eastAsia="zh-CN"/>
                    </w:rPr>
                  </w:pPr>
                  <w:r>
                    <w:rPr>
                      <w:color w:val="auto"/>
                      <w:sz w:val="21"/>
                      <w:szCs w:val="21"/>
                    </w:rPr>
                    <w:t>速冻车间</w:t>
                  </w:r>
                  <w:r>
                    <w:rPr>
                      <w:rFonts w:hint="eastAsia"/>
                      <w:color w:val="auto"/>
                      <w:sz w:val="21"/>
                      <w:szCs w:val="21"/>
                      <w:lang w:val="en-US" w:eastAsia="zh-CN"/>
                    </w:rPr>
                    <w:t>压缩</w:t>
                  </w:r>
                  <w:r>
                    <w:rPr>
                      <w:rFonts w:ascii="Times New Roman" w:hAnsi="Times New Roman"/>
                      <w:color w:val="auto"/>
                      <w:sz w:val="21"/>
                      <w:szCs w:val="21"/>
                    </w:rPr>
                    <w:t>制冷设备</w:t>
                  </w:r>
                </w:p>
              </w:tc>
              <w:tc>
                <w:tcPr>
                  <w:tcW w:w="791" w:type="dxa"/>
                  <w:shd w:val="clear" w:color="auto" w:fill="auto"/>
                  <w:noWrap w:val="0"/>
                  <w:vAlign w:val="center"/>
                </w:tcPr>
                <w:p w14:paraId="7E41A84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color w:val="auto"/>
                      <w:sz w:val="21"/>
                      <w:szCs w:val="21"/>
                      <w:lang w:val="en-US" w:eastAsia="zh-CN"/>
                    </w:rPr>
                    <w:t>废冷冻油</w:t>
                  </w:r>
                </w:p>
              </w:tc>
              <w:tc>
                <w:tcPr>
                  <w:tcW w:w="900" w:type="dxa"/>
                  <w:shd w:val="clear" w:color="auto" w:fill="auto"/>
                  <w:noWrap w:val="0"/>
                  <w:vAlign w:val="center"/>
                </w:tcPr>
                <w:p w14:paraId="611EBC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危险废物</w:t>
                  </w:r>
                </w:p>
              </w:tc>
              <w:tc>
                <w:tcPr>
                  <w:tcW w:w="714" w:type="dxa"/>
                  <w:shd w:val="clear" w:color="auto" w:fill="auto"/>
                  <w:noWrap w:val="0"/>
                  <w:vAlign w:val="center"/>
                </w:tcPr>
                <w:p w14:paraId="2AB13C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lang w:val="en-US"/>
                    </w:rPr>
                  </w:pPr>
                  <w:r>
                    <w:rPr>
                      <w:rFonts w:hint="eastAsia"/>
                      <w:color w:val="auto"/>
                      <w:sz w:val="21"/>
                      <w:szCs w:val="21"/>
                      <w:lang w:val="en-US" w:eastAsia="zh-CN"/>
                    </w:rPr>
                    <w:t>危险废物</w:t>
                  </w:r>
                  <w:r>
                    <w:rPr>
                      <w:color w:val="auto"/>
                      <w:sz w:val="21"/>
                      <w:szCs w:val="21"/>
                    </w:rPr>
                    <w:t>HW08</w:t>
                  </w:r>
                  <w:r>
                    <w:rPr>
                      <w:rFonts w:hint="eastAsia"/>
                      <w:color w:val="auto"/>
                      <w:sz w:val="21"/>
                      <w:szCs w:val="21"/>
                      <w:lang w:val="en-US" w:eastAsia="zh-CN"/>
                    </w:rPr>
                    <w:t>，900-219-08</w:t>
                  </w:r>
                </w:p>
              </w:tc>
              <w:tc>
                <w:tcPr>
                  <w:tcW w:w="668" w:type="dxa"/>
                  <w:shd w:val="clear" w:color="auto" w:fill="auto"/>
                  <w:noWrap w:val="0"/>
                  <w:vAlign w:val="center"/>
                </w:tcPr>
                <w:p w14:paraId="7D36D35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液态</w:t>
                  </w:r>
                </w:p>
              </w:tc>
              <w:tc>
                <w:tcPr>
                  <w:tcW w:w="666" w:type="dxa"/>
                  <w:shd w:val="clear" w:color="auto" w:fill="auto"/>
                  <w:noWrap w:val="0"/>
                  <w:vAlign w:val="center"/>
                </w:tcPr>
                <w:p w14:paraId="329F1E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lang w:val="en-US" w:eastAsia="zh-CN"/>
                    </w:rPr>
                  </w:pPr>
                  <w:r>
                    <w:rPr>
                      <w:color w:val="auto"/>
                      <w:kern w:val="1"/>
                      <w:sz w:val="21"/>
                      <w:szCs w:val="21"/>
                    </w:rPr>
                    <w:t>T、I</w:t>
                  </w:r>
                </w:p>
              </w:tc>
              <w:tc>
                <w:tcPr>
                  <w:tcW w:w="916" w:type="dxa"/>
                  <w:shd w:val="clear" w:color="auto" w:fill="auto"/>
                  <w:noWrap w:val="0"/>
                  <w:vAlign w:val="center"/>
                </w:tcPr>
                <w:p w14:paraId="5DEC81D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w:t>
                  </w:r>
                  <w:r>
                    <w:rPr>
                      <w:rFonts w:hint="eastAsia" w:ascii="Times New Roman" w:hAnsi="Times New Roman" w:cs="Times New Roman"/>
                      <w:b w:val="0"/>
                      <w:bCs/>
                      <w:color w:val="auto"/>
                      <w:sz w:val="21"/>
                      <w:szCs w:val="21"/>
                      <w:lang w:val="en-US" w:eastAsia="zh-CN"/>
                    </w:rPr>
                    <w:t>1</w:t>
                  </w:r>
                </w:p>
              </w:tc>
              <w:tc>
                <w:tcPr>
                  <w:tcW w:w="481" w:type="dxa"/>
                  <w:vMerge w:val="restart"/>
                  <w:shd w:val="clear" w:color="auto" w:fill="auto"/>
                  <w:noWrap w:val="0"/>
                  <w:vAlign w:val="center"/>
                </w:tcPr>
                <w:p w14:paraId="589B09E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lang w:val="en-US" w:eastAsia="zh-CN"/>
                    </w:rPr>
                  </w:pPr>
                  <w:r>
                    <w:rPr>
                      <w:rFonts w:hint="eastAsia"/>
                      <w:bCs/>
                      <w:color w:val="auto"/>
                      <w:sz w:val="21"/>
                      <w:szCs w:val="21"/>
                    </w:rPr>
                    <w:t>危废贮存间</w:t>
                  </w:r>
                </w:p>
              </w:tc>
              <w:tc>
                <w:tcPr>
                  <w:tcW w:w="916" w:type="dxa"/>
                  <w:vMerge w:val="restart"/>
                  <w:shd w:val="clear" w:color="auto" w:fill="auto"/>
                  <w:noWrap w:val="0"/>
                  <w:vAlign w:val="center"/>
                </w:tcPr>
                <w:p w14:paraId="239174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hint="eastAsia"/>
                      <w:bCs/>
                      <w:color w:val="auto"/>
                      <w:sz w:val="21"/>
                      <w:szCs w:val="21"/>
                      <w:lang w:val="en-US" w:eastAsia="zh-CN"/>
                    </w:rPr>
                    <w:t>经</w:t>
                  </w:r>
                  <w:r>
                    <w:rPr>
                      <w:rFonts w:hint="eastAsia"/>
                      <w:bCs/>
                      <w:color w:val="auto"/>
                      <w:sz w:val="21"/>
                      <w:szCs w:val="21"/>
                    </w:rPr>
                    <w:t>危废贮存间</w:t>
                  </w:r>
                  <w:r>
                    <w:rPr>
                      <w:rFonts w:hint="eastAsia"/>
                      <w:bCs/>
                      <w:color w:val="auto"/>
                      <w:sz w:val="21"/>
                      <w:szCs w:val="21"/>
                      <w:lang w:val="en-US" w:eastAsia="zh-CN"/>
                    </w:rPr>
                    <w:t>暂存后</w:t>
                  </w:r>
                  <w:r>
                    <w:rPr>
                      <w:bCs/>
                      <w:color w:val="auto"/>
                      <w:spacing w:val="-10"/>
                      <w:sz w:val="21"/>
                      <w:szCs w:val="21"/>
                    </w:rPr>
                    <w:t>定期委托</w:t>
                  </w:r>
                  <w:r>
                    <w:rPr>
                      <w:rFonts w:hint="eastAsia"/>
                      <w:bCs/>
                      <w:color w:val="auto"/>
                      <w:spacing w:val="-10"/>
                      <w:sz w:val="21"/>
                      <w:szCs w:val="21"/>
                    </w:rPr>
                    <w:t>云南大地丰源环保有限公司</w:t>
                  </w:r>
                  <w:r>
                    <w:rPr>
                      <w:bCs/>
                      <w:color w:val="auto"/>
                      <w:spacing w:val="-10"/>
                      <w:sz w:val="21"/>
                      <w:szCs w:val="21"/>
                    </w:rPr>
                    <w:t>清运处置</w:t>
                  </w:r>
                </w:p>
              </w:tc>
              <w:tc>
                <w:tcPr>
                  <w:tcW w:w="865" w:type="dxa"/>
                  <w:shd w:val="clear" w:color="auto" w:fill="auto"/>
                  <w:noWrap w:val="0"/>
                  <w:vAlign w:val="center"/>
                </w:tcPr>
                <w:p w14:paraId="7A15175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w:t>
                  </w:r>
                  <w:r>
                    <w:rPr>
                      <w:rFonts w:hint="eastAsia" w:ascii="Times New Roman" w:hAnsi="Times New Roman" w:cs="Times New Roman"/>
                      <w:b w:val="0"/>
                      <w:bCs/>
                      <w:color w:val="auto"/>
                      <w:sz w:val="21"/>
                      <w:szCs w:val="21"/>
                      <w:lang w:val="en-US" w:eastAsia="zh-CN"/>
                    </w:rPr>
                    <w:t>1</w:t>
                  </w:r>
                </w:p>
              </w:tc>
              <w:tc>
                <w:tcPr>
                  <w:tcW w:w="667" w:type="dxa"/>
                  <w:vMerge w:val="continue"/>
                  <w:shd w:val="clear" w:color="auto" w:fill="auto"/>
                  <w:noWrap w:val="0"/>
                  <w:vAlign w:val="center"/>
                </w:tcPr>
                <w:p w14:paraId="36E755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p>
              </w:tc>
            </w:tr>
            <w:tr w14:paraId="3E2D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97" w:type="dxa"/>
                  <w:shd w:val="clear" w:color="auto" w:fill="auto"/>
                  <w:noWrap w:val="0"/>
                  <w:vAlign w:val="center"/>
                </w:tcPr>
                <w:p w14:paraId="6F20960E">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lang w:val="en-US" w:eastAsia="zh-CN"/>
                    </w:rPr>
                  </w:pPr>
                  <w:r>
                    <w:rPr>
                      <w:rFonts w:hint="eastAsia"/>
                      <w:color w:val="auto"/>
                      <w:sz w:val="21"/>
                      <w:szCs w:val="21"/>
                      <w:lang w:val="en-US" w:eastAsia="zh-CN"/>
                    </w:rPr>
                    <w:t>消毒</w:t>
                  </w:r>
                </w:p>
              </w:tc>
              <w:tc>
                <w:tcPr>
                  <w:tcW w:w="791" w:type="dxa"/>
                  <w:shd w:val="clear" w:color="auto" w:fill="auto"/>
                  <w:noWrap w:val="0"/>
                  <w:vAlign w:val="center"/>
                </w:tcPr>
                <w:p w14:paraId="0D09CB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废包装桶</w:t>
                  </w:r>
                </w:p>
              </w:tc>
              <w:tc>
                <w:tcPr>
                  <w:tcW w:w="900" w:type="dxa"/>
                  <w:shd w:val="clear" w:color="auto" w:fill="auto"/>
                  <w:noWrap w:val="0"/>
                  <w:vAlign w:val="center"/>
                </w:tcPr>
                <w:p w14:paraId="40F1195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危险废物</w:t>
                  </w:r>
                </w:p>
              </w:tc>
              <w:tc>
                <w:tcPr>
                  <w:tcW w:w="714" w:type="dxa"/>
                  <w:shd w:val="clear" w:color="auto" w:fill="auto"/>
                  <w:noWrap w:val="0"/>
                  <w:vAlign w:val="center"/>
                </w:tcPr>
                <w:p w14:paraId="07431541">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危险废物</w:t>
                  </w:r>
                  <w:r>
                    <w:rPr>
                      <w:color w:val="auto"/>
                      <w:sz w:val="21"/>
                      <w:szCs w:val="21"/>
                    </w:rPr>
                    <w:t>HW</w:t>
                  </w:r>
                  <w:r>
                    <w:rPr>
                      <w:rFonts w:hint="eastAsia"/>
                      <w:color w:val="auto"/>
                      <w:sz w:val="21"/>
                      <w:szCs w:val="21"/>
                      <w:lang w:val="en-US" w:eastAsia="zh-CN"/>
                    </w:rPr>
                    <w:t>49，900-041-49</w:t>
                  </w:r>
                </w:p>
              </w:tc>
              <w:tc>
                <w:tcPr>
                  <w:tcW w:w="668" w:type="dxa"/>
                  <w:shd w:val="clear" w:color="auto" w:fill="auto"/>
                  <w:noWrap w:val="0"/>
                  <w:vAlign w:val="center"/>
                </w:tcPr>
                <w:p w14:paraId="39E79B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固态</w:t>
                  </w:r>
                </w:p>
              </w:tc>
              <w:tc>
                <w:tcPr>
                  <w:tcW w:w="666" w:type="dxa"/>
                  <w:shd w:val="clear" w:color="auto" w:fill="auto"/>
                  <w:noWrap w:val="0"/>
                  <w:vAlign w:val="center"/>
                </w:tcPr>
                <w:p w14:paraId="37B6A1CB">
                  <w:pPr>
                    <w:keepNext w:val="0"/>
                    <w:keepLines w:val="0"/>
                    <w:pageBreakBefore w:val="0"/>
                    <w:widowControl w:val="0"/>
                    <w:kinsoku/>
                    <w:wordWrap/>
                    <w:overflowPunct/>
                    <w:topLinePunct w:val="0"/>
                    <w:autoSpaceDE/>
                    <w:autoSpaceDN/>
                    <w:bidi w:val="0"/>
                    <w:adjustRightInd/>
                    <w:snapToGrid/>
                    <w:jc w:val="center"/>
                    <w:textAlignment w:val="auto"/>
                    <w:rPr>
                      <w:color w:val="auto"/>
                      <w:kern w:val="1"/>
                      <w:sz w:val="21"/>
                      <w:szCs w:val="21"/>
                    </w:rPr>
                  </w:pPr>
                  <w:r>
                    <w:rPr>
                      <w:color w:val="auto"/>
                      <w:kern w:val="1"/>
                      <w:sz w:val="21"/>
                      <w:szCs w:val="21"/>
                    </w:rPr>
                    <w:t>T、I</w:t>
                  </w:r>
                </w:p>
              </w:tc>
              <w:tc>
                <w:tcPr>
                  <w:tcW w:w="916" w:type="dxa"/>
                  <w:shd w:val="clear" w:color="auto" w:fill="auto"/>
                  <w:noWrap w:val="0"/>
                  <w:vAlign w:val="center"/>
                </w:tcPr>
                <w:p w14:paraId="08299B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1.5</w:t>
                  </w:r>
                </w:p>
              </w:tc>
              <w:tc>
                <w:tcPr>
                  <w:tcW w:w="481" w:type="dxa"/>
                  <w:vMerge w:val="continue"/>
                  <w:shd w:val="clear" w:color="auto" w:fill="auto"/>
                  <w:noWrap w:val="0"/>
                  <w:vAlign w:val="center"/>
                </w:tcPr>
                <w:p w14:paraId="7FD0A37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color w:val="auto"/>
                      <w:sz w:val="21"/>
                      <w:szCs w:val="21"/>
                      <w:lang w:val="en-US" w:eastAsia="zh-CN"/>
                    </w:rPr>
                  </w:pPr>
                </w:p>
              </w:tc>
              <w:tc>
                <w:tcPr>
                  <w:tcW w:w="916" w:type="dxa"/>
                  <w:vMerge w:val="continue"/>
                  <w:shd w:val="clear" w:color="auto" w:fill="auto"/>
                  <w:noWrap w:val="0"/>
                  <w:vAlign w:val="center"/>
                </w:tcPr>
                <w:p w14:paraId="5604F182">
                  <w:pPr>
                    <w:keepNext w:val="0"/>
                    <w:keepLines w:val="0"/>
                    <w:pageBreakBefore w:val="0"/>
                    <w:widowControl w:val="0"/>
                    <w:kinsoku/>
                    <w:wordWrap/>
                    <w:overflowPunct/>
                    <w:topLinePunct w:val="0"/>
                    <w:autoSpaceDE/>
                    <w:autoSpaceDN/>
                    <w:bidi w:val="0"/>
                    <w:adjustRightInd/>
                    <w:snapToGrid/>
                    <w:jc w:val="center"/>
                    <w:textAlignment w:val="auto"/>
                    <w:rPr>
                      <w:rFonts w:hint="eastAsia"/>
                      <w:bCs/>
                      <w:color w:val="auto"/>
                      <w:sz w:val="21"/>
                      <w:szCs w:val="21"/>
                      <w:lang w:val="en-US" w:eastAsia="zh-CN"/>
                    </w:rPr>
                  </w:pPr>
                </w:p>
              </w:tc>
              <w:tc>
                <w:tcPr>
                  <w:tcW w:w="865" w:type="dxa"/>
                  <w:shd w:val="clear" w:color="auto" w:fill="auto"/>
                  <w:noWrap w:val="0"/>
                  <w:vAlign w:val="center"/>
                </w:tcPr>
                <w:p w14:paraId="1D51A22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1.5</w:t>
                  </w:r>
                </w:p>
              </w:tc>
              <w:tc>
                <w:tcPr>
                  <w:tcW w:w="667" w:type="dxa"/>
                  <w:vMerge w:val="continue"/>
                  <w:shd w:val="clear" w:color="auto" w:fill="auto"/>
                  <w:noWrap w:val="0"/>
                  <w:vAlign w:val="center"/>
                </w:tcPr>
                <w:p w14:paraId="0110D9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p>
              </w:tc>
            </w:tr>
          </w:tbl>
          <w:p w14:paraId="21FCDD0E">
            <w:pPr>
              <w:spacing w:line="360" w:lineRule="auto"/>
              <w:ind w:firstLine="482" w:firstLineChars="200"/>
              <w:rPr>
                <w:rFonts w:hint="eastAsia"/>
                <w:color w:val="auto"/>
                <w:sz w:val="24"/>
                <w:szCs w:val="24"/>
                <w:lang w:val="en-US" w:eastAsia="zh-CN"/>
              </w:rPr>
            </w:pPr>
            <w:r>
              <w:rPr>
                <w:rFonts w:hint="eastAsia" w:ascii="Times New Roman" w:hAnsi="Times New Roman"/>
                <w:b/>
                <w:color w:val="auto"/>
                <w:sz w:val="24"/>
                <w:szCs w:val="24"/>
                <w:lang w:val="en-US" w:eastAsia="zh-CN"/>
              </w:rPr>
              <w:t>2、</w:t>
            </w:r>
            <w:r>
              <w:rPr>
                <w:rFonts w:ascii="Times New Roman" w:hAnsi="Times New Roman"/>
                <w:b/>
                <w:color w:val="auto"/>
                <w:sz w:val="24"/>
                <w:szCs w:val="24"/>
              </w:rPr>
              <w:t>一般固废影响分析</w:t>
            </w:r>
          </w:p>
          <w:p w14:paraId="11B7BE26">
            <w:pPr>
              <w:spacing w:line="360" w:lineRule="auto"/>
              <w:ind w:firstLine="480" w:firstLineChars="200"/>
              <w:rPr>
                <w:rFonts w:hint="default" w:ascii="宋体" w:hAnsi="宋体" w:eastAsia="宋体" w:cs="宋体"/>
                <w:color w:val="auto"/>
                <w:sz w:val="24"/>
                <w:szCs w:val="24"/>
                <w:lang w:val="en-US" w:eastAsia="zh-CN"/>
              </w:rPr>
            </w:pPr>
            <w:r>
              <w:rPr>
                <w:rFonts w:hint="eastAsia"/>
                <w:color w:val="auto"/>
                <w:sz w:val="24"/>
                <w:szCs w:val="24"/>
                <w:lang w:val="en-US" w:eastAsia="zh-CN"/>
              </w:rPr>
              <w:t>项目一般固废主要为</w:t>
            </w:r>
            <w:r>
              <w:rPr>
                <w:rFonts w:hint="eastAsia" w:ascii="宋体" w:hAnsi="宋体" w:eastAsia="宋体" w:cs="宋体"/>
                <w:color w:val="auto"/>
                <w:sz w:val="24"/>
                <w:szCs w:val="24"/>
                <w:lang w:val="en-US" w:eastAsia="zh-CN"/>
              </w:rPr>
              <w:t>废果、</w:t>
            </w:r>
            <w:r>
              <w:rPr>
                <w:rFonts w:hint="eastAsia" w:cs="Times New Roman"/>
                <w:b w:val="0"/>
                <w:bCs/>
                <w:color w:val="auto"/>
                <w:sz w:val="24"/>
                <w:szCs w:val="24"/>
                <w:lang w:val="en-US" w:eastAsia="zh-CN"/>
              </w:rPr>
              <w:t>废果皮、废核及废果渣、</w:t>
            </w:r>
            <w:r>
              <w:rPr>
                <w:rFonts w:hint="eastAsia" w:ascii="宋体" w:hAnsi="宋体" w:eastAsia="宋体" w:cs="宋体"/>
                <w:color w:val="auto"/>
                <w:sz w:val="24"/>
                <w:szCs w:val="24"/>
                <w:lang w:val="en-US" w:eastAsia="zh-CN"/>
              </w:rPr>
              <w:t>炉渣、</w:t>
            </w:r>
            <w:r>
              <w:rPr>
                <w:rFonts w:hint="eastAsia" w:ascii="宋体" w:hAnsi="宋体" w:cs="宋体"/>
                <w:color w:val="auto"/>
                <w:sz w:val="24"/>
                <w:szCs w:val="24"/>
                <w:lang w:val="en-US" w:eastAsia="zh-CN"/>
              </w:rPr>
              <w:t>除尘灰、废培养基、</w:t>
            </w:r>
            <w:r>
              <w:rPr>
                <w:rFonts w:hint="eastAsia" w:cs="Times New Roman"/>
                <w:b w:val="0"/>
                <w:bCs/>
                <w:color w:val="auto"/>
                <w:sz w:val="24"/>
                <w:szCs w:val="24"/>
                <w:lang w:val="en-US" w:eastAsia="zh-CN"/>
              </w:rPr>
              <w:t>废反渗透膜等，其中</w:t>
            </w:r>
            <w:r>
              <w:rPr>
                <w:rFonts w:hint="eastAsia" w:ascii="宋体" w:hAnsi="宋体" w:eastAsia="宋体" w:cs="宋体"/>
                <w:color w:val="auto"/>
                <w:sz w:val="24"/>
                <w:szCs w:val="24"/>
                <w:lang w:val="en-US" w:eastAsia="zh-CN"/>
              </w:rPr>
              <w:t>废果、</w:t>
            </w:r>
            <w:r>
              <w:rPr>
                <w:rFonts w:hint="eastAsia" w:cs="Times New Roman"/>
                <w:b w:val="0"/>
                <w:bCs/>
                <w:color w:val="auto"/>
                <w:sz w:val="24"/>
                <w:szCs w:val="24"/>
                <w:lang w:val="en-US" w:eastAsia="zh-CN"/>
              </w:rPr>
              <w:t>废果皮、废核及废果渣</w:t>
            </w:r>
            <w:r>
              <w:rPr>
                <w:rFonts w:hint="eastAsia" w:ascii="Times New Roman" w:hAnsi="Times New Roman"/>
                <w:bCs/>
                <w:color w:val="auto"/>
                <w:sz w:val="24"/>
                <w:szCs w:val="24"/>
                <w:lang w:val="en-US" w:eastAsia="zh-CN"/>
              </w:rPr>
              <w:t>日产日清，经统一收集后</w:t>
            </w:r>
            <w:r>
              <w:rPr>
                <w:rFonts w:hint="eastAsia"/>
                <w:color w:val="auto"/>
                <w:sz w:val="24"/>
                <w:lang w:val="en-US" w:eastAsia="zh-CN"/>
              </w:rPr>
              <w:t>委托</w:t>
            </w:r>
            <w:r>
              <w:rPr>
                <w:rFonts w:hint="eastAsia" w:cs="Times New Roman"/>
                <w:color w:val="auto"/>
                <w:sz w:val="24"/>
                <w:szCs w:val="24"/>
                <w:highlight w:val="none"/>
                <w:lang w:val="en-US" w:eastAsia="zh-CN"/>
              </w:rPr>
              <w:t>云南元江牛歌有机肥有限公司</w:t>
            </w:r>
            <w:r>
              <w:rPr>
                <w:rFonts w:ascii="Times New Roman" w:hAnsi="Times New Roman"/>
                <w:color w:val="auto"/>
                <w:sz w:val="24"/>
                <w:szCs w:val="24"/>
              </w:rPr>
              <w:t>进</w:t>
            </w:r>
            <w:r>
              <w:rPr>
                <w:rFonts w:ascii="Times New Roman" w:hAnsi="Times New Roman"/>
                <w:color w:val="auto"/>
                <w:sz w:val="24"/>
              </w:rPr>
              <w:t>行处理</w:t>
            </w:r>
            <w:r>
              <w:rPr>
                <w:rFonts w:hint="eastAsia" w:ascii="Times New Roman" w:hAnsi="Times New Roman"/>
                <w:color w:val="auto"/>
                <w:sz w:val="24"/>
                <w:lang w:eastAsia="zh-CN"/>
              </w:rPr>
              <w:t>；</w:t>
            </w:r>
            <w:r>
              <w:rPr>
                <w:rFonts w:hint="eastAsia" w:ascii="宋体" w:hAnsi="宋体" w:eastAsia="宋体" w:cs="宋体"/>
                <w:color w:val="auto"/>
                <w:sz w:val="24"/>
                <w:szCs w:val="24"/>
                <w:lang w:val="en-US" w:eastAsia="zh-CN"/>
              </w:rPr>
              <w:t>炉渣及除尘灰</w:t>
            </w:r>
            <w:r>
              <w:rPr>
                <w:rFonts w:hint="eastAsia"/>
                <w:color w:val="auto"/>
                <w:sz w:val="24"/>
                <w:szCs w:val="24"/>
                <w:lang w:val="en-US" w:eastAsia="zh-CN"/>
              </w:rPr>
              <w:t>经袋装收集后</w:t>
            </w:r>
            <w:r>
              <w:rPr>
                <w:rFonts w:hint="eastAsia" w:ascii="Times New Roman" w:hAnsi="Times New Roman" w:eastAsia="宋体" w:cs="Times New Roman"/>
                <w:color w:val="auto"/>
                <w:kern w:val="0"/>
                <w:sz w:val="24"/>
                <w:lang w:val="en-US" w:eastAsia="zh-CN" w:bidi="ar"/>
              </w:rPr>
              <w:t>定期外售肥料制作单位制作</w:t>
            </w:r>
            <w:r>
              <w:rPr>
                <w:rFonts w:hint="eastAsia" w:ascii="Times New Roman" w:hAnsi="Times New Roman" w:eastAsia="宋体" w:cs="Times New Roman"/>
                <w:color w:val="auto"/>
                <w:kern w:val="0"/>
                <w:sz w:val="24"/>
                <w:lang w:bidi="ar"/>
              </w:rPr>
              <w:t>肥料</w:t>
            </w:r>
            <w:r>
              <w:rPr>
                <w:rFonts w:hint="eastAsia" w:cs="Times New Roman"/>
                <w:color w:val="auto"/>
                <w:kern w:val="0"/>
                <w:sz w:val="24"/>
                <w:lang w:eastAsia="zh-CN" w:bidi="ar"/>
              </w:rPr>
              <w:t>；</w:t>
            </w:r>
            <w:r>
              <w:rPr>
                <w:rFonts w:hint="eastAsia" w:ascii="宋体" w:hAnsi="宋体" w:cs="宋体"/>
                <w:color w:val="auto"/>
                <w:sz w:val="24"/>
                <w:szCs w:val="24"/>
                <w:lang w:val="en-US" w:eastAsia="zh-CN"/>
              </w:rPr>
              <w:t>废培养基</w:t>
            </w:r>
            <w:r>
              <w:rPr>
                <w:rFonts w:hint="default" w:ascii="Times New Roman" w:hAnsi="Times New Roman" w:cs="Times New Roman"/>
                <w:b w:val="0"/>
                <w:bCs w:val="0"/>
                <w:color w:val="auto"/>
                <w:sz w:val="24"/>
                <w:szCs w:val="24"/>
                <w:lang w:val="en-US" w:eastAsia="zh-CN"/>
              </w:rPr>
              <w:t>经</w:t>
            </w:r>
            <w:r>
              <w:rPr>
                <w:rFonts w:hint="eastAsia" w:ascii="Times New Roman" w:hAnsi="Times New Roman" w:cs="Times New Roman"/>
                <w:b w:val="0"/>
                <w:bCs w:val="0"/>
                <w:color w:val="auto"/>
                <w:sz w:val="24"/>
                <w:szCs w:val="24"/>
                <w:lang w:val="en-US" w:eastAsia="zh-CN"/>
              </w:rPr>
              <w:t>高压</w:t>
            </w:r>
            <w:r>
              <w:rPr>
                <w:rFonts w:hint="default" w:ascii="Times New Roman" w:hAnsi="Times New Roman" w:cs="Times New Roman"/>
                <w:b w:val="0"/>
                <w:bCs w:val="0"/>
                <w:color w:val="auto"/>
                <w:sz w:val="24"/>
                <w:szCs w:val="24"/>
                <w:lang w:val="en-US" w:eastAsia="zh-CN"/>
              </w:rPr>
              <w:t>灭活后委托</w:t>
            </w:r>
            <w:r>
              <w:rPr>
                <w:rFonts w:hint="eastAsia" w:ascii="Times New Roman" w:hAnsi="Times New Roman" w:cs="Times New Roman"/>
                <w:b w:val="0"/>
                <w:bCs w:val="0"/>
                <w:color w:val="auto"/>
                <w:sz w:val="24"/>
                <w:szCs w:val="24"/>
                <w:lang w:val="en-US" w:eastAsia="zh-CN"/>
              </w:rPr>
              <w:t>环卫</w:t>
            </w:r>
            <w:r>
              <w:rPr>
                <w:rFonts w:hint="default" w:ascii="Times New Roman" w:hAnsi="Times New Roman" w:cs="Times New Roman"/>
                <w:b w:val="0"/>
                <w:bCs w:val="0"/>
                <w:color w:val="auto"/>
                <w:sz w:val="24"/>
                <w:szCs w:val="24"/>
                <w:lang w:val="en-US" w:eastAsia="zh-CN"/>
              </w:rPr>
              <w:t>部门定期清运处置</w:t>
            </w:r>
            <w:r>
              <w:rPr>
                <w:rFonts w:hint="eastAsia" w:ascii="Times New Roman" w:hAnsi="Times New Roman" w:cs="Times New Roman"/>
                <w:b w:val="0"/>
                <w:bCs w:val="0"/>
                <w:color w:val="auto"/>
                <w:sz w:val="24"/>
                <w:szCs w:val="24"/>
                <w:lang w:val="en-US" w:eastAsia="zh-CN"/>
              </w:rPr>
              <w:t>；</w:t>
            </w:r>
            <w:r>
              <w:rPr>
                <w:rFonts w:hint="eastAsia" w:cs="Times New Roman"/>
                <w:b w:val="0"/>
                <w:bCs/>
                <w:color w:val="auto"/>
                <w:sz w:val="24"/>
                <w:szCs w:val="24"/>
                <w:lang w:val="en-US" w:eastAsia="zh-CN"/>
              </w:rPr>
              <w:t>废反渗透膜</w:t>
            </w:r>
            <w:r>
              <w:rPr>
                <w:rFonts w:hint="eastAsia" w:cs="Times New Roman"/>
                <w:color w:val="auto"/>
                <w:sz w:val="24"/>
                <w:szCs w:val="24"/>
                <w:lang w:val="en-US" w:eastAsia="zh-CN"/>
              </w:rPr>
              <w:t>由厂家回收处理；</w:t>
            </w:r>
            <w:r>
              <w:rPr>
                <w:rFonts w:hint="eastAsia" w:ascii="宋体" w:hAnsi="宋体" w:cs="宋体"/>
                <w:color w:val="auto"/>
                <w:sz w:val="24"/>
                <w:szCs w:val="24"/>
                <w:lang w:val="en-US" w:eastAsia="zh-CN"/>
              </w:rPr>
              <w:t>废包装材料</w:t>
            </w:r>
            <w:r>
              <w:rPr>
                <w:rFonts w:hint="eastAsia"/>
                <w:color w:val="auto"/>
                <w:sz w:val="24"/>
                <w:szCs w:val="24"/>
                <w:lang w:val="en-US" w:eastAsia="zh-CN"/>
              </w:rPr>
              <w:t>经统一</w:t>
            </w:r>
            <w:r>
              <w:rPr>
                <w:rFonts w:ascii="Times New Roman" w:hAnsi="Times New Roman"/>
                <w:bCs/>
                <w:color w:val="auto"/>
                <w:sz w:val="24"/>
                <w:szCs w:val="24"/>
              </w:rPr>
              <w:t>收集后</w:t>
            </w:r>
            <w:r>
              <w:rPr>
                <w:rFonts w:hint="eastAsia" w:ascii="Times New Roman" w:hAnsi="Times New Roman"/>
                <w:bCs/>
                <w:color w:val="auto"/>
                <w:sz w:val="24"/>
                <w:szCs w:val="24"/>
                <w:lang w:val="en-US" w:eastAsia="zh-CN"/>
              </w:rPr>
              <w:t>外售</w:t>
            </w:r>
            <w:r>
              <w:rPr>
                <w:rFonts w:ascii="Times New Roman" w:hAnsi="Times New Roman"/>
                <w:bCs/>
                <w:color w:val="auto"/>
                <w:sz w:val="24"/>
                <w:szCs w:val="24"/>
              </w:rPr>
              <w:t>废旧物资收购站</w:t>
            </w:r>
            <w:r>
              <w:rPr>
                <w:rFonts w:hint="eastAsia" w:ascii="Times New Roman" w:hAnsi="Times New Roman"/>
                <w:bCs/>
                <w:color w:val="auto"/>
                <w:sz w:val="24"/>
                <w:szCs w:val="24"/>
                <w:lang w:eastAsia="zh-CN"/>
              </w:rPr>
              <w:t>；</w:t>
            </w:r>
            <w:r>
              <w:rPr>
                <w:rFonts w:hint="eastAsia"/>
                <w:color w:val="auto"/>
                <w:sz w:val="24"/>
                <w:szCs w:val="24"/>
                <w:lang w:val="en-US" w:eastAsia="zh-CN"/>
              </w:rPr>
              <w:t>生活垃圾</w:t>
            </w:r>
            <w:r>
              <w:rPr>
                <w:rFonts w:hint="eastAsia" w:ascii="Times New Roman" w:hAnsi="Times New Roman" w:cs="Times New Roman"/>
                <w:b w:val="0"/>
                <w:bCs w:val="0"/>
                <w:color w:val="auto"/>
                <w:sz w:val="24"/>
                <w:lang w:val="en-US" w:eastAsia="zh-CN" w:bidi="ar"/>
              </w:rPr>
              <w:t>经垃圾桶收集后委托环卫部门定期清运处置；项目一般固废均进行妥善处置，处置率为100%，对周边环境的影响较小。</w:t>
            </w:r>
          </w:p>
          <w:p w14:paraId="6A18465E">
            <w:pPr>
              <w:spacing w:line="360" w:lineRule="auto"/>
              <w:ind w:firstLine="482" w:firstLineChars="200"/>
              <w:rPr>
                <w:rFonts w:hint="default"/>
                <w:color w:val="auto"/>
                <w:sz w:val="24"/>
                <w:szCs w:val="24"/>
                <w:lang w:val="en-US" w:eastAsia="zh-CN"/>
              </w:rPr>
            </w:pPr>
            <w:r>
              <w:rPr>
                <w:rFonts w:hint="eastAsia" w:ascii="Times New Roman" w:hAnsi="Times New Roman"/>
                <w:b/>
                <w:color w:val="auto"/>
                <w:sz w:val="24"/>
                <w:szCs w:val="24"/>
                <w:lang w:val="en-US" w:eastAsia="zh-CN"/>
              </w:rPr>
              <w:t>3、</w:t>
            </w:r>
            <w:r>
              <w:rPr>
                <w:rFonts w:ascii="Times New Roman" w:hAnsi="Times New Roman"/>
                <w:b/>
                <w:color w:val="auto"/>
                <w:sz w:val="24"/>
                <w:szCs w:val="24"/>
              </w:rPr>
              <w:t>危险废物</w:t>
            </w:r>
            <w:r>
              <w:rPr>
                <w:rFonts w:ascii="Times New Roman" w:hAnsi="Times New Roman"/>
                <w:b/>
                <w:color w:val="auto"/>
                <w:sz w:val="24"/>
                <w:szCs w:val="24"/>
                <w:lang w:val="en-US" w:eastAsia="zh-CN"/>
              </w:rPr>
              <w:t>影响分析</w:t>
            </w:r>
          </w:p>
          <w:p w14:paraId="78A10702">
            <w:pPr>
              <w:autoSpaceDE w:val="0"/>
              <w:autoSpaceDN w:val="0"/>
              <w:adjustRightInd w:val="0"/>
              <w:spacing w:line="360" w:lineRule="auto"/>
              <w:ind w:firstLine="480" w:firstLineChars="200"/>
              <w:rPr>
                <w:color w:val="auto"/>
                <w:kern w:val="0"/>
                <w:sz w:val="24"/>
              </w:rPr>
            </w:pPr>
            <w:r>
              <w:rPr>
                <w:rFonts w:hint="eastAsia"/>
                <w:color w:val="auto"/>
                <w:sz w:val="24"/>
                <w:szCs w:val="24"/>
                <w:lang w:val="en-US" w:eastAsia="zh-CN"/>
              </w:rPr>
              <w:t>厂区内已建设2间危废贮存间，总建筑面积为10m</w:t>
            </w:r>
            <w:r>
              <w:rPr>
                <w:rFonts w:hint="eastAsia"/>
                <w:color w:val="auto"/>
                <w:sz w:val="24"/>
                <w:szCs w:val="24"/>
                <w:vertAlign w:val="superscript"/>
                <w:lang w:val="en-US" w:eastAsia="zh-CN"/>
              </w:rPr>
              <w:t>2</w:t>
            </w:r>
            <w:r>
              <w:rPr>
                <w:rFonts w:hint="eastAsia"/>
                <w:color w:val="auto"/>
                <w:sz w:val="24"/>
                <w:szCs w:val="24"/>
                <w:lang w:val="en-US" w:eastAsia="zh-CN"/>
              </w:rPr>
              <w:t>。项目废冷冻油</w:t>
            </w:r>
            <w:r>
              <w:rPr>
                <w:color w:val="auto"/>
                <w:kern w:val="0"/>
                <w:sz w:val="24"/>
                <w:szCs w:val="24"/>
              </w:rPr>
              <w:t>储存于专用密闭容器内，存放于</w:t>
            </w:r>
            <w:r>
              <w:rPr>
                <w:rFonts w:hint="eastAsia"/>
                <w:color w:val="auto"/>
                <w:kern w:val="0"/>
                <w:sz w:val="24"/>
                <w:szCs w:val="24"/>
              </w:rPr>
              <w:t>危废贮存间</w:t>
            </w:r>
            <w:r>
              <w:rPr>
                <w:color w:val="auto"/>
                <w:kern w:val="0"/>
                <w:sz w:val="24"/>
                <w:szCs w:val="24"/>
              </w:rPr>
              <w:t>，</w:t>
            </w:r>
            <w:r>
              <w:rPr>
                <w:rFonts w:hint="eastAsia"/>
                <w:color w:val="auto"/>
                <w:kern w:val="0"/>
                <w:sz w:val="24"/>
                <w:szCs w:val="24"/>
                <w:lang w:val="en-US" w:eastAsia="zh-CN"/>
              </w:rPr>
              <w:t>定期委托</w:t>
            </w:r>
            <w:r>
              <w:rPr>
                <w:rFonts w:hint="eastAsia"/>
                <w:bCs/>
                <w:color w:val="auto"/>
                <w:spacing w:val="-10"/>
                <w:sz w:val="24"/>
                <w:szCs w:val="24"/>
              </w:rPr>
              <w:t>云南大地丰源环保有限公司</w:t>
            </w:r>
            <w:r>
              <w:rPr>
                <w:rFonts w:hint="eastAsia"/>
                <w:color w:val="auto"/>
                <w:kern w:val="0"/>
                <w:sz w:val="24"/>
                <w:szCs w:val="24"/>
                <w:lang w:val="en-US" w:eastAsia="zh-CN"/>
              </w:rPr>
              <w:t>清运处置</w:t>
            </w:r>
            <w:r>
              <w:rPr>
                <w:rFonts w:hint="eastAsia"/>
                <w:color w:val="auto"/>
                <w:kern w:val="0"/>
                <w:sz w:val="24"/>
                <w:lang w:val="en-US" w:eastAsia="zh-CN"/>
              </w:rPr>
              <w:t>；废包装桶收集后暂存于危废贮存间，定期委托云南大地丰源环保有限公司清运处置。</w:t>
            </w:r>
          </w:p>
          <w:p w14:paraId="5C596DA6">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firstLine="480" w:firstLineChars="200"/>
              <w:rPr>
                <w:rFonts w:hint="default" w:cs="Times New Roman"/>
                <w:color w:val="auto"/>
                <w:sz w:val="24"/>
                <w:highlight w:val="none"/>
                <w:lang w:val="en-US" w:eastAsia="zh-CN"/>
              </w:rPr>
            </w:pPr>
            <w:r>
              <w:rPr>
                <w:rFonts w:hint="eastAsia" w:cs="Times New Roman"/>
                <w:color w:val="auto"/>
                <w:sz w:val="24"/>
                <w:highlight w:val="none"/>
                <w:lang w:val="en-US" w:eastAsia="zh-CN"/>
              </w:rPr>
              <w:t>根据现场踏勘，危废贮存间已</w:t>
            </w:r>
            <w:r>
              <w:rPr>
                <w:rFonts w:hint="default" w:ascii="Times New Roman" w:hAnsi="Times New Roman" w:cs="Times New Roman"/>
                <w:color w:val="auto"/>
                <w:sz w:val="24"/>
                <w:highlight w:val="none"/>
              </w:rPr>
              <w:t>按</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危险废物识别标志设置技术规范</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HYPERLINK "https://www.mee.gov.cn/ywgz/fgbz/bz/bzwb/gthw/wxfwjbffbz/202302/W020230224650971041729.pdf"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（HJ1276</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rPr>
              <w:t>2022）</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设立</w:t>
            </w:r>
            <w:r>
              <w:rPr>
                <w:rFonts w:hint="default" w:ascii="Times New Roman" w:hAnsi="Times New Roman" w:cs="Times New Roman"/>
                <w:color w:val="auto"/>
                <w:sz w:val="24"/>
                <w:highlight w:val="none"/>
                <w:lang w:val="en-US" w:eastAsia="zh-CN"/>
              </w:rPr>
              <w:t>标识牌</w:t>
            </w:r>
            <w:r>
              <w:rPr>
                <w:rFonts w:hint="eastAsia" w:ascii="Times New Roman" w:hAnsi="Times New Roman" w:cs="Times New Roman"/>
                <w:color w:val="auto"/>
                <w:sz w:val="24"/>
                <w:highlight w:val="none"/>
                <w:lang w:val="en-US" w:eastAsia="zh-CN"/>
              </w:rPr>
              <w:t>，已</w:t>
            </w:r>
            <w:r>
              <w:rPr>
                <w:rFonts w:hint="eastAsia" w:cs="Times New Roman"/>
                <w:color w:val="auto"/>
                <w:sz w:val="24"/>
                <w:highlight w:val="none"/>
                <w:lang w:val="en-US" w:eastAsia="zh-CN"/>
              </w:rPr>
              <w:t>建立贮存设施环境管理制度、管理人员岗位职责制度、设施运行操作制度、人员岗位培训制度等，且建设单位已与</w:t>
            </w:r>
            <w:r>
              <w:rPr>
                <w:rFonts w:hint="eastAsia"/>
                <w:color w:val="auto"/>
                <w:kern w:val="0"/>
                <w:sz w:val="24"/>
                <w:lang w:val="en-US" w:eastAsia="zh-CN"/>
              </w:rPr>
              <w:t>云南大地丰源环保有限公司签订了危废处置协议。厂区内</w:t>
            </w:r>
            <w:r>
              <w:rPr>
                <w:rFonts w:hint="eastAsia" w:cs="Times New Roman"/>
                <w:color w:val="auto"/>
                <w:sz w:val="24"/>
                <w:highlight w:val="none"/>
                <w:lang w:val="en-US" w:eastAsia="zh-CN"/>
              </w:rPr>
              <w:t>已建危废贮存间满足</w:t>
            </w:r>
            <w:r>
              <w:rPr>
                <w:color w:val="auto"/>
                <w:kern w:val="0"/>
                <w:sz w:val="24"/>
                <w:lang w:bidi="ar"/>
              </w:rPr>
              <w:t>《危险废物贮存污染控制标准》（GB18597-20</w:t>
            </w:r>
            <w:r>
              <w:rPr>
                <w:rFonts w:hint="eastAsia"/>
                <w:color w:val="auto"/>
                <w:kern w:val="0"/>
                <w:sz w:val="24"/>
                <w:lang w:bidi="ar"/>
              </w:rPr>
              <w:t>23</w:t>
            </w:r>
            <w:r>
              <w:rPr>
                <w:rFonts w:hint="eastAsia"/>
                <w:color w:val="auto"/>
                <w:kern w:val="0"/>
                <w:sz w:val="24"/>
                <w:lang w:eastAsia="zh-CN" w:bidi="ar"/>
              </w:rPr>
              <w:t>）</w:t>
            </w:r>
            <w:r>
              <w:rPr>
                <w:rFonts w:hint="eastAsia"/>
                <w:color w:val="auto"/>
                <w:kern w:val="0"/>
                <w:sz w:val="24"/>
                <w:lang w:val="en-US" w:eastAsia="zh-CN" w:bidi="ar"/>
              </w:rPr>
              <w:t>相关要求。</w:t>
            </w:r>
          </w:p>
          <w:p w14:paraId="29512F94">
            <w:pPr>
              <w:adjustRightInd w:val="0"/>
              <w:snapToGrid w:val="0"/>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lang w:val="en-US" w:eastAsia="zh-CN"/>
              </w:rPr>
              <w:t>五</w:t>
            </w:r>
            <w:r>
              <w:rPr>
                <w:rFonts w:hint="default" w:ascii="Times New Roman" w:hAnsi="Times New Roman" w:cs="Times New Roman"/>
                <w:b/>
                <w:color w:val="auto"/>
                <w:sz w:val="24"/>
              </w:rPr>
              <w:t>、地下水、土壤影响分析</w:t>
            </w:r>
          </w:p>
          <w:p w14:paraId="3434E74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left"/>
              <w:textAlignment w:val="auto"/>
              <w:rPr>
                <w:rFonts w:hint="default"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（1）地下水、土壤污染源及污染途径</w:t>
            </w:r>
          </w:p>
          <w:p w14:paraId="7A29AD92">
            <w:pPr>
              <w:keepNext w:val="0"/>
              <w:keepLines w:val="0"/>
              <w:pageBreakBefore w:val="0"/>
              <w:kinsoku/>
              <w:wordWrap/>
              <w:overflowPunct/>
              <w:topLinePunct w:val="0"/>
              <w:bidi w:val="0"/>
              <w:adjustRightInd/>
              <w:snapToGrid/>
              <w:spacing w:beforeAutospacing="0" w:afterAutospacing="0" w:line="360" w:lineRule="auto"/>
              <w:ind w:left="0" w:firstLine="480" w:firstLineChars="200"/>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本项目地下水、土壤污染源主要为危险废物贮存间、污水处理设施；</w:t>
            </w:r>
            <w:r>
              <w:rPr>
                <w:rFonts w:hint="eastAsia" w:cs="Times New Roman"/>
                <w:color w:val="auto"/>
                <w:kern w:val="0"/>
                <w:sz w:val="24"/>
                <w:szCs w:val="24"/>
                <w:highlight w:val="none"/>
                <w:lang w:val="en-US" w:eastAsia="zh-CN" w:bidi="ar"/>
              </w:rPr>
              <w:t>《环境影响评价技术导则 地下水环境》（</w:t>
            </w:r>
            <w:r>
              <w:rPr>
                <w:rFonts w:hint="default" w:cs="Times New Roman"/>
                <w:color w:val="auto"/>
                <w:kern w:val="0"/>
                <w:sz w:val="24"/>
                <w:szCs w:val="24"/>
                <w:highlight w:val="none"/>
                <w:lang w:val="en-US" w:eastAsia="zh-CN" w:bidi="ar"/>
              </w:rPr>
              <w:t>HJ610-2016</w:t>
            </w:r>
            <w:r>
              <w:rPr>
                <w:rFonts w:hint="eastAsia" w:cs="Times New Roman"/>
                <w:color w:val="auto"/>
                <w:kern w:val="0"/>
                <w:sz w:val="24"/>
                <w:szCs w:val="24"/>
                <w:highlight w:val="none"/>
                <w:lang w:val="en-US" w:eastAsia="zh-CN" w:bidi="ar"/>
              </w:rPr>
              <w:t>）中的“表7 地下水污染防渗分区参照表”，本项目地下水、土壤的</w:t>
            </w:r>
            <w:r>
              <w:rPr>
                <w:rFonts w:hint="eastAsia" w:ascii="宋体" w:hAnsi="宋体" w:cs="宋体"/>
                <w:color w:val="auto"/>
                <w:kern w:val="0"/>
                <w:sz w:val="24"/>
                <w:szCs w:val="24"/>
                <w:highlight w:val="none"/>
                <w:lang w:val="en-US" w:eastAsia="zh-CN" w:bidi="ar"/>
              </w:rPr>
              <w:t>污染物类型属其他类型污染物；根据本项目总图布置及生产工艺，项目</w:t>
            </w:r>
            <w:r>
              <w:rPr>
                <w:rFonts w:hint="eastAsia" w:ascii="宋体" w:hAnsi="宋体" w:eastAsia="宋体" w:cs="宋体"/>
                <w:color w:val="auto"/>
                <w:kern w:val="0"/>
                <w:sz w:val="24"/>
                <w:szCs w:val="24"/>
                <w:highlight w:val="none"/>
                <w:lang w:val="en-US" w:eastAsia="zh-CN" w:bidi="ar"/>
              </w:rPr>
              <w:t>常见的污染地下水及土壤</w:t>
            </w:r>
            <w:r>
              <w:rPr>
                <w:rFonts w:hint="eastAsia" w:ascii="宋体" w:hAnsi="宋体" w:cs="宋体"/>
                <w:color w:val="auto"/>
                <w:kern w:val="0"/>
                <w:sz w:val="24"/>
                <w:szCs w:val="24"/>
                <w:highlight w:val="none"/>
                <w:lang w:val="en-US" w:eastAsia="zh-CN" w:bidi="ar"/>
              </w:rPr>
              <w:t>的</w:t>
            </w:r>
            <w:r>
              <w:rPr>
                <w:rFonts w:hint="eastAsia" w:ascii="宋体" w:hAnsi="宋体" w:eastAsia="宋体" w:cs="宋体"/>
                <w:color w:val="auto"/>
                <w:kern w:val="0"/>
                <w:sz w:val="24"/>
                <w:szCs w:val="24"/>
                <w:highlight w:val="none"/>
                <w:lang w:val="en-US" w:eastAsia="zh-CN" w:bidi="ar"/>
              </w:rPr>
              <w:t>途径主要为</w:t>
            </w:r>
            <w:r>
              <w:rPr>
                <w:rFonts w:hint="eastAsia" w:ascii="宋体" w:hAnsi="宋体" w:cs="宋体"/>
                <w:color w:val="auto"/>
                <w:kern w:val="0"/>
                <w:sz w:val="24"/>
                <w:szCs w:val="24"/>
                <w:highlight w:val="none"/>
                <w:lang w:val="en-US" w:eastAsia="zh-CN" w:bidi="ar"/>
              </w:rPr>
              <w:t>：</w:t>
            </w:r>
          </w:p>
          <w:p w14:paraId="19DC7EE6">
            <w:pPr>
              <w:keepNext w:val="0"/>
              <w:keepLines w:val="0"/>
              <w:pageBreakBefore w:val="0"/>
              <w:kinsoku/>
              <w:wordWrap/>
              <w:overflowPunct/>
              <w:topLinePunct w:val="0"/>
              <w:bidi w:val="0"/>
              <w:adjustRightInd/>
              <w:snapToGrid/>
              <w:spacing w:beforeAutospacing="0" w:afterAutospacing="0" w:line="360" w:lineRule="auto"/>
              <w:ind w:left="0" w:firstLine="480" w:firstLineChars="200"/>
              <w:rPr>
                <w:rFonts w:hint="default" w:ascii="Times New Roman" w:hAnsi="Times New Roman"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1）</w:t>
            </w:r>
            <w:r>
              <w:rPr>
                <w:rFonts w:hint="eastAsia" w:ascii="Times New Roman" w:hAnsi="Times New Roman" w:cs="Times New Roman"/>
                <w:color w:val="auto"/>
                <w:kern w:val="0"/>
                <w:sz w:val="24"/>
                <w:szCs w:val="24"/>
                <w:highlight w:val="none"/>
                <w:lang w:val="en-US" w:eastAsia="zh-CN" w:bidi="ar"/>
              </w:rPr>
              <w:t>危险废物贮存间</w:t>
            </w:r>
            <w:r>
              <w:rPr>
                <w:rFonts w:hint="default" w:ascii="Times New Roman" w:hAnsi="Times New Roman" w:cs="Times New Roman"/>
                <w:color w:val="auto"/>
                <w:kern w:val="0"/>
                <w:sz w:val="24"/>
                <w:szCs w:val="24"/>
                <w:highlight w:val="none"/>
                <w:lang w:val="en-US" w:eastAsia="zh-CN" w:bidi="ar"/>
              </w:rPr>
              <w:t>内液态危险废物</w:t>
            </w:r>
            <w:r>
              <w:rPr>
                <w:rFonts w:hint="eastAsia" w:cs="Times New Roman"/>
                <w:color w:val="auto"/>
                <w:kern w:val="0"/>
                <w:sz w:val="24"/>
                <w:szCs w:val="24"/>
                <w:highlight w:val="none"/>
                <w:lang w:val="en-US" w:eastAsia="zh-CN" w:bidi="ar"/>
              </w:rPr>
              <w:t>、储存间酸性、碱性清洗剂</w:t>
            </w:r>
            <w:r>
              <w:rPr>
                <w:rFonts w:hint="default" w:ascii="Times New Roman" w:hAnsi="Times New Roman" w:cs="Times New Roman"/>
                <w:color w:val="auto"/>
                <w:kern w:val="0"/>
                <w:sz w:val="24"/>
                <w:szCs w:val="24"/>
                <w:highlight w:val="none"/>
                <w:lang w:val="en-US" w:eastAsia="zh-CN" w:bidi="ar"/>
              </w:rPr>
              <w:t>发生</w:t>
            </w:r>
            <w:r>
              <w:rPr>
                <w:rFonts w:hint="eastAsia" w:cs="Times New Roman"/>
                <w:color w:val="auto"/>
                <w:kern w:val="0"/>
                <w:sz w:val="24"/>
                <w:szCs w:val="24"/>
                <w:highlight w:val="none"/>
                <w:lang w:val="en-US" w:eastAsia="zh-CN" w:bidi="ar"/>
              </w:rPr>
              <w:t>泄漏</w:t>
            </w:r>
            <w:r>
              <w:rPr>
                <w:rFonts w:hint="default" w:ascii="Times New Roman" w:hAnsi="Times New Roman" w:cs="Times New Roman"/>
                <w:color w:val="auto"/>
                <w:kern w:val="0"/>
                <w:sz w:val="24"/>
                <w:szCs w:val="24"/>
                <w:highlight w:val="none"/>
                <w:lang w:val="en-US" w:eastAsia="zh-CN" w:bidi="ar"/>
              </w:rPr>
              <w:t>，进入土壤及地下水中，对土壤及地下水造成污染；</w:t>
            </w:r>
          </w:p>
          <w:p w14:paraId="1B042B69">
            <w:pPr>
              <w:keepNext w:val="0"/>
              <w:keepLines w:val="0"/>
              <w:pageBreakBefore w:val="0"/>
              <w:kinsoku/>
              <w:wordWrap/>
              <w:overflowPunct/>
              <w:topLinePunct w:val="0"/>
              <w:bidi w:val="0"/>
              <w:adjustRightInd/>
              <w:snapToGrid/>
              <w:spacing w:beforeAutospacing="0" w:afterAutospacing="0" w:line="360" w:lineRule="auto"/>
              <w:ind w:lef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szCs w:val="24"/>
                <w:highlight w:val="none"/>
                <w:lang w:val="en-US" w:eastAsia="zh-CN" w:bidi="ar"/>
              </w:rPr>
              <w:t>2）</w:t>
            </w:r>
            <w:r>
              <w:rPr>
                <w:rFonts w:hint="eastAsia" w:ascii="Times New Roman" w:hAnsi="Times New Roman" w:cs="Times New Roman"/>
                <w:color w:val="auto"/>
                <w:kern w:val="0"/>
                <w:sz w:val="24"/>
                <w:szCs w:val="24"/>
                <w:highlight w:val="none"/>
                <w:lang w:val="en-US" w:eastAsia="zh-CN" w:bidi="ar"/>
              </w:rPr>
              <w:t>污水处理站池体、管道</w:t>
            </w:r>
            <w:r>
              <w:rPr>
                <w:rFonts w:hint="default" w:ascii="Times New Roman" w:hAnsi="Times New Roman" w:cs="Times New Roman"/>
                <w:color w:val="auto"/>
                <w:kern w:val="0"/>
                <w:sz w:val="24"/>
                <w:szCs w:val="24"/>
                <w:highlight w:val="none"/>
                <w:lang w:val="en-US" w:eastAsia="zh-CN" w:bidi="ar"/>
              </w:rPr>
              <w:t>等出现破损或防渗层出现破裂情况时，污废水会发生渗漏，存在对土壤及地下水污染的可能性</w:t>
            </w:r>
            <w:r>
              <w:rPr>
                <w:rFonts w:hint="default" w:ascii="Times New Roman" w:hAnsi="Times New Roman" w:cs="Times New Roman"/>
                <w:color w:val="auto"/>
                <w:sz w:val="24"/>
                <w:highlight w:val="none"/>
              </w:rPr>
              <w:t>。</w:t>
            </w:r>
          </w:p>
          <w:p w14:paraId="6543447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left"/>
              <w:textAlignment w:val="auto"/>
              <w:rPr>
                <w:rFonts w:hint="default"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（2）地下水、土壤污染分区防控措施</w:t>
            </w:r>
          </w:p>
          <w:p w14:paraId="78A48A8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1）防渗分区</w:t>
            </w:r>
          </w:p>
          <w:p w14:paraId="2747F68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针对可能污染土壤和地下水的渗漏、泄漏风险点</w:t>
            </w:r>
            <w:r>
              <w:rPr>
                <w:rFonts w:hint="default" w:ascii="Times New Roman" w:hAnsi="Times New Roman" w:cs="Times New Roman"/>
                <w:color w:val="auto"/>
                <w:kern w:val="0"/>
                <w:sz w:val="24"/>
                <w:szCs w:val="24"/>
                <w:highlight w:val="none"/>
                <w:lang w:val="en-US" w:eastAsia="zh-CN" w:bidi="ar"/>
              </w:rPr>
              <w:t>及污染物类型</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提出以下地下水、土壤污染防控措施</w:t>
            </w:r>
            <w:r>
              <w:rPr>
                <w:rFonts w:hint="default" w:ascii="Times New Roman" w:hAnsi="Times New Roman" w:eastAsia="宋体" w:cs="Times New Roman"/>
                <w:color w:val="auto"/>
                <w:kern w:val="0"/>
                <w:sz w:val="24"/>
                <w:szCs w:val="24"/>
                <w:highlight w:val="none"/>
                <w:lang w:val="en-US" w:eastAsia="zh-CN" w:bidi="ar"/>
              </w:rPr>
              <w:t>：</w:t>
            </w:r>
          </w:p>
          <w:p w14:paraId="0E10F8C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①危险废物设置于危废贮存间内，按《危险废物贮存污染控制标准》（GB18597-2023）中的相关要求</w:t>
            </w:r>
            <w:r>
              <w:rPr>
                <w:rFonts w:hint="eastAsia" w:ascii="Times New Roman" w:hAnsi="Times New Roman" w:cs="Times New Roman"/>
                <w:color w:val="auto"/>
                <w:kern w:val="0"/>
                <w:sz w:val="24"/>
                <w:szCs w:val="24"/>
                <w:highlight w:val="none"/>
                <w:lang w:val="en-US" w:eastAsia="zh-CN" w:bidi="ar"/>
              </w:rPr>
              <w:t>进行管理</w:t>
            </w:r>
            <w:r>
              <w:rPr>
                <w:rFonts w:hint="default" w:ascii="Times New Roman" w:hAnsi="Times New Roman" w:cs="Times New Roman"/>
                <w:color w:val="auto"/>
                <w:kern w:val="0"/>
                <w:sz w:val="24"/>
                <w:szCs w:val="24"/>
                <w:highlight w:val="none"/>
                <w:lang w:val="en-US" w:eastAsia="zh-CN" w:bidi="ar"/>
              </w:rPr>
              <w:t>，对危险废物贮存间地面及墙面裙脚进行重点防渗；</w:t>
            </w:r>
          </w:p>
          <w:p w14:paraId="014B8DA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②对</w:t>
            </w:r>
            <w:r>
              <w:rPr>
                <w:rFonts w:hint="eastAsia" w:cs="Times New Roman"/>
                <w:color w:val="auto"/>
                <w:kern w:val="0"/>
                <w:sz w:val="24"/>
                <w:szCs w:val="24"/>
                <w:highlight w:val="none"/>
                <w:lang w:val="en-US" w:eastAsia="zh-CN" w:bidi="ar"/>
              </w:rPr>
              <w:t>酸液间、碱液间、</w:t>
            </w:r>
            <w:r>
              <w:rPr>
                <w:rFonts w:hint="default" w:ascii="Times New Roman" w:hAnsi="Times New Roman" w:cs="Times New Roman"/>
                <w:color w:val="auto"/>
                <w:kern w:val="0"/>
                <w:sz w:val="24"/>
                <w:szCs w:val="24"/>
                <w:highlight w:val="none"/>
                <w:lang w:val="en-US" w:eastAsia="zh-CN" w:bidi="ar"/>
              </w:rPr>
              <w:t>污水处理</w:t>
            </w:r>
            <w:r>
              <w:rPr>
                <w:rFonts w:hint="eastAsia" w:ascii="Times New Roman" w:hAnsi="Times New Roman" w:cs="Times New Roman"/>
                <w:color w:val="auto"/>
                <w:kern w:val="0"/>
                <w:sz w:val="24"/>
                <w:szCs w:val="24"/>
                <w:highlight w:val="none"/>
                <w:lang w:val="en-US" w:eastAsia="zh-CN" w:bidi="ar"/>
              </w:rPr>
              <w:t>设施</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b w:val="0"/>
                <w:bCs w:val="0"/>
                <w:color w:val="auto"/>
                <w:sz w:val="24"/>
                <w:szCs w:val="24"/>
                <w:highlight w:val="none"/>
                <w:lang w:val="en-US" w:eastAsia="zh-CN"/>
              </w:rPr>
              <w:t>废水收集管线区域</w:t>
            </w:r>
            <w:r>
              <w:rPr>
                <w:rFonts w:hint="default" w:ascii="Times New Roman" w:hAnsi="Times New Roman" w:eastAsia="宋体" w:cs="Times New Roman"/>
                <w:color w:val="auto"/>
                <w:kern w:val="0"/>
                <w:sz w:val="24"/>
                <w:szCs w:val="24"/>
                <w:highlight w:val="none"/>
                <w:lang w:val="en-US" w:eastAsia="zh-CN" w:bidi="ar"/>
              </w:rPr>
              <w:t>进行一般防渗；</w:t>
            </w:r>
          </w:p>
          <w:p w14:paraId="20CE133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③</w:t>
            </w:r>
            <w:r>
              <w:rPr>
                <w:rFonts w:hint="default" w:ascii="Times New Roman" w:hAnsi="Times New Roman" w:eastAsia="宋体" w:cs="Times New Roman"/>
                <w:color w:val="auto"/>
                <w:kern w:val="0"/>
                <w:sz w:val="24"/>
                <w:szCs w:val="24"/>
                <w:highlight w:val="none"/>
                <w:lang w:val="en-US" w:eastAsia="zh-CN" w:bidi="ar"/>
              </w:rPr>
              <w:t>对其他域进行简单防渗。</w:t>
            </w:r>
          </w:p>
          <w:p w14:paraId="3129398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宋体" w:hAnsi="宋体" w:eastAsia="宋体" w:cs="宋体"/>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）分区防控</w:t>
            </w:r>
            <w:r>
              <w:rPr>
                <w:rFonts w:hint="eastAsia" w:ascii="宋体" w:hAnsi="宋体" w:cs="宋体"/>
                <w:color w:val="auto"/>
                <w:kern w:val="0"/>
                <w:sz w:val="24"/>
                <w:szCs w:val="24"/>
                <w:highlight w:val="none"/>
                <w:lang w:val="en-US" w:eastAsia="zh-CN" w:bidi="ar"/>
              </w:rPr>
              <w:t>要求</w:t>
            </w:r>
          </w:p>
          <w:p w14:paraId="217B366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分区防渗要求见下表。</w:t>
            </w:r>
          </w:p>
          <w:p w14:paraId="1B6762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表4-</w:t>
            </w:r>
            <w:r>
              <w:rPr>
                <w:rFonts w:hint="eastAsia" w:cs="Times New Roman"/>
                <w:b/>
                <w:color w:val="auto"/>
                <w:sz w:val="21"/>
                <w:szCs w:val="21"/>
                <w:highlight w:val="none"/>
                <w:lang w:val="en-US" w:eastAsia="zh-CN"/>
              </w:rPr>
              <w:t>21</w:t>
            </w:r>
            <w:r>
              <w:rPr>
                <w:rFonts w:hint="eastAsia" w:ascii="Times New Roman" w:hAnsi="Times New Roman" w:eastAsia="宋体" w:cs="Times New Roman"/>
                <w:b/>
                <w:color w:val="auto"/>
                <w:sz w:val="21"/>
                <w:szCs w:val="21"/>
                <w:highlight w:val="none"/>
                <w:lang w:val="en-US" w:eastAsia="zh-CN"/>
              </w:rPr>
              <w:t xml:space="preserve">  分区防渗要求一览表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2251"/>
              <w:gridCol w:w="4569"/>
            </w:tblGrid>
            <w:tr w14:paraId="4752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pct"/>
                  <w:noWrap w:val="0"/>
                  <w:vAlign w:val="center"/>
                </w:tcPr>
                <w:p w14:paraId="20B3239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防渗分区</w:t>
                  </w:r>
                </w:p>
              </w:tc>
              <w:tc>
                <w:tcPr>
                  <w:tcW w:w="1359" w:type="pct"/>
                  <w:noWrap w:val="0"/>
                  <w:vAlign w:val="center"/>
                </w:tcPr>
                <w:p w14:paraId="0DC690F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防渗区域</w:t>
                  </w:r>
                </w:p>
              </w:tc>
              <w:tc>
                <w:tcPr>
                  <w:tcW w:w="2759" w:type="pct"/>
                  <w:noWrap w:val="0"/>
                  <w:vAlign w:val="center"/>
                </w:tcPr>
                <w:p w14:paraId="4CD5BE0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防渗措施</w:t>
                  </w:r>
                </w:p>
              </w:tc>
            </w:tr>
            <w:tr w14:paraId="6284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pct"/>
                  <w:noWrap w:val="0"/>
                  <w:vAlign w:val="center"/>
                </w:tcPr>
                <w:p w14:paraId="46A46C2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重点防渗区</w:t>
                  </w:r>
                </w:p>
              </w:tc>
              <w:tc>
                <w:tcPr>
                  <w:tcW w:w="1359" w:type="pct"/>
                  <w:noWrap w:val="0"/>
                  <w:vAlign w:val="center"/>
                </w:tcPr>
                <w:p w14:paraId="265955E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危废贮存间</w:t>
                  </w:r>
                </w:p>
              </w:tc>
              <w:tc>
                <w:tcPr>
                  <w:tcW w:w="2759" w:type="pct"/>
                  <w:noWrap w:val="0"/>
                  <w:vAlign w:val="center"/>
                </w:tcPr>
                <w:p w14:paraId="7CB43CA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地面及裙</w:t>
                  </w:r>
                  <w:r>
                    <w:rPr>
                      <w:rFonts w:hint="eastAsia" w:cs="Times New Roman"/>
                      <w:b w:val="0"/>
                      <w:bCs w:val="0"/>
                      <w:color w:val="auto"/>
                      <w:highlight w:val="none"/>
                      <w:lang w:val="en-US" w:eastAsia="zh-CN"/>
                    </w:rPr>
                    <w:t>脚</w:t>
                  </w:r>
                  <w:r>
                    <w:rPr>
                      <w:rFonts w:hint="eastAsia" w:ascii="Times New Roman" w:hAnsi="Times New Roman" w:eastAsia="宋体" w:cs="Times New Roman"/>
                      <w:b w:val="0"/>
                      <w:bCs w:val="0"/>
                      <w:color w:val="auto"/>
                      <w:highlight w:val="none"/>
                      <w:lang w:val="en-US" w:eastAsia="zh-CN"/>
                    </w:rPr>
                    <w:t>采用</w:t>
                  </w:r>
                  <w:r>
                    <w:rPr>
                      <w:rFonts w:hint="default" w:ascii="Times New Roman" w:hAnsi="Times New Roman" w:eastAsia="宋体" w:cs="Times New Roman"/>
                      <w:b w:val="0"/>
                      <w:bCs w:val="0"/>
                      <w:color w:val="auto"/>
                      <w:highlight w:val="none"/>
                      <w:lang w:val="en-US" w:eastAsia="zh-CN"/>
                    </w:rPr>
                    <w:t>2mm</w:t>
                  </w:r>
                  <w:r>
                    <w:rPr>
                      <w:rFonts w:hint="eastAsia" w:ascii="Times New Roman" w:hAnsi="Times New Roman" w:eastAsia="宋体" w:cs="Times New Roman"/>
                      <w:b w:val="0"/>
                      <w:bCs w:val="0"/>
                      <w:color w:val="auto"/>
                      <w:highlight w:val="none"/>
                      <w:lang w:val="en-US" w:eastAsia="zh-CN"/>
                    </w:rPr>
                    <w:t>厚高密度聚乙烯膜（渗透系数≤</w:t>
                  </w:r>
                  <w:r>
                    <w:rPr>
                      <w:rFonts w:hint="default" w:ascii="Times New Roman" w:hAnsi="Times New Roman" w:eastAsia="宋体" w:cs="Times New Roman"/>
                      <w:b w:val="0"/>
                      <w:bCs w:val="0"/>
                      <w:color w:val="auto"/>
                      <w:highlight w:val="none"/>
                      <w:lang w:val="en-US" w:eastAsia="zh-CN"/>
                    </w:rPr>
                    <w:t>10</w:t>
                  </w:r>
                  <w:r>
                    <w:rPr>
                      <w:rFonts w:hint="default" w:ascii="Times New Roman" w:hAnsi="Times New Roman" w:eastAsia="宋体" w:cs="Times New Roman"/>
                      <w:b w:val="0"/>
                      <w:bCs w:val="0"/>
                      <w:color w:val="auto"/>
                      <w:highlight w:val="none"/>
                      <w:vertAlign w:val="superscript"/>
                      <w:lang w:val="en-US" w:eastAsia="zh-CN"/>
                    </w:rPr>
                    <w:t>-10</w:t>
                  </w:r>
                  <w:r>
                    <w:rPr>
                      <w:rFonts w:hint="default" w:ascii="Times New Roman" w:hAnsi="Times New Roman" w:eastAsia="宋体" w:cs="Times New Roman"/>
                      <w:b w:val="0"/>
                      <w:bCs w:val="0"/>
                      <w:color w:val="auto"/>
                      <w:highlight w:val="none"/>
                      <w:lang w:val="en-US" w:eastAsia="zh-CN"/>
                    </w:rPr>
                    <w:t>cm/s</w:t>
                  </w:r>
                  <w:r>
                    <w:rPr>
                      <w:rFonts w:hint="eastAsia" w:ascii="Times New Roman" w:hAnsi="Times New Roman" w:eastAsia="宋体" w:cs="Times New Roman"/>
                      <w:b w:val="0"/>
                      <w:bCs w:val="0"/>
                      <w:color w:val="auto"/>
                      <w:highlight w:val="none"/>
                      <w:lang w:val="en-US" w:eastAsia="zh-CN"/>
                    </w:rPr>
                    <w:t>）进行基础防渗，基础防渗层底部敷设混凝土硬化层，表面敷设环氧树脂。</w:t>
                  </w:r>
                </w:p>
              </w:tc>
            </w:tr>
            <w:tr w14:paraId="104F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pct"/>
                  <w:noWrap w:val="0"/>
                  <w:vAlign w:val="center"/>
                </w:tcPr>
                <w:p w14:paraId="5452FC4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一般防渗区</w:t>
                  </w:r>
                </w:p>
              </w:tc>
              <w:tc>
                <w:tcPr>
                  <w:tcW w:w="1359" w:type="pct"/>
                  <w:noWrap w:val="0"/>
                  <w:vAlign w:val="center"/>
                </w:tcPr>
                <w:p w14:paraId="0426F7C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酸液间、碱液间、</w:t>
                  </w:r>
                  <w:r>
                    <w:rPr>
                      <w:rFonts w:hint="eastAsia" w:ascii="Times New Roman" w:hAnsi="Times New Roman" w:eastAsia="宋体" w:cs="Times New Roman"/>
                      <w:b w:val="0"/>
                      <w:bCs w:val="0"/>
                      <w:color w:val="auto"/>
                      <w:highlight w:val="none"/>
                      <w:lang w:val="en-US" w:eastAsia="zh-CN"/>
                    </w:rPr>
                    <w:t>污水处理站、废水收集管线区域</w:t>
                  </w:r>
                </w:p>
              </w:tc>
              <w:tc>
                <w:tcPr>
                  <w:tcW w:w="2759" w:type="pct"/>
                  <w:noWrap w:val="0"/>
                  <w:vAlign w:val="center"/>
                </w:tcPr>
                <w:p w14:paraId="42FEF51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选用低渗透性的</w:t>
                  </w:r>
                  <w:r>
                    <w:rPr>
                      <w:rFonts w:hint="eastAsia" w:cs="Times New Roman"/>
                      <w:b w:val="0"/>
                      <w:bCs w:val="0"/>
                      <w:color w:val="auto"/>
                      <w:highlight w:val="none"/>
                      <w:lang w:val="en-US" w:eastAsia="zh-CN"/>
                    </w:rPr>
                    <w:t>黏土</w:t>
                  </w:r>
                  <w:r>
                    <w:rPr>
                      <w:rFonts w:hint="eastAsia" w:ascii="Times New Roman" w:hAnsi="Times New Roman" w:eastAsia="宋体" w:cs="Times New Roman"/>
                      <w:b w:val="0"/>
                      <w:bCs w:val="0"/>
                      <w:color w:val="auto"/>
                      <w:highlight w:val="none"/>
                      <w:lang w:val="en-US" w:eastAsia="zh-CN"/>
                    </w:rPr>
                    <w:t>对清基基坑进行分层夯填，等效黏土防渗层夯填层厚度不低于1.5m，在此基础上进行水泥硬化，确保该区域渗透系数小于1</w:t>
                  </w:r>
                  <w:r>
                    <w:rPr>
                      <w:rFonts w:hint="default" w:ascii="Times New Roman" w:hAnsi="Times New Roman" w:eastAsia="宋体" w:cs="Times New Roman"/>
                      <w:b w:val="0"/>
                      <w:bCs w:val="0"/>
                      <w:color w:val="auto"/>
                      <w:highlight w:val="none"/>
                      <w:lang w:val="en-US" w:eastAsia="zh-CN"/>
                    </w:rPr>
                    <w:t>×</w:t>
                  </w:r>
                  <w:r>
                    <w:rPr>
                      <w:rFonts w:hint="eastAsia" w:ascii="Times New Roman" w:hAnsi="Times New Roman" w:eastAsia="宋体" w:cs="Times New Roman"/>
                      <w:b w:val="0"/>
                      <w:bCs w:val="0"/>
                      <w:color w:val="auto"/>
                      <w:highlight w:val="none"/>
                      <w:lang w:val="en-US" w:eastAsia="zh-CN"/>
                    </w:rPr>
                    <w:t>10</w:t>
                  </w:r>
                  <w:r>
                    <w:rPr>
                      <w:rFonts w:hint="eastAsia" w:ascii="Times New Roman" w:hAnsi="Times New Roman" w:eastAsia="宋体" w:cs="Times New Roman"/>
                      <w:b w:val="0"/>
                      <w:bCs w:val="0"/>
                      <w:color w:val="auto"/>
                      <w:highlight w:val="none"/>
                      <w:vertAlign w:val="superscript"/>
                      <w:lang w:val="en-US" w:eastAsia="zh-CN"/>
                    </w:rPr>
                    <w:t>-7</w:t>
                  </w:r>
                  <w:r>
                    <w:rPr>
                      <w:rFonts w:hint="eastAsia" w:ascii="Times New Roman" w:hAnsi="Times New Roman" w:eastAsia="宋体" w:cs="Times New Roman"/>
                      <w:b w:val="0"/>
                      <w:bCs w:val="0"/>
                      <w:color w:val="auto"/>
                      <w:highlight w:val="none"/>
                      <w:lang w:val="en-US" w:eastAsia="zh-CN"/>
                    </w:rPr>
                    <w:t>cm/s。</w:t>
                  </w:r>
                </w:p>
              </w:tc>
            </w:tr>
            <w:tr w14:paraId="403F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0" w:type="pct"/>
                  <w:noWrap w:val="0"/>
                  <w:vAlign w:val="center"/>
                </w:tcPr>
                <w:p w14:paraId="7B56FDF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简单防渗区</w:t>
                  </w:r>
                </w:p>
              </w:tc>
              <w:tc>
                <w:tcPr>
                  <w:tcW w:w="1359" w:type="pct"/>
                  <w:noWrap w:val="0"/>
                  <w:vAlign w:val="center"/>
                </w:tcPr>
                <w:p w14:paraId="6B283B3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其他区域</w:t>
                  </w:r>
                </w:p>
              </w:tc>
              <w:tc>
                <w:tcPr>
                  <w:tcW w:w="2759" w:type="pct"/>
                  <w:noWrap w:val="0"/>
                  <w:vAlign w:val="center"/>
                </w:tcPr>
                <w:p w14:paraId="2936399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地面混凝土硬化</w:t>
                  </w:r>
                </w:p>
              </w:tc>
            </w:tr>
          </w:tbl>
          <w:p w14:paraId="381FEA54">
            <w:pPr>
              <w:adjustRightInd w:val="0"/>
              <w:snapToGrid w:val="0"/>
              <w:spacing w:line="360" w:lineRule="auto"/>
              <w:ind w:firstLine="482"/>
              <w:rPr>
                <w:b/>
                <w:color w:val="auto"/>
                <w:sz w:val="24"/>
              </w:rPr>
            </w:pPr>
            <w:r>
              <w:rPr>
                <w:rFonts w:hint="eastAsia"/>
                <w:b/>
                <w:color w:val="auto"/>
                <w:sz w:val="24"/>
                <w:lang w:val="en-US" w:eastAsia="zh-CN"/>
              </w:rPr>
              <w:t>七</w:t>
            </w:r>
            <w:r>
              <w:rPr>
                <w:b/>
                <w:color w:val="auto"/>
                <w:sz w:val="24"/>
              </w:rPr>
              <w:t>、环境风险分析</w:t>
            </w:r>
          </w:p>
          <w:p w14:paraId="044184B7">
            <w:pPr>
              <w:spacing w:line="360" w:lineRule="auto"/>
              <w:ind w:firstLine="482" w:firstLineChars="200"/>
              <w:rPr>
                <w:rFonts w:hint="eastAsia" w:cs="Times New Roman"/>
                <w:b/>
                <w:bCs/>
                <w:color w:val="auto"/>
                <w:sz w:val="24"/>
                <w:lang w:val="en-US" w:eastAsia="zh-CN"/>
              </w:rPr>
            </w:pPr>
            <w:r>
              <w:rPr>
                <w:rFonts w:hint="eastAsia" w:cs="Times New Roman"/>
                <w:b/>
                <w:bCs/>
                <w:color w:val="auto"/>
                <w:sz w:val="24"/>
                <w:lang w:val="en-US" w:eastAsia="zh-CN"/>
              </w:rPr>
              <w:t xml:space="preserve">（1）评价依据 </w:t>
            </w:r>
          </w:p>
          <w:p w14:paraId="572B56D1">
            <w:pPr>
              <w:spacing w:line="360" w:lineRule="auto"/>
              <w:ind w:firstLine="480" w:firstLineChars="200"/>
              <w:rPr>
                <w:color w:val="auto"/>
                <w:sz w:val="24"/>
              </w:rPr>
            </w:pPr>
            <w:r>
              <w:rPr>
                <w:color w:val="auto"/>
                <w:sz w:val="24"/>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4DA70329">
            <w:pPr>
              <w:spacing w:line="360" w:lineRule="auto"/>
              <w:ind w:firstLine="482" w:firstLineChars="200"/>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w:t>
            </w:r>
            <w:r>
              <w:rPr>
                <w:rFonts w:hint="eastAsia" w:cs="Times New Roman"/>
                <w:b/>
                <w:bCs/>
                <w:color w:val="auto"/>
                <w:sz w:val="24"/>
                <w:lang w:val="en-US" w:eastAsia="zh-CN"/>
              </w:rPr>
              <w:t>2</w:t>
            </w:r>
            <w:r>
              <w:rPr>
                <w:rFonts w:hint="eastAsia" w:ascii="Times New Roman" w:hAnsi="Times New Roman" w:cs="Times New Roman"/>
                <w:b/>
                <w:bCs/>
                <w:color w:val="auto"/>
                <w:sz w:val="24"/>
                <w:lang w:val="en-US" w:eastAsia="zh-CN"/>
              </w:rPr>
              <w:t>）风险源调查</w:t>
            </w:r>
          </w:p>
          <w:p w14:paraId="201CA43B">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lang w:val="en-US" w:eastAsia="zh-CN"/>
              </w:rPr>
              <w:t>按照</w:t>
            </w:r>
            <w:r>
              <w:rPr>
                <w:rFonts w:hint="eastAsia" w:ascii="Times New Roman" w:hAnsi="Times New Roman" w:eastAsia="宋体" w:cs="Times New Roman"/>
                <w:color w:val="auto"/>
                <w:sz w:val="24"/>
                <w:highlight w:val="none"/>
                <w:lang w:val="en-US" w:eastAsia="zh-CN"/>
              </w:rPr>
              <w:t>《</w:t>
            </w:r>
            <w:r>
              <w:rPr>
                <w:color w:val="auto"/>
                <w:sz w:val="24"/>
              </w:rPr>
              <w:t>建设项目环境风险评价技术导则》（HJ169-2018）的要求，对项目可能涉及的风险物质区域，主要从下表中所列各个方面进行环境风险源基本情况调查。</w:t>
            </w:r>
          </w:p>
          <w:p w14:paraId="11460F83">
            <w:pPr>
              <w:keepNext w:val="0"/>
              <w:keepLines w:val="0"/>
              <w:pageBreakBefore w:val="0"/>
              <w:kinsoku/>
              <w:wordWrap/>
              <w:overflowPunct/>
              <w:topLinePunct w:val="0"/>
              <w:bidi w:val="0"/>
              <w:adjustRightInd w:val="0"/>
              <w:snapToGrid w:val="0"/>
              <w:spacing w:line="240" w:lineRule="auto"/>
              <w:ind w:left="0" w:leftChars="0" w:right="0" w:firstLine="422" w:firstLineChars="20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4-</w:t>
            </w:r>
            <w:r>
              <w:rPr>
                <w:rFonts w:hint="eastAsia" w:cs="Times New Roman"/>
                <w:b/>
                <w:color w:val="auto"/>
                <w:sz w:val="21"/>
                <w:szCs w:val="21"/>
                <w:highlight w:val="none"/>
                <w:lang w:val="en-US" w:eastAsia="zh-CN"/>
              </w:rPr>
              <w:t>22</w:t>
            </w:r>
            <w:r>
              <w:rPr>
                <w:rFonts w:hint="default"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rPr>
              <w:t>环境风险源基本调查一览表</w:t>
            </w:r>
          </w:p>
          <w:tbl>
            <w:tblPr>
              <w:tblStyle w:val="22"/>
              <w:tblW w:w="79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5"/>
              <w:gridCol w:w="681"/>
              <w:gridCol w:w="1507"/>
              <w:gridCol w:w="2642"/>
              <w:gridCol w:w="2442"/>
            </w:tblGrid>
            <w:tr w14:paraId="7C17E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5" w:type="dxa"/>
                  <w:tcBorders>
                    <w:right w:val="single" w:color="auto" w:sz="4" w:space="0"/>
                  </w:tcBorders>
                  <w:noWrap w:val="0"/>
                  <w:vAlign w:val="center"/>
                </w:tcPr>
                <w:p w14:paraId="16289D3C">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序号</w:t>
                  </w:r>
                </w:p>
              </w:tc>
              <w:tc>
                <w:tcPr>
                  <w:tcW w:w="2188" w:type="dxa"/>
                  <w:gridSpan w:val="2"/>
                  <w:tcBorders>
                    <w:left w:val="single" w:color="auto" w:sz="4" w:space="0"/>
                    <w:right w:val="single" w:color="auto" w:sz="4" w:space="0"/>
                  </w:tcBorders>
                  <w:noWrap w:val="0"/>
                  <w:vAlign w:val="center"/>
                </w:tcPr>
                <w:p w14:paraId="006685CE">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调查对象</w:t>
                  </w:r>
                </w:p>
              </w:tc>
              <w:tc>
                <w:tcPr>
                  <w:tcW w:w="2642" w:type="dxa"/>
                  <w:tcBorders>
                    <w:left w:val="single" w:color="auto" w:sz="4" w:space="0"/>
                  </w:tcBorders>
                  <w:noWrap w:val="0"/>
                  <w:vAlign w:val="center"/>
                </w:tcPr>
                <w:p w14:paraId="6CD24A96">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调查内容</w:t>
                  </w:r>
                </w:p>
              </w:tc>
              <w:tc>
                <w:tcPr>
                  <w:tcW w:w="2442" w:type="dxa"/>
                  <w:noWrap w:val="0"/>
                  <w:vAlign w:val="center"/>
                </w:tcPr>
                <w:p w14:paraId="7916BCD4">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调查结果</w:t>
                  </w:r>
                </w:p>
              </w:tc>
            </w:tr>
            <w:tr w14:paraId="09438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5" w:type="dxa"/>
                  <w:vMerge w:val="restart"/>
                  <w:tcBorders>
                    <w:right w:val="single" w:color="auto" w:sz="4" w:space="0"/>
                  </w:tcBorders>
                  <w:noWrap w:val="0"/>
                  <w:vAlign w:val="center"/>
                </w:tcPr>
                <w:p w14:paraId="111C10E9">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681" w:type="dxa"/>
                  <w:vMerge w:val="restart"/>
                  <w:tcBorders>
                    <w:left w:val="single" w:color="auto" w:sz="4" w:space="0"/>
                  </w:tcBorders>
                  <w:noWrap w:val="0"/>
                  <w:vAlign w:val="center"/>
                </w:tcPr>
                <w:p w14:paraId="2A6F4BBE">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风险物质</w:t>
                  </w:r>
                </w:p>
              </w:tc>
              <w:tc>
                <w:tcPr>
                  <w:tcW w:w="1507" w:type="dxa"/>
                  <w:tcBorders>
                    <w:right w:val="single" w:color="auto" w:sz="4" w:space="0"/>
                  </w:tcBorders>
                  <w:noWrap w:val="0"/>
                  <w:vAlign w:val="center"/>
                </w:tcPr>
                <w:p w14:paraId="741FFFFE">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危险物质</w:t>
                  </w:r>
                </w:p>
              </w:tc>
              <w:tc>
                <w:tcPr>
                  <w:tcW w:w="2642" w:type="dxa"/>
                  <w:vMerge w:val="restart"/>
                  <w:tcBorders>
                    <w:left w:val="single" w:color="auto" w:sz="4" w:space="0"/>
                  </w:tcBorders>
                  <w:noWrap w:val="0"/>
                  <w:vAlign w:val="center"/>
                </w:tcPr>
                <w:p w14:paraId="444A9920">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主要针对生产过程中使用的各类风险物质名称及使用量、贮存量进行统计分析</w:t>
                  </w:r>
                </w:p>
              </w:tc>
              <w:tc>
                <w:tcPr>
                  <w:tcW w:w="2442" w:type="dxa"/>
                  <w:vMerge w:val="restart"/>
                  <w:noWrap w:val="0"/>
                  <w:vAlign w:val="center"/>
                </w:tcPr>
                <w:p w14:paraId="70729322">
                  <w:pPr>
                    <w:keepNext w:val="0"/>
                    <w:keepLines w:val="0"/>
                    <w:pageBreakBefore w:val="0"/>
                    <w:kinsoku/>
                    <w:wordWrap/>
                    <w:overflowPunct/>
                    <w:topLinePunct w:val="0"/>
                    <w:bidi w:val="0"/>
                    <w:snapToGrid w:val="0"/>
                    <w:ind w:left="0" w:leftChars="0" w:right="0"/>
                    <w:jc w:val="center"/>
                    <w:rPr>
                      <w:rFonts w:hint="default" w:ascii="Times New Roman" w:hAnsi="Times New Roman" w:eastAsia="宋体" w:cs="Times New Roman"/>
                      <w:color w:val="auto"/>
                      <w:kern w:val="0"/>
                      <w:sz w:val="21"/>
                      <w:szCs w:val="21"/>
                      <w:lang w:val="en-US" w:eastAsia="zh-CN"/>
                    </w:rPr>
                  </w:pPr>
                  <w:r>
                    <w:rPr>
                      <w:rFonts w:ascii="Times New Roman" w:hAnsi="Times New Roman"/>
                      <w:color w:val="auto"/>
                      <w:sz w:val="21"/>
                      <w:szCs w:val="21"/>
                      <w:highlight w:val="none"/>
                    </w:rPr>
                    <w:t>碱性剂（2%的NaOH）</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酸性剂清洗液（1%~2%的硝酸溶液</w:t>
                  </w:r>
                  <w:r>
                    <w:rPr>
                      <w:rFonts w:hint="eastAsia"/>
                      <w:color w:val="auto"/>
                      <w:sz w:val="21"/>
                      <w:szCs w:val="21"/>
                      <w:highlight w:val="none"/>
                      <w:lang w:eastAsia="zh-CN"/>
                    </w:rPr>
                    <w:t>）</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冷冻油</w:t>
                  </w:r>
                  <w:r>
                    <w:rPr>
                      <w:rFonts w:hint="eastAsia"/>
                      <w:color w:val="auto"/>
                      <w:sz w:val="21"/>
                      <w:szCs w:val="21"/>
                      <w:highlight w:val="none"/>
                      <w:lang w:val="en-US" w:eastAsia="zh-CN"/>
                    </w:rPr>
                    <w:t>（速冻车间最大在线量为0.5t）</w:t>
                  </w:r>
                </w:p>
              </w:tc>
            </w:tr>
            <w:tr w14:paraId="56B6B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665" w:type="dxa"/>
                  <w:vMerge w:val="continue"/>
                  <w:tcBorders>
                    <w:right w:val="single" w:color="auto" w:sz="4" w:space="0"/>
                  </w:tcBorders>
                  <w:noWrap w:val="0"/>
                  <w:vAlign w:val="center"/>
                </w:tcPr>
                <w:p w14:paraId="036E2FEF">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p>
              </w:tc>
              <w:tc>
                <w:tcPr>
                  <w:tcW w:w="681" w:type="dxa"/>
                  <w:vMerge w:val="continue"/>
                  <w:tcBorders>
                    <w:left w:val="single" w:color="auto" w:sz="4" w:space="0"/>
                  </w:tcBorders>
                  <w:noWrap w:val="0"/>
                  <w:vAlign w:val="center"/>
                </w:tcPr>
                <w:p w14:paraId="3661BAEA">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p>
              </w:tc>
              <w:tc>
                <w:tcPr>
                  <w:tcW w:w="1507" w:type="dxa"/>
                  <w:tcBorders>
                    <w:right w:val="single" w:color="auto" w:sz="4" w:space="0"/>
                  </w:tcBorders>
                  <w:noWrap w:val="0"/>
                  <w:vAlign w:val="center"/>
                </w:tcPr>
                <w:p w14:paraId="75094484">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其他危险物质</w:t>
                  </w:r>
                </w:p>
              </w:tc>
              <w:tc>
                <w:tcPr>
                  <w:tcW w:w="2642" w:type="dxa"/>
                  <w:vMerge w:val="continue"/>
                  <w:tcBorders>
                    <w:left w:val="single" w:color="auto" w:sz="4" w:space="0"/>
                  </w:tcBorders>
                  <w:noWrap w:val="0"/>
                  <w:vAlign w:val="center"/>
                </w:tcPr>
                <w:p w14:paraId="6A0973E9">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p>
              </w:tc>
              <w:tc>
                <w:tcPr>
                  <w:tcW w:w="2442" w:type="dxa"/>
                  <w:vMerge w:val="continue"/>
                  <w:noWrap w:val="0"/>
                  <w:vAlign w:val="center"/>
                </w:tcPr>
                <w:p w14:paraId="0B5197DE">
                  <w:pPr>
                    <w:keepNext w:val="0"/>
                    <w:keepLines w:val="0"/>
                    <w:pageBreakBefore w:val="0"/>
                    <w:kinsoku/>
                    <w:wordWrap/>
                    <w:overflowPunct/>
                    <w:topLinePunct w:val="0"/>
                    <w:bidi w:val="0"/>
                    <w:snapToGrid w:val="0"/>
                    <w:ind w:left="0" w:leftChars="0" w:right="0"/>
                    <w:jc w:val="center"/>
                    <w:rPr>
                      <w:rFonts w:hint="default" w:ascii="Times New Roman" w:hAnsi="Times New Roman" w:eastAsia="宋体" w:cs="Times New Roman"/>
                      <w:color w:val="auto"/>
                      <w:kern w:val="0"/>
                      <w:sz w:val="21"/>
                      <w:szCs w:val="21"/>
                    </w:rPr>
                  </w:pPr>
                </w:p>
              </w:tc>
            </w:tr>
            <w:tr w14:paraId="7E6D7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5" w:type="dxa"/>
                  <w:vMerge w:val="restart"/>
                  <w:tcBorders>
                    <w:right w:val="single" w:color="auto" w:sz="4" w:space="0"/>
                  </w:tcBorders>
                  <w:noWrap w:val="0"/>
                  <w:vAlign w:val="center"/>
                </w:tcPr>
                <w:p w14:paraId="4607836A">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c>
                <w:tcPr>
                  <w:tcW w:w="681" w:type="dxa"/>
                  <w:vMerge w:val="restart"/>
                  <w:tcBorders>
                    <w:left w:val="single" w:color="auto" w:sz="4" w:space="0"/>
                  </w:tcBorders>
                  <w:noWrap w:val="0"/>
                  <w:vAlign w:val="center"/>
                </w:tcPr>
                <w:p w14:paraId="277C0D92">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生产系统</w:t>
                  </w:r>
                </w:p>
              </w:tc>
              <w:tc>
                <w:tcPr>
                  <w:tcW w:w="1507" w:type="dxa"/>
                  <w:noWrap w:val="0"/>
                  <w:vAlign w:val="center"/>
                </w:tcPr>
                <w:p w14:paraId="6E10BE6C">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生产工艺</w:t>
                  </w:r>
                </w:p>
              </w:tc>
              <w:tc>
                <w:tcPr>
                  <w:tcW w:w="2642" w:type="dxa"/>
                  <w:vMerge w:val="restart"/>
                  <w:noWrap w:val="0"/>
                  <w:vAlign w:val="center"/>
                </w:tcPr>
                <w:p w14:paraId="0188C542">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重点对生产工艺流程的各阶段进行研究，分析哪些设备、设施可能成为环境风险源</w:t>
                  </w:r>
                </w:p>
              </w:tc>
              <w:tc>
                <w:tcPr>
                  <w:tcW w:w="2442" w:type="dxa"/>
                  <w:vMerge w:val="restart"/>
                  <w:noWrap w:val="0"/>
                  <w:vAlign w:val="center"/>
                </w:tcPr>
                <w:p w14:paraId="78023B31">
                  <w:pPr>
                    <w:keepNext w:val="0"/>
                    <w:keepLines w:val="0"/>
                    <w:pageBreakBefore w:val="0"/>
                    <w:kinsoku/>
                    <w:wordWrap/>
                    <w:overflowPunct/>
                    <w:topLinePunct w:val="0"/>
                    <w:bidi w:val="0"/>
                    <w:snapToGrid w:val="0"/>
                    <w:ind w:left="0" w:leftChars="0" w:right="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危废贮存间</w:t>
                  </w:r>
                </w:p>
              </w:tc>
            </w:tr>
            <w:tr w14:paraId="647AC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5" w:type="dxa"/>
                  <w:vMerge w:val="continue"/>
                  <w:tcBorders>
                    <w:right w:val="single" w:color="auto" w:sz="4" w:space="0"/>
                  </w:tcBorders>
                  <w:noWrap w:val="0"/>
                  <w:vAlign w:val="center"/>
                </w:tcPr>
                <w:p w14:paraId="21DCB9E7">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p>
              </w:tc>
              <w:tc>
                <w:tcPr>
                  <w:tcW w:w="681" w:type="dxa"/>
                  <w:vMerge w:val="continue"/>
                  <w:tcBorders>
                    <w:left w:val="single" w:color="auto" w:sz="4" w:space="0"/>
                  </w:tcBorders>
                  <w:noWrap w:val="0"/>
                  <w:vAlign w:val="center"/>
                </w:tcPr>
                <w:p w14:paraId="5E4CBBDB">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p>
              </w:tc>
              <w:tc>
                <w:tcPr>
                  <w:tcW w:w="1507" w:type="dxa"/>
                  <w:noWrap w:val="0"/>
                  <w:vAlign w:val="center"/>
                </w:tcPr>
                <w:p w14:paraId="259A2972">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生产设施</w:t>
                  </w:r>
                </w:p>
              </w:tc>
              <w:tc>
                <w:tcPr>
                  <w:tcW w:w="2642" w:type="dxa"/>
                  <w:vMerge w:val="continue"/>
                  <w:noWrap w:val="0"/>
                  <w:vAlign w:val="center"/>
                </w:tcPr>
                <w:p w14:paraId="772A1A0F">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p>
              </w:tc>
              <w:tc>
                <w:tcPr>
                  <w:tcW w:w="2442" w:type="dxa"/>
                  <w:vMerge w:val="continue"/>
                  <w:noWrap w:val="0"/>
                  <w:vAlign w:val="center"/>
                </w:tcPr>
                <w:p w14:paraId="080AAE53">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p>
              </w:tc>
            </w:tr>
            <w:tr w14:paraId="3195E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5" w:type="dxa"/>
                  <w:vMerge w:val="restart"/>
                  <w:tcBorders>
                    <w:right w:val="single" w:color="auto" w:sz="4" w:space="0"/>
                  </w:tcBorders>
                  <w:noWrap w:val="0"/>
                  <w:vAlign w:val="center"/>
                </w:tcPr>
                <w:p w14:paraId="06FF0135">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w:t>
                  </w:r>
                </w:p>
              </w:tc>
              <w:tc>
                <w:tcPr>
                  <w:tcW w:w="681" w:type="dxa"/>
                  <w:vMerge w:val="restart"/>
                  <w:tcBorders>
                    <w:left w:val="single" w:color="auto" w:sz="4" w:space="0"/>
                  </w:tcBorders>
                  <w:noWrap w:val="0"/>
                  <w:vAlign w:val="center"/>
                </w:tcPr>
                <w:p w14:paraId="03CCDB7A">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污染物及环保设施</w:t>
                  </w:r>
                </w:p>
              </w:tc>
              <w:tc>
                <w:tcPr>
                  <w:tcW w:w="1507" w:type="dxa"/>
                  <w:noWrap w:val="0"/>
                  <w:vAlign w:val="center"/>
                </w:tcPr>
                <w:p w14:paraId="180D831A">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废水</w:t>
                  </w:r>
                </w:p>
              </w:tc>
              <w:tc>
                <w:tcPr>
                  <w:tcW w:w="2642" w:type="dxa"/>
                  <w:vMerge w:val="restart"/>
                  <w:noWrap w:val="0"/>
                  <w:vAlign w:val="center"/>
                </w:tcPr>
                <w:p w14:paraId="5B5DD578">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对项目排放污染物的种类、产生量以及治理工艺进行分析</w:t>
                  </w:r>
                </w:p>
              </w:tc>
              <w:tc>
                <w:tcPr>
                  <w:tcW w:w="2442" w:type="dxa"/>
                  <w:noWrap w:val="0"/>
                  <w:vAlign w:val="center"/>
                </w:tcPr>
                <w:p w14:paraId="39AA27D0">
                  <w:pPr>
                    <w:keepNext w:val="0"/>
                    <w:keepLines w:val="0"/>
                    <w:pageBreakBefore w:val="0"/>
                    <w:kinsoku/>
                    <w:wordWrap/>
                    <w:overflowPunct/>
                    <w:topLinePunct w:val="0"/>
                    <w:bidi w:val="0"/>
                    <w:snapToGrid w:val="0"/>
                    <w:ind w:left="0" w:leftChars="0" w:right="0"/>
                    <w:jc w:val="center"/>
                    <w:rPr>
                      <w:rFonts w:hint="eastAsia" w:ascii="Times New Roman" w:hAnsi="Times New Roman" w:eastAsia="宋体" w:cs="Times New Roman"/>
                      <w:color w:val="auto"/>
                      <w:kern w:val="0"/>
                      <w:sz w:val="21"/>
                      <w:szCs w:val="21"/>
                      <w:lang w:val="en-US" w:eastAsia="zh-CN"/>
                    </w:rPr>
                  </w:pPr>
                  <w:r>
                    <w:rPr>
                      <w:rFonts w:hint="eastAsia"/>
                      <w:color w:val="auto"/>
                      <w:sz w:val="21"/>
                      <w:szCs w:val="21"/>
                      <w:highlight w:val="none"/>
                      <w:lang w:val="en-US" w:eastAsia="zh-CN"/>
                    </w:rPr>
                    <w:t>项目生产废水经一体化污水处理站、沉淀池处理达标后排入</w:t>
                  </w:r>
                  <w:r>
                    <w:rPr>
                      <w:color w:val="auto"/>
                      <w:sz w:val="21"/>
                      <w:szCs w:val="21"/>
                      <w:highlight w:val="none"/>
                    </w:rPr>
                    <w:t>元江工业园区MBR膜一体化300m</w:t>
                  </w:r>
                  <w:r>
                    <w:rPr>
                      <w:color w:val="auto"/>
                      <w:sz w:val="21"/>
                      <w:szCs w:val="21"/>
                      <w:highlight w:val="none"/>
                      <w:vertAlign w:val="superscript"/>
                    </w:rPr>
                    <w:t>3</w:t>
                  </w:r>
                  <w:r>
                    <w:rPr>
                      <w:color w:val="auto"/>
                      <w:sz w:val="21"/>
                      <w:szCs w:val="21"/>
                      <w:highlight w:val="none"/>
                    </w:rPr>
                    <w:t>/d过渡式污水处理站处理</w:t>
                  </w:r>
                  <w:r>
                    <w:rPr>
                      <w:rFonts w:hint="eastAsia"/>
                      <w:color w:val="auto"/>
                      <w:sz w:val="21"/>
                      <w:szCs w:val="21"/>
                      <w:highlight w:val="none"/>
                      <w:lang w:eastAsia="zh-CN"/>
                    </w:rPr>
                    <w:t>。</w:t>
                  </w:r>
                </w:p>
              </w:tc>
            </w:tr>
            <w:tr w14:paraId="7EF1A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5" w:type="dxa"/>
                  <w:vMerge w:val="continue"/>
                  <w:tcBorders>
                    <w:right w:val="single" w:color="auto" w:sz="4" w:space="0"/>
                  </w:tcBorders>
                  <w:noWrap w:val="0"/>
                  <w:vAlign w:val="center"/>
                </w:tcPr>
                <w:p w14:paraId="6828E139">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p>
              </w:tc>
              <w:tc>
                <w:tcPr>
                  <w:tcW w:w="681" w:type="dxa"/>
                  <w:vMerge w:val="continue"/>
                  <w:tcBorders>
                    <w:left w:val="single" w:color="auto" w:sz="4" w:space="0"/>
                  </w:tcBorders>
                  <w:noWrap w:val="0"/>
                  <w:vAlign w:val="center"/>
                </w:tcPr>
                <w:p w14:paraId="02009D2D">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p>
              </w:tc>
              <w:tc>
                <w:tcPr>
                  <w:tcW w:w="1507" w:type="dxa"/>
                  <w:noWrap w:val="0"/>
                  <w:vAlign w:val="center"/>
                </w:tcPr>
                <w:p w14:paraId="6BF65D79">
                  <w:pPr>
                    <w:keepNext w:val="0"/>
                    <w:keepLines w:val="0"/>
                    <w:pageBreakBefore w:val="0"/>
                    <w:kinsoku/>
                    <w:wordWrap/>
                    <w:overflowPunct/>
                    <w:topLinePunct w:val="0"/>
                    <w:bidi w:val="0"/>
                    <w:snapToGrid w:val="0"/>
                    <w:ind w:left="0" w:leftChars="0" w:right="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废气</w:t>
                  </w:r>
                </w:p>
              </w:tc>
              <w:tc>
                <w:tcPr>
                  <w:tcW w:w="2642" w:type="dxa"/>
                  <w:vMerge w:val="continue"/>
                  <w:noWrap w:val="0"/>
                  <w:vAlign w:val="center"/>
                </w:tcPr>
                <w:p w14:paraId="0263B2B7">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p>
              </w:tc>
              <w:tc>
                <w:tcPr>
                  <w:tcW w:w="2442" w:type="dxa"/>
                  <w:shd w:val="clear" w:color="auto" w:fill="auto"/>
                  <w:noWrap w:val="0"/>
                  <w:vAlign w:val="center"/>
                </w:tcPr>
                <w:p w14:paraId="76926E6F">
                  <w:pPr>
                    <w:keepNext w:val="0"/>
                    <w:keepLines w:val="0"/>
                    <w:pageBreakBefore w:val="0"/>
                    <w:widowControl w:val="0"/>
                    <w:kinsoku/>
                    <w:wordWrap/>
                    <w:overflowPunct/>
                    <w:topLinePunct w:val="0"/>
                    <w:autoSpaceDE/>
                    <w:autoSpaceDN/>
                    <w:bidi w:val="0"/>
                    <w:adjustRightInd w:val="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生物质锅炉废气经设置1套“多管旋风除尘器+布袋除尘器”处理后，通过1根30m高排气筒排放。用于处理生物质锅炉产生废气。</w:t>
                  </w:r>
                </w:p>
              </w:tc>
            </w:tr>
            <w:tr w14:paraId="1BF49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5" w:type="dxa"/>
                  <w:vMerge w:val="continue"/>
                  <w:tcBorders>
                    <w:right w:val="single" w:color="auto" w:sz="4" w:space="0"/>
                  </w:tcBorders>
                  <w:noWrap w:val="0"/>
                  <w:vAlign w:val="center"/>
                </w:tcPr>
                <w:p w14:paraId="2631CB1C">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p>
              </w:tc>
              <w:tc>
                <w:tcPr>
                  <w:tcW w:w="681" w:type="dxa"/>
                  <w:vMerge w:val="continue"/>
                  <w:tcBorders>
                    <w:left w:val="single" w:color="auto" w:sz="4" w:space="0"/>
                  </w:tcBorders>
                  <w:noWrap w:val="0"/>
                  <w:vAlign w:val="center"/>
                </w:tcPr>
                <w:p w14:paraId="4577DA50">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p>
              </w:tc>
              <w:tc>
                <w:tcPr>
                  <w:tcW w:w="1507" w:type="dxa"/>
                  <w:noWrap w:val="0"/>
                  <w:vAlign w:val="center"/>
                </w:tcPr>
                <w:p w14:paraId="4FEAF177">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固废</w:t>
                  </w:r>
                </w:p>
              </w:tc>
              <w:tc>
                <w:tcPr>
                  <w:tcW w:w="2642" w:type="dxa"/>
                  <w:vMerge w:val="continue"/>
                  <w:noWrap w:val="0"/>
                  <w:vAlign w:val="center"/>
                </w:tcPr>
                <w:p w14:paraId="6EB027F5">
                  <w:pPr>
                    <w:keepNext w:val="0"/>
                    <w:keepLines w:val="0"/>
                    <w:pageBreakBefore w:val="0"/>
                    <w:kinsoku/>
                    <w:wordWrap/>
                    <w:overflowPunct/>
                    <w:topLinePunct w:val="0"/>
                    <w:bidi w:val="0"/>
                    <w:snapToGrid w:val="0"/>
                    <w:ind w:left="0" w:leftChars="0" w:right="0"/>
                    <w:jc w:val="center"/>
                    <w:rPr>
                      <w:rFonts w:hint="default" w:ascii="Times New Roman" w:hAnsi="Times New Roman" w:cs="Times New Roman"/>
                      <w:color w:val="auto"/>
                      <w:kern w:val="0"/>
                      <w:sz w:val="21"/>
                      <w:szCs w:val="21"/>
                    </w:rPr>
                  </w:pPr>
                </w:p>
              </w:tc>
              <w:tc>
                <w:tcPr>
                  <w:tcW w:w="2442" w:type="dxa"/>
                  <w:noWrap w:val="0"/>
                  <w:vAlign w:val="center"/>
                </w:tcPr>
                <w:p w14:paraId="45BBC86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主要为</w:t>
                  </w:r>
                  <w:r>
                    <w:rPr>
                      <w:rFonts w:hint="eastAsia" w:ascii="宋体" w:hAnsi="宋体" w:eastAsia="宋体" w:cs="宋体"/>
                      <w:color w:val="auto"/>
                      <w:sz w:val="21"/>
                      <w:szCs w:val="21"/>
                      <w:lang w:val="en-US" w:eastAsia="zh-CN"/>
                    </w:rPr>
                    <w:t>废果、</w:t>
                  </w:r>
                  <w:r>
                    <w:rPr>
                      <w:rFonts w:hint="eastAsia" w:cs="Times New Roman"/>
                      <w:b w:val="0"/>
                      <w:bCs/>
                      <w:color w:val="auto"/>
                      <w:sz w:val="21"/>
                      <w:szCs w:val="21"/>
                      <w:lang w:val="en-US" w:eastAsia="zh-CN"/>
                    </w:rPr>
                    <w:t>废果皮、废核及废果渣、滤渣、除尘灰、废培养基、废反渗透膜、废包装材料、污水处理设施污泥、生活垃圾、废冷冻油、废包装桶</w:t>
                  </w:r>
                  <w:r>
                    <w:rPr>
                      <w:rFonts w:hint="default" w:ascii="Times New Roman" w:hAnsi="Times New Roman" w:cs="Times New Roman"/>
                      <w:color w:val="auto"/>
                      <w:kern w:val="0"/>
                      <w:sz w:val="21"/>
                      <w:szCs w:val="21"/>
                      <w:highlight w:val="none"/>
                      <w:lang w:val="en-US" w:eastAsia="zh-CN"/>
                    </w:rPr>
                    <w:t>等</w:t>
                  </w:r>
                </w:p>
              </w:tc>
            </w:tr>
          </w:tbl>
          <w:p w14:paraId="27DD6B26">
            <w:pPr>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根据调查，同时对照《建设项目环境风险评价技术导则》（HJ169-2018）表B.1，</w:t>
            </w:r>
            <w:r>
              <w:rPr>
                <w:rFonts w:hint="eastAsia" w:ascii="Times New Roman" w:hAnsi="Times New Roman" w:eastAsia="宋体" w:cs="Times New Roman"/>
                <w:color w:val="auto"/>
                <w:sz w:val="24"/>
                <w:lang w:val="en-US" w:eastAsia="zh-CN"/>
              </w:rPr>
              <w:t>本项目主要风险物质</w:t>
            </w:r>
            <w:r>
              <w:rPr>
                <w:rFonts w:hint="eastAsia" w:ascii="Times New Roman" w:hAnsi="Times New Roman" w:eastAsia="宋体" w:cs="Times New Roman"/>
                <w:color w:val="auto"/>
                <w:sz w:val="24"/>
                <w:szCs w:val="24"/>
                <w:lang w:val="en-US" w:eastAsia="zh-CN"/>
              </w:rPr>
              <w:t>为速冻车间</w:t>
            </w:r>
            <w:r>
              <w:rPr>
                <w:rFonts w:hint="eastAsia" w:cs="Times New Roman"/>
                <w:color w:val="auto"/>
                <w:sz w:val="24"/>
                <w:szCs w:val="24"/>
                <w:lang w:val="en-US" w:eastAsia="zh-CN"/>
              </w:rPr>
              <w:t>在线使用的冷冻油及</w:t>
            </w:r>
            <w:r>
              <w:rPr>
                <w:rFonts w:hint="eastAsia" w:ascii="Times New Roman" w:hAnsi="Times New Roman" w:eastAsia="宋体" w:cs="Times New Roman"/>
                <w:color w:val="auto"/>
                <w:sz w:val="24"/>
                <w:szCs w:val="24"/>
                <w:lang w:val="en-US" w:eastAsia="zh-CN"/>
              </w:rPr>
              <w:t>产生的废冷冻油</w:t>
            </w:r>
            <w:r>
              <w:rPr>
                <w:rFonts w:hint="eastAsia" w:cs="Times New Roman"/>
                <w:color w:val="auto"/>
                <w:sz w:val="24"/>
                <w:szCs w:val="24"/>
                <w:lang w:val="en-US" w:eastAsia="zh-CN"/>
              </w:rPr>
              <w:t>、碱液间储存的</w:t>
            </w:r>
            <w:r>
              <w:rPr>
                <w:rFonts w:ascii="Times New Roman" w:hAnsi="Times New Roman"/>
                <w:color w:val="auto"/>
                <w:sz w:val="24"/>
                <w:szCs w:val="24"/>
                <w:highlight w:val="none"/>
              </w:rPr>
              <w:t>碱性剂</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酸液间储存的</w:t>
            </w:r>
            <w:r>
              <w:rPr>
                <w:rFonts w:ascii="Times New Roman" w:hAnsi="Times New Roman"/>
                <w:color w:val="auto"/>
                <w:sz w:val="24"/>
                <w:szCs w:val="24"/>
                <w:highlight w:val="none"/>
              </w:rPr>
              <w:t>酸性剂清洗液</w:t>
            </w:r>
            <w:r>
              <w:rPr>
                <w:rFonts w:hint="eastAsia"/>
                <w:color w:val="auto"/>
                <w:kern w:val="1"/>
                <w:sz w:val="24"/>
              </w:rPr>
              <w:t>，生产过程中不涉及导则附录表C、表C.1中所列的危险工艺</w:t>
            </w:r>
            <w:r>
              <w:rPr>
                <w:rFonts w:hint="eastAsia"/>
                <w:color w:val="auto"/>
                <w:kern w:val="1"/>
                <w:sz w:val="24"/>
                <w:lang w:eastAsia="zh-CN"/>
              </w:rPr>
              <w:t>。</w:t>
            </w:r>
          </w:p>
          <w:p w14:paraId="581FC776">
            <w:pPr>
              <w:keepNext w:val="0"/>
              <w:keepLines w:val="0"/>
              <w:pageBreakBefore w:val="0"/>
              <w:kinsoku/>
              <w:wordWrap/>
              <w:overflowPunct/>
              <w:topLinePunct w:val="0"/>
              <w:bidi w:val="0"/>
              <w:spacing w:line="360" w:lineRule="auto"/>
              <w:ind w:left="0" w:leftChars="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eastAsia="zh-CN"/>
              </w:rPr>
              <w:t>（</w:t>
            </w:r>
            <w:r>
              <w:rPr>
                <w:rFonts w:hint="eastAsia" w:cs="Times New Roman"/>
                <w:b/>
                <w:bCs/>
                <w:color w:val="auto"/>
                <w:sz w:val="24"/>
                <w:lang w:val="en-US" w:eastAsia="zh-CN"/>
              </w:rPr>
              <w:t>3</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rPr>
              <w:t>风险潜势初判</w:t>
            </w:r>
          </w:p>
          <w:p w14:paraId="0D4238D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根据《建设项目环境风险评价技术导则》（HJ169－2018）附录C中C.1.1危险物质数量与临界量比值。当存在多种危险物质时，则按式（1）计算物质总量与其临界量比值（Q）：</w:t>
            </w:r>
          </w:p>
          <w:p w14:paraId="1FAF68F0">
            <w:pPr>
              <w:keepNext w:val="0"/>
              <w:keepLines w:val="0"/>
              <w:pageBreakBefore w:val="0"/>
              <w:kinsoku/>
              <w:wordWrap/>
              <w:overflowPunct/>
              <w:topLinePunct w:val="0"/>
              <w:autoSpaceDE w:val="0"/>
              <w:autoSpaceDN w:val="0"/>
              <w:bidi w:val="0"/>
              <w:adjustRightInd w:val="0"/>
              <w:spacing w:line="360" w:lineRule="auto"/>
              <w:ind w:left="0" w:leftChars="0" w:right="0" w:firstLine="480"/>
              <w:jc w:val="center"/>
              <w:rPr>
                <w:rFonts w:hint="default" w:ascii="Times New Roman" w:hAnsi="Times New Roman" w:cs="Times New Roman"/>
                <w:color w:val="auto"/>
                <w:spacing w:val="1"/>
                <w:kern w:val="0"/>
                <w:sz w:val="24"/>
                <w:szCs w:val="28"/>
              </w:rPr>
            </w:pPr>
            <w:r>
              <w:rPr>
                <w:rFonts w:hint="default" w:ascii="Times New Roman" w:hAnsi="Times New Roman" w:cs="Times New Roman"/>
                <w:color w:val="auto"/>
              </w:rPr>
              <w:drawing>
                <wp:inline distT="0" distB="0" distL="114300" distR="114300">
                  <wp:extent cx="2294255" cy="678815"/>
                  <wp:effectExtent l="0" t="0" r="10795" b="6985"/>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35"/>
                          <a:stretch>
                            <a:fillRect/>
                          </a:stretch>
                        </pic:blipFill>
                        <pic:spPr>
                          <a:xfrm>
                            <a:off x="0" y="0"/>
                            <a:ext cx="2294255" cy="678815"/>
                          </a:xfrm>
                          <a:prstGeom prst="rect">
                            <a:avLst/>
                          </a:prstGeom>
                          <a:noFill/>
                          <a:ln>
                            <a:noFill/>
                          </a:ln>
                        </pic:spPr>
                      </pic:pic>
                    </a:graphicData>
                  </a:graphic>
                </wp:inline>
              </w:drawing>
            </w:r>
          </w:p>
          <w:p w14:paraId="533FCD4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式中：q</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n</w:t>
            </w:r>
            <w:r>
              <w:rPr>
                <w:rFonts w:hint="default" w:ascii="Times New Roman" w:hAnsi="Times New Roman" w:cs="Times New Roman"/>
                <w:color w:val="auto"/>
                <w:sz w:val="24"/>
                <w:szCs w:val="24"/>
              </w:rPr>
              <w:t>——每种环境风险物质的最大存在总量，t；</w:t>
            </w:r>
          </w:p>
          <w:p w14:paraId="621458F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Q</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n</w:t>
            </w:r>
            <w:r>
              <w:rPr>
                <w:rFonts w:hint="default" w:ascii="Times New Roman" w:hAnsi="Times New Roman" w:cs="Times New Roman"/>
                <w:color w:val="auto"/>
                <w:sz w:val="24"/>
                <w:szCs w:val="24"/>
              </w:rPr>
              <w:t>——每种环境风险物质的临界量，t。</w:t>
            </w:r>
          </w:p>
          <w:p w14:paraId="2A3D7D0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当Q＜1时，该项目环境风险潜势为Ⅰ。</w:t>
            </w:r>
          </w:p>
          <w:p w14:paraId="6B9CDFF7">
            <w:pPr>
              <w:spacing w:line="360" w:lineRule="auto"/>
              <w:ind w:firstLine="480" w:firstLineChars="200"/>
              <w:rPr>
                <w:rFonts w:hint="eastAsia" w:cs="Times New Roman"/>
                <w:color w:val="auto"/>
                <w:sz w:val="24"/>
                <w:lang w:eastAsia="zh-CN"/>
              </w:rPr>
            </w:pPr>
            <w:r>
              <w:rPr>
                <w:rFonts w:hint="default" w:ascii="Times New Roman" w:hAnsi="Times New Roman" w:cs="Times New Roman"/>
                <w:color w:val="auto"/>
                <w:sz w:val="24"/>
                <w:szCs w:val="24"/>
              </w:rPr>
              <w:t>当Q≥1时，将Q值划分为：（1）1≤Q小于10；（2）10≤Q＜100；（3）Q≥100。</w:t>
            </w:r>
            <w:r>
              <w:rPr>
                <w:rFonts w:hint="default" w:ascii="Times New Roman" w:hAnsi="Times New Roman" w:cs="Times New Roman"/>
                <w:color w:val="auto"/>
                <w:sz w:val="24"/>
              </w:rPr>
              <w:t>本项目Q值计算结果如下</w:t>
            </w:r>
            <w:r>
              <w:rPr>
                <w:rFonts w:hint="eastAsia" w:cs="Times New Roman"/>
                <w:color w:val="auto"/>
                <w:sz w:val="24"/>
                <w:lang w:eastAsia="zh-CN"/>
              </w:rPr>
              <w:t>：</w:t>
            </w:r>
          </w:p>
          <w:p w14:paraId="3AEA4147">
            <w:pPr>
              <w:keepNext w:val="0"/>
              <w:keepLines w:val="0"/>
              <w:pageBreakBefore w:val="0"/>
              <w:kinsoku/>
              <w:wordWrap/>
              <w:overflowPunct/>
              <w:topLinePunct w:val="0"/>
              <w:bidi w:val="0"/>
              <w:spacing w:line="240" w:lineRule="auto"/>
              <w:ind w:left="0" w:leftChars="0" w:right="0" w:firstLine="422" w:firstLineChars="20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4-</w:t>
            </w:r>
            <w:r>
              <w:rPr>
                <w:rFonts w:hint="eastAsia" w:cs="Times New Roman"/>
                <w:b/>
                <w:color w:val="auto"/>
                <w:sz w:val="21"/>
                <w:szCs w:val="21"/>
                <w:highlight w:val="none"/>
                <w:lang w:val="en-US" w:eastAsia="zh-CN"/>
              </w:rPr>
              <w:t>23</w:t>
            </w:r>
            <w:r>
              <w:rPr>
                <w:rFonts w:hint="default" w:ascii="Times New Roman" w:hAnsi="Times New Roman" w:cs="Times New Roman"/>
                <w:b/>
                <w:color w:val="auto"/>
                <w:sz w:val="21"/>
                <w:szCs w:val="21"/>
                <w:highlight w:val="none"/>
              </w:rPr>
              <w:t xml:space="preserve">  </w:t>
            </w:r>
            <w:r>
              <w:rPr>
                <w:rFonts w:hint="default" w:ascii="Times New Roman" w:hAnsi="Times New Roman" w:cs="Times New Roman"/>
                <w:b/>
                <w:color w:val="auto"/>
                <w:sz w:val="21"/>
                <w:szCs w:val="21"/>
              </w:rPr>
              <w:t>项目区突发环境事件风险物质及临界比值</w:t>
            </w:r>
          </w:p>
          <w:tbl>
            <w:tblPr>
              <w:tblStyle w:val="2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5"/>
              <w:gridCol w:w="1965"/>
              <w:gridCol w:w="2587"/>
              <w:gridCol w:w="1356"/>
              <w:gridCol w:w="1456"/>
            </w:tblGrid>
            <w:tr w14:paraId="4DB6C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dxa"/>
                  <w:noWrap w:val="0"/>
                  <w:vAlign w:val="center"/>
                </w:tcPr>
                <w:p w14:paraId="27C93C9F">
                  <w:pPr>
                    <w:keepNext w:val="0"/>
                    <w:keepLines w:val="0"/>
                    <w:pageBreakBefore w:val="0"/>
                    <w:kinsoku/>
                    <w:wordWrap/>
                    <w:overflowPunct/>
                    <w:topLinePunct w:val="0"/>
                    <w:bidi w:val="0"/>
                    <w:adjustRightInd w:val="0"/>
                    <w:snapToGrid w:val="0"/>
                    <w:ind w:left="0" w:leftChars="0" w:right="0"/>
                    <w:jc w:val="center"/>
                    <w:textAlignment w:val="baseline"/>
                    <w:rPr>
                      <w:rFonts w:hint="eastAsia" w:ascii="Times New Roman" w:hAnsi="Times New Roman" w:eastAsia="宋体" w:cs="Times New Roman"/>
                      <w:b/>
                      <w:bCs/>
                      <w:color w:val="auto"/>
                      <w:kern w:val="0"/>
                      <w:lang w:val="zh-CN" w:eastAsia="zh-CN"/>
                    </w:rPr>
                  </w:pPr>
                  <w:r>
                    <w:rPr>
                      <w:rFonts w:hint="eastAsia" w:cs="Times New Roman"/>
                      <w:b/>
                      <w:bCs/>
                      <w:color w:val="auto"/>
                      <w:kern w:val="0"/>
                      <w:lang w:val="en-US" w:eastAsia="zh-CN"/>
                    </w:rPr>
                    <w:t>序号</w:t>
                  </w:r>
                </w:p>
              </w:tc>
              <w:tc>
                <w:tcPr>
                  <w:tcW w:w="1965" w:type="dxa"/>
                  <w:noWrap w:val="0"/>
                  <w:vAlign w:val="center"/>
                </w:tcPr>
                <w:p w14:paraId="6CA9DCC6">
                  <w:pPr>
                    <w:keepNext w:val="0"/>
                    <w:keepLines w:val="0"/>
                    <w:pageBreakBefore w:val="0"/>
                    <w:kinsoku/>
                    <w:wordWrap/>
                    <w:overflowPunct/>
                    <w:topLinePunct w:val="0"/>
                    <w:bidi w:val="0"/>
                    <w:adjustRightInd w:val="0"/>
                    <w:snapToGrid w:val="0"/>
                    <w:ind w:left="0" w:leftChars="0" w:right="0"/>
                    <w:jc w:val="center"/>
                    <w:textAlignment w:val="baseline"/>
                    <w:rPr>
                      <w:rFonts w:hint="default" w:ascii="Times New Roman" w:hAnsi="Times New Roman" w:cs="Times New Roman"/>
                      <w:b/>
                      <w:bCs/>
                      <w:color w:val="auto"/>
                      <w:kern w:val="0"/>
                      <w:lang w:val="zh-CN"/>
                    </w:rPr>
                  </w:pPr>
                  <w:r>
                    <w:rPr>
                      <w:rFonts w:hint="default" w:ascii="Times New Roman" w:hAnsi="Times New Roman" w:cs="Times New Roman"/>
                      <w:b/>
                      <w:bCs/>
                      <w:color w:val="auto"/>
                      <w:kern w:val="0"/>
                      <w:lang w:val="zh-CN"/>
                    </w:rPr>
                    <w:t>危险化学品名称</w:t>
                  </w:r>
                </w:p>
              </w:tc>
              <w:tc>
                <w:tcPr>
                  <w:tcW w:w="2587" w:type="dxa"/>
                  <w:noWrap w:val="0"/>
                  <w:vAlign w:val="center"/>
                </w:tcPr>
                <w:p w14:paraId="2E25BA4F">
                  <w:pPr>
                    <w:keepNext w:val="0"/>
                    <w:keepLines w:val="0"/>
                    <w:pageBreakBefore w:val="0"/>
                    <w:kinsoku/>
                    <w:wordWrap/>
                    <w:overflowPunct/>
                    <w:topLinePunct w:val="0"/>
                    <w:bidi w:val="0"/>
                    <w:adjustRightInd w:val="0"/>
                    <w:snapToGrid w:val="0"/>
                    <w:ind w:left="0" w:leftChars="0" w:right="0"/>
                    <w:jc w:val="center"/>
                    <w:textAlignment w:val="baseline"/>
                    <w:rPr>
                      <w:rFonts w:hint="default" w:ascii="Times New Roman" w:hAnsi="Times New Roman" w:cs="Times New Roman"/>
                      <w:b/>
                      <w:bCs/>
                      <w:color w:val="auto"/>
                      <w:kern w:val="0"/>
                      <w:lang w:val="zh-CN"/>
                    </w:rPr>
                  </w:pPr>
                  <w:r>
                    <w:rPr>
                      <w:rFonts w:hint="eastAsia" w:cs="Times New Roman"/>
                      <w:b/>
                      <w:bCs/>
                      <w:color w:val="auto"/>
                      <w:kern w:val="0"/>
                      <w:lang w:val="en-US" w:eastAsia="zh-CN"/>
                    </w:rPr>
                    <w:t>单元实际</w:t>
                  </w:r>
                  <w:r>
                    <w:rPr>
                      <w:rFonts w:hint="default" w:ascii="Times New Roman" w:hAnsi="Times New Roman" w:cs="Times New Roman"/>
                      <w:b/>
                      <w:bCs/>
                      <w:color w:val="auto"/>
                      <w:kern w:val="0"/>
                      <w:lang w:val="zh-CN"/>
                    </w:rPr>
                    <w:t>最大储存量</w:t>
                  </w:r>
                  <w:r>
                    <w:rPr>
                      <w:rFonts w:hint="eastAsia" w:cs="Times New Roman"/>
                      <w:b/>
                      <w:bCs/>
                      <w:color w:val="auto"/>
                      <w:kern w:val="0"/>
                      <w:lang w:val="en-US" w:eastAsia="zh-CN"/>
                    </w:rPr>
                    <w:t>/最大在线量</w:t>
                  </w:r>
                  <w:r>
                    <w:rPr>
                      <w:rFonts w:hint="default" w:ascii="Times New Roman" w:hAnsi="Times New Roman" w:cs="Times New Roman"/>
                      <w:b/>
                      <w:bCs/>
                      <w:color w:val="auto"/>
                      <w:kern w:val="0"/>
                      <w:lang w:val="zh-CN"/>
                    </w:rPr>
                    <w:t>(</w:t>
                  </w:r>
                  <w:r>
                    <w:rPr>
                      <w:rFonts w:hint="default" w:ascii="Times New Roman" w:hAnsi="Times New Roman" w:cs="Times New Roman"/>
                      <w:b/>
                      <w:bCs/>
                      <w:color w:val="auto"/>
                      <w:kern w:val="0"/>
                    </w:rPr>
                    <w:t>t</w:t>
                  </w:r>
                  <w:r>
                    <w:rPr>
                      <w:rFonts w:hint="default" w:ascii="Times New Roman" w:hAnsi="Times New Roman" w:cs="Times New Roman"/>
                      <w:b/>
                      <w:bCs/>
                      <w:color w:val="auto"/>
                      <w:kern w:val="0"/>
                      <w:lang w:val="zh-CN"/>
                    </w:rPr>
                    <w:t>)</w:t>
                  </w:r>
                </w:p>
              </w:tc>
              <w:tc>
                <w:tcPr>
                  <w:tcW w:w="1356" w:type="dxa"/>
                  <w:tcBorders>
                    <w:right w:val="single" w:color="auto" w:sz="4" w:space="0"/>
                  </w:tcBorders>
                  <w:noWrap w:val="0"/>
                  <w:vAlign w:val="center"/>
                </w:tcPr>
                <w:p w14:paraId="345C676F">
                  <w:pPr>
                    <w:keepNext w:val="0"/>
                    <w:keepLines w:val="0"/>
                    <w:pageBreakBefore w:val="0"/>
                    <w:kinsoku/>
                    <w:wordWrap/>
                    <w:overflowPunct/>
                    <w:topLinePunct w:val="0"/>
                    <w:bidi w:val="0"/>
                    <w:adjustRightInd w:val="0"/>
                    <w:snapToGrid w:val="0"/>
                    <w:ind w:left="0" w:leftChars="0" w:right="0"/>
                    <w:jc w:val="center"/>
                    <w:textAlignment w:val="baseline"/>
                    <w:rPr>
                      <w:rFonts w:hint="default" w:ascii="Times New Roman" w:hAnsi="Times New Roman" w:cs="Times New Roman"/>
                      <w:b/>
                      <w:bCs/>
                      <w:color w:val="auto"/>
                      <w:kern w:val="0"/>
                      <w:lang w:val="zh-CN"/>
                    </w:rPr>
                  </w:pPr>
                  <w:r>
                    <w:rPr>
                      <w:rFonts w:hint="default" w:ascii="Times New Roman" w:hAnsi="Times New Roman" w:cs="Times New Roman"/>
                      <w:b/>
                      <w:bCs/>
                      <w:color w:val="auto"/>
                      <w:kern w:val="0"/>
                      <w:lang w:val="zh-CN"/>
                    </w:rPr>
                    <w:t>临界量（</w:t>
                  </w:r>
                  <w:r>
                    <w:rPr>
                      <w:rFonts w:hint="default" w:ascii="Times New Roman" w:hAnsi="Times New Roman" w:cs="Times New Roman"/>
                      <w:b/>
                      <w:bCs/>
                      <w:color w:val="auto"/>
                      <w:kern w:val="0"/>
                    </w:rPr>
                    <w:t>t</w:t>
                  </w:r>
                  <w:r>
                    <w:rPr>
                      <w:rFonts w:hint="default" w:ascii="Times New Roman" w:hAnsi="Times New Roman" w:cs="Times New Roman"/>
                      <w:b/>
                      <w:bCs/>
                      <w:color w:val="auto"/>
                      <w:kern w:val="0"/>
                      <w:lang w:val="zh-CN"/>
                    </w:rPr>
                    <w:t>）</w:t>
                  </w:r>
                </w:p>
              </w:tc>
              <w:tc>
                <w:tcPr>
                  <w:tcW w:w="1456" w:type="dxa"/>
                  <w:tcBorders>
                    <w:left w:val="single" w:color="auto" w:sz="4" w:space="0"/>
                  </w:tcBorders>
                  <w:noWrap w:val="0"/>
                  <w:vAlign w:val="center"/>
                </w:tcPr>
                <w:p w14:paraId="3B8087A5">
                  <w:pPr>
                    <w:keepNext w:val="0"/>
                    <w:keepLines w:val="0"/>
                    <w:pageBreakBefore w:val="0"/>
                    <w:kinsoku/>
                    <w:wordWrap/>
                    <w:overflowPunct/>
                    <w:topLinePunct w:val="0"/>
                    <w:bidi w:val="0"/>
                    <w:adjustRightInd w:val="0"/>
                    <w:snapToGrid w:val="0"/>
                    <w:ind w:left="0" w:leftChars="0" w:right="0"/>
                    <w:jc w:val="center"/>
                    <w:textAlignment w:val="baseline"/>
                    <w:rPr>
                      <w:rFonts w:hint="default" w:ascii="Times New Roman" w:hAnsi="Times New Roman" w:cs="Times New Roman"/>
                      <w:b/>
                      <w:bCs/>
                      <w:color w:val="auto"/>
                      <w:kern w:val="0"/>
                      <w:lang w:val="zh-CN"/>
                    </w:rPr>
                  </w:pPr>
                  <w:r>
                    <w:rPr>
                      <w:rFonts w:hint="default" w:ascii="Times New Roman" w:hAnsi="Times New Roman" w:cs="Times New Roman"/>
                      <w:b/>
                      <w:bCs/>
                      <w:color w:val="auto"/>
                      <w:kern w:val="0"/>
                      <w:lang w:val="zh-CN"/>
                    </w:rPr>
                    <w:t>qi/Qi</w:t>
                  </w:r>
                </w:p>
              </w:tc>
            </w:tr>
            <w:tr w14:paraId="47093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dxa"/>
                  <w:shd w:val="clear" w:color="auto" w:fill="auto"/>
                  <w:noWrap w:val="0"/>
                  <w:vAlign w:val="center"/>
                </w:tcPr>
                <w:p w14:paraId="0F9DA703">
                  <w:pPr>
                    <w:keepNext w:val="0"/>
                    <w:keepLines w:val="0"/>
                    <w:widowControl/>
                    <w:suppressLineNumbers w:val="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1</w:t>
                  </w:r>
                </w:p>
              </w:tc>
              <w:tc>
                <w:tcPr>
                  <w:tcW w:w="1965" w:type="dxa"/>
                  <w:tcBorders>
                    <w:right w:val="single" w:color="auto" w:sz="4" w:space="0"/>
                  </w:tcBorders>
                  <w:shd w:val="clear" w:color="auto" w:fill="auto"/>
                  <w:noWrap w:val="0"/>
                  <w:vAlign w:val="center"/>
                </w:tcPr>
                <w:p w14:paraId="1A4268BD">
                  <w:pPr>
                    <w:keepNext w:val="0"/>
                    <w:keepLines w:val="0"/>
                    <w:widowControl/>
                    <w:suppressLineNumbers w:val="0"/>
                    <w:jc w:val="center"/>
                    <w:rPr>
                      <w:rFonts w:hint="default" w:ascii="Times New Roman" w:hAnsi="Times New Roman" w:eastAsia="宋体" w:cs="Times New Roman"/>
                      <w:color w:val="auto"/>
                      <w:kern w:val="0"/>
                      <w:sz w:val="21"/>
                      <w:szCs w:val="24"/>
                      <w:highlight w:val="yellow"/>
                      <w:lang w:val="en-US" w:eastAsia="zh-CN" w:bidi="ar-SA"/>
                    </w:rPr>
                  </w:pPr>
                  <w:r>
                    <w:rPr>
                      <w:rFonts w:hint="eastAsia" w:cs="Times New Roman"/>
                      <w:color w:val="auto"/>
                      <w:kern w:val="0"/>
                      <w:sz w:val="21"/>
                      <w:szCs w:val="21"/>
                      <w:highlight w:val="none"/>
                      <w:lang w:val="en-US" w:eastAsia="zh-CN" w:bidi="ar-SA"/>
                    </w:rPr>
                    <w:t>废冷冻油</w:t>
                  </w:r>
                </w:p>
              </w:tc>
              <w:tc>
                <w:tcPr>
                  <w:tcW w:w="2587" w:type="dxa"/>
                  <w:tcBorders>
                    <w:left w:val="single" w:color="auto" w:sz="4" w:space="0"/>
                  </w:tcBorders>
                  <w:shd w:val="clear" w:color="auto" w:fill="auto"/>
                  <w:noWrap w:val="0"/>
                  <w:vAlign w:val="center"/>
                </w:tcPr>
                <w:p w14:paraId="3C7A6666">
                  <w:pPr>
                    <w:keepNext w:val="0"/>
                    <w:keepLines w:val="0"/>
                    <w:pageBreakBefore w:val="0"/>
                    <w:kinsoku/>
                    <w:wordWrap/>
                    <w:overflowPunct/>
                    <w:topLinePunct w:val="0"/>
                    <w:bidi w:val="0"/>
                    <w:adjustRightInd w:val="0"/>
                    <w:snapToGrid w:val="0"/>
                    <w:ind w:left="0" w:leftChars="0" w:right="0" w:rightChars="0"/>
                    <w:jc w:val="center"/>
                    <w:textAlignment w:val="baseline"/>
                    <w:rPr>
                      <w:rFonts w:hint="default" w:ascii="Times New Roman" w:hAnsi="Times New Roman" w:eastAsia="宋体" w:cs="Times New Roman"/>
                      <w:color w:val="auto"/>
                      <w:kern w:val="0"/>
                      <w:sz w:val="21"/>
                      <w:szCs w:val="24"/>
                      <w:highlight w:val="yellow"/>
                      <w:lang w:val="en-US" w:eastAsia="zh-CN" w:bidi="ar-SA"/>
                    </w:rPr>
                  </w:pPr>
                  <w:r>
                    <w:rPr>
                      <w:rFonts w:hint="eastAsia" w:cs="Times New Roman"/>
                      <w:color w:val="auto"/>
                      <w:kern w:val="0"/>
                      <w:highlight w:val="none"/>
                      <w:lang w:val="en-US" w:eastAsia="zh-CN"/>
                    </w:rPr>
                    <w:t>0.1</w:t>
                  </w:r>
                </w:p>
              </w:tc>
              <w:tc>
                <w:tcPr>
                  <w:tcW w:w="1356" w:type="dxa"/>
                  <w:tcBorders>
                    <w:right w:val="single" w:color="auto" w:sz="4" w:space="0"/>
                  </w:tcBorders>
                  <w:shd w:val="clear" w:color="auto" w:fill="auto"/>
                  <w:noWrap w:val="0"/>
                  <w:vAlign w:val="center"/>
                </w:tcPr>
                <w:p w14:paraId="54799C4C">
                  <w:pPr>
                    <w:keepNext w:val="0"/>
                    <w:keepLines w:val="0"/>
                    <w:pageBreakBefore w:val="0"/>
                    <w:kinsoku/>
                    <w:wordWrap/>
                    <w:overflowPunct/>
                    <w:topLinePunct w:val="0"/>
                    <w:bidi w:val="0"/>
                    <w:adjustRightInd w:val="0"/>
                    <w:snapToGrid w:val="0"/>
                    <w:ind w:left="0" w:leftChars="0" w:right="0" w:rightChars="0"/>
                    <w:jc w:val="center"/>
                    <w:textAlignment w:val="baseline"/>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cs="Times New Roman"/>
                      <w:color w:val="auto"/>
                      <w:kern w:val="0"/>
                      <w:sz w:val="21"/>
                      <w:szCs w:val="24"/>
                      <w:highlight w:val="none"/>
                      <w:lang w:val="en-US" w:eastAsia="zh-CN" w:bidi="ar-SA"/>
                    </w:rPr>
                    <w:t>2500</w:t>
                  </w:r>
                </w:p>
              </w:tc>
              <w:tc>
                <w:tcPr>
                  <w:tcW w:w="1456" w:type="dxa"/>
                  <w:tcBorders>
                    <w:left w:val="single" w:color="auto" w:sz="4" w:space="0"/>
                  </w:tcBorders>
                  <w:shd w:val="clear" w:color="auto" w:fill="auto"/>
                  <w:noWrap w:val="0"/>
                  <w:vAlign w:val="center"/>
                </w:tcPr>
                <w:p w14:paraId="0A0CF98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0.00004</w:t>
                  </w:r>
                </w:p>
              </w:tc>
            </w:tr>
            <w:tr w14:paraId="140BB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dxa"/>
                  <w:shd w:val="clear" w:color="auto" w:fill="auto"/>
                  <w:noWrap w:val="0"/>
                  <w:vAlign w:val="center"/>
                </w:tcPr>
                <w:p w14:paraId="5B174732">
                  <w:pPr>
                    <w:keepNext w:val="0"/>
                    <w:keepLines w:val="0"/>
                    <w:widowControl/>
                    <w:suppressLineNumbers w:val="0"/>
                    <w:jc w:val="center"/>
                    <w:rPr>
                      <w:rFonts w:hint="default"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val="en-US" w:eastAsia="zh-CN" w:bidi="ar-SA"/>
                    </w:rPr>
                    <w:t>2</w:t>
                  </w:r>
                </w:p>
              </w:tc>
              <w:tc>
                <w:tcPr>
                  <w:tcW w:w="1965" w:type="dxa"/>
                  <w:tcBorders>
                    <w:right w:val="single" w:color="auto" w:sz="4" w:space="0"/>
                  </w:tcBorders>
                  <w:shd w:val="clear" w:color="auto" w:fill="auto"/>
                  <w:noWrap w:val="0"/>
                  <w:vAlign w:val="center"/>
                </w:tcPr>
                <w:p w14:paraId="12B0ECE4">
                  <w:pPr>
                    <w:keepNext w:val="0"/>
                    <w:keepLines w:val="0"/>
                    <w:widowControl/>
                    <w:suppressLineNumbers w:val="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冷冻油</w:t>
                  </w:r>
                </w:p>
              </w:tc>
              <w:tc>
                <w:tcPr>
                  <w:tcW w:w="2587" w:type="dxa"/>
                  <w:tcBorders>
                    <w:left w:val="single" w:color="auto" w:sz="4" w:space="0"/>
                  </w:tcBorders>
                  <w:shd w:val="clear" w:color="auto" w:fill="auto"/>
                  <w:noWrap w:val="0"/>
                  <w:vAlign w:val="center"/>
                </w:tcPr>
                <w:p w14:paraId="078FEDEE">
                  <w:pPr>
                    <w:keepNext w:val="0"/>
                    <w:keepLines w:val="0"/>
                    <w:pageBreakBefore w:val="0"/>
                    <w:kinsoku/>
                    <w:wordWrap/>
                    <w:overflowPunct/>
                    <w:topLinePunct w:val="0"/>
                    <w:bidi w:val="0"/>
                    <w:adjustRightInd w:val="0"/>
                    <w:snapToGrid w:val="0"/>
                    <w:ind w:left="0" w:leftChars="0" w:right="0" w:rightChars="0"/>
                    <w:jc w:val="center"/>
                    <w:textAlignment w:val="baseline"/>
                    <w:rPr>
                      <w:rFonts w:hint="default" w:cs="Times New Roman"/>
                      <w:color w:val="auto"/>
                      <w:kern w:val="0"/>
                      <w:highlight w:val="none"/>
                      <w:lang w:val="en-US" w:eastAsia="zh-CN"/>
                    </w:rPr>
                  </w:pPr>
                  <w:r>
                    <w:rPr>
                      <w:rFonts w:hint="eastAsia" w:cs="Times New Roman"/>
                      <w:color w:val="auto"/>
                      <w:kern w:val="0"/>
                      <w:highlight w:val="none"/>
                      <w:lang w:val="en-US" w:eastAsia="zh-CN"/>
                    </w:rPr>
                    <w:t>0.5</w:t>
                  </w:r>
                </w:p>
              </w:tc>
              <w:tc>
                <w:tcPr>
                  <w:tcW w:w="1356" w:type="dxa"/>
                  <w:tcBorders>
                    <w:right w:val="single" w:color="auto" w:sz="4" w:space="0"/>
                  </w:tcBorders>
                  <w:shd w:val="clear" w:color="auto" w:fill="auto"/>
                  <w:noWrap w:val="0"/>
                  <w:vAlign w:val="center"/>
                </w:tcPr>
                <w:p w14:paraId="6784F84D">
                  <w:pPr>
                    <w:keepNext w:val="0"/>
                    <w:keepLines w:val="0"/>
                    <w:pageBreakBefore w:val="0"/>
                    <w:kinsoku/>
                    <w:wordWrap/>
                    <w:overflowPunct/>
                    <w:topLinePunct w:val="0"/>
                    <w:bidi w:val="0"/>
                    <w:adjustRightInd w:val="0"/>
                    <w:snapToGrid w:val="0"/>
                    <w:ind w:left="0" w:leftChars="0" w:right="0" w:rightChars="0"/>
                    <w:jc w:val="center"/>
                    <w:textAlignment w:val="baseline"/>
                    <w:rPr>
                      <w:rFonts w:hint="default" w:ascii="Times New Roman" w:hAnsi="Times New Roman"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2500</w:t>
                  </w:r>
                </w:p>
              </w:tc>
              <w:tc>
                <w:tcPr>
                  <w:tcW w:w="1456" w:type="dxa"/>
                  <w:tcBorders>
                    <w:left w:val="single" w:color="auto" w:sz="4" w:space="0"/>
                  </w:tcBorders>
                  <w:shd w:val="clear" w:color="auto" w:fill="auto"/>
                  <w:noWrap w:val="0"/>
                  <w:vAlign w:val="center"/>
                </w:tcPr>
                <w:p w14:paraId="4F18280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0.0002</w:t>
                  </w:r>
                </w:p>
              </w:tc>
            </w:tr>
            <w:tr w14:paraId="0B0C6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dxa"/>
                  <w:shd w:val="clear" w:color="auto" w:fill="auto"/>
                  <w:noWrap w:val="0"/>
                  <w:vAlign w:val="center"/>
                </w:tcPr>
                <w:p w14:paraId="3C28FB17">
                  <w:pPr>
                    <w:keepNext w:val="0"/>
                    <w:keepLines w:val="0"/>
                    <w:widowControl/>
                    <w:suppressLineNumbers w:val="0"/>
                    <w:jc w:val="center"/>
                    <w:rPr>
                      <w:rFonts w:hint="default"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val="en-US" w:eastAsia="zh-CN" w:bidi="ar-SA"/>
                    </w:rPr>
                    <w:t>3</w:t>
                  </w:r>
                </w:p>
              </w:tc>
              <w:tc>
                <w:tcPr>
                  <w:tcW w:w="1965" w:type="dxa"/>
                  <w:tcBorders>
                    <w:right w:val="single" w:color="auto" w:sz="4" w:space="0"/>
                  </w:tcBorders>
                  <w:shd w:val="clear" w:color="auto" w:fill="auto"/>
                  <w:noWrap w:val="0"/>
                  <w:vAlign w:val="center"/>
                </w:tcPr>
                <w:p w14:paraId="3E6DA5DB">
                  <w:pPr>
                    <w:keepNext w:val="0"/>
                    <w:keepLines w:val="0"/>
                    <w:widowControl/>
                    <w:suppressLineNumbers w:val="0"/>
                    <w:jc w:val="center"/>
                    <w:rPr>
                      <w:rFonts w:hint="eastAsia" w:cs="Times New Roman"/>
                      <w:color w:val="auto"/>
                      <w:kern w:val="0"/>
                      <w:sz w:val="21"/>
                      <w:szCs w:val="21"/>
                      <w:highlight w:val="none"/>
                      <w:lang w:val="en-US" w:eastAsia="zh-CN" w:bidi="ar-SA"/>
                    </w:rPr>
                  </w:pPr>
                  <w:r>
                    <w:rPr>
                      <w:rFonts w:ascii="Times New Roman" w:hAnsi="Times New Roman"/>
                      <w:color w:val="auto"/>
                      <w:sz w:val="21"/>
                      <w:szCs w:val="21"/>
                      <w:highlight w:val="none"/>
                    </w:rPr>
                    <w:t>碱性剂（2%的NaOH）</w:t>
                  </w:r>
                </w:p>
              </w:tc>
              <w:tc>
                <w:tcPr>
                  <w:tcW w:w="2587" w:type="dxa"/>
                  <w:tcBorders>
                    <w:left w:val="single" w:color="auto" w:sz="4" w:space="0"/>
                  </w:tcBorders>
                  <w:shd w:val="clear" w:color="auto" w:fill="auto"/>
                  <w:noWrap w:val="0"/>
                  <w:vAlign w:val="center"/>
                </w:tcPr>
                <w:p w14:paraId="419FCD98">
                  <w:pPr>
                    <w:keepNext w:val="0"/>
                    <w:keepLines w:val="0"/>
                    <w:pageBreakBefore w:val="0"/>
                    <w:kinsoku/>
                    <w:wordWrap/>
                    <w:overflowPunct/>
                    <w:topLinePunct w:val="0"/>
                    <w:bidi w:val="0"/>
                    <w:adjustRightInd w:val="0"/>
                    <w:snapToGrid w:val="0"/>
                    <w:ind w:left="0" w:leftChars="0" w:right="0" w:rightChars="0"/>
                    <w:jc w:val="center"/>
                    <w:textAlignment w:val="baseline"/>
                    <w:rPr>
                      <w:rFonts w:hint="default" w:cs="Times New Roman"/>
                      <w:color w:val="auto"/>
                      <w:kern w:val="0"/>
                      <w:highlight w:val="none"/>
                      <w:lang w:val="en-US" w:eastAsia="zh-CN"/>
                    </w:rPr>
                  </w:pPr>
                  <w:r>
                    <w:rPr>
                      <w:rFonts w:hint="eastAsia" w:cs="Times New Roman"/>
                      <w:color w:val="auto"/>
                      <w:kern w:val="0"/>
                      <w:highlight w:val="none"/>
                      <w:lang w:val="en-US" w:eastAsia="zh-CN"/>
                    </w:rPr>
                    <w:t>0.01（为折纯后最大储存量）</w:t>
                  </w:r>
                </w:p>
              </w:tc>
              <w:tc>
                <w:tcPr>
                  <w:tcW w:w="1356" w:type="dxa"/>
                  <w:tcBorders>
                    <w:right w:val="single" w:color="auto" w:sz="4" w:space="0"/>
                  </w:tcBorders>
                  <w:shd w:val="clear" w:color="auto" w:fill="auto"/>
                  <w:noWrap w:val="0"/>
                  <w:vAlign w:val="center"/>
                </w:tcPr>
                <w:p w14:paraId="7F873750">
                  <w:pPr>
                    <w:keepNext w:val="0"/>
                    <w:keepLines w:val="0"/>
                    <w:pageBreakBefore w:val="0"/>
                    <w:kinsoku/>
                    <w:wordWrap/>
                    <w:overflowPunct/>
                    <w:topLinePunct w:val="0"/>
                    <w:bidi w:val="0"/>
                    <w:adjustRightInd w:val="0"/>
                    <w:snapToGrid w:val="0"/>
                    <w:ind w:left="0" w:leftChars="0" w:right="0" w:rightChars="0"/>
                    <w:jc w:val="center"/>
                    <w:textAlignment w:val="baseline"/>
                    <w:rPr>
                      <w:rFonts w:hint="default" w:ascii="Times New Roman" w:hAnsi="Times New Roman"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50</w:t>
                  </w:r>
                </w:p>
              </w:tc>
              <w:tc>
                <w:tcPr>
                  <w:tcW w:w="1456" w:type="dxa"/>
                  <w:tcBorders>
                    <w:left w:val="single" w:color="auto" w:sz="4" w:space="0"/>
                  </w:tcBorders>
                  <w:shd w:val="clear" w:color="auto" w:fill="auto"/>
                  <w:noWrap w:val="0"/>
                  <w:vAlign w:val="center"/>
                </w:tcPr>
                <w:p w14:paraId="5E0A781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0.0002</w:t>
                  </w:r>
                </w:p>
              </w:tc>
            </w:tr>
            <w:tr w14:paraId="6612B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dxa"/>
                  <w:shd w:val="clear" w:color="auto" w:fill="auto"/>
                  <w:noWrap w:val="0"/>
                  <w:vAlign w:val="center"/>
                </w:tcPr>
                <w:p w14:paraId="3CBB274F">
                  <w:pPr>
                    <w:keepNext w:val="0"/>
                    <w:keepLines w:val="0"/>
                    <w:widowControl/>
                    <w:suppressLineNumbers w:val="0"/>
                    <w:jc w:val="center"/>
                    <w:rPr>
                      <w:rFonts w:hint="default"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val="en-US" w:eastAsia="zh-CN" w:bidi="ar-SA"/>
                    </w:rPr>
                    <w:t>4</w:t>
                  </w:r>
                </w:p>
              </w:tc>
              <w:tc>
                <w:tcPr>
                  <w:tcW w:w="1965" w:type="dxa"/>
                  <w:tcBorders>
                    <w:right w:val="single" w:color="auto" w:sz="4" w:space="0"/>
                  </w:tcBorders>
                  <w:shd w:val="clear" w:color="auto" w:fill="auto"/>
                  <w:noWrap w:val="0"/>
                  <w:vAlign w:val="center"/>
                </w:tcPr>
                <w:p w14:paraId="594BA2DB">
                  <w:pPr>
                    <w:keepNext w:val="0"/>
                    <w:keepLines w:val="0"/>
                    <w:widowControl/>
                    <w:suppressLineNumbers w:val="0"/>
                    <w:jc w:val="center"/>
                    <w:rPr>
                      <w:rFonts w:hint="eastAsia" w:cs="Times New Roman"/>
                      <w:color w:val="auto"/>
                      <w:kern w:val="0"/>
                      <w:sz w:val="21"/>
                      <w:szCs w:val="21"/>
                      <w:highlight w:val="none"/>
                      <w:lang w:val="en-US" w:eastAsia="zh-CN" w:bidi="ar-SA"/>
                    </w:rPr>
                  </w:pPr>
                  <w:r>
                    <w:rPr>
                      <w:rFonts w:ascii="Times New Roman" w:hAnsi="Times New Roman"/>
                      <w:color w:val="auto"/>
                      <w:sz w:val="21"/>
                      <w:szCs w:val="21"/>
                      <w:highlight w:val="none"/>
                    </w:rPr>
                    <w:t>酸性剂清洗液（1%~2%的硝酸溶液</w:t>
                  </w:r>
                  <w:r>
                    <w:rPr>
                      <w:rFonts w:hint="eastAsia"/>
                      <w:color w:val="auto"/>
                      <w:sz w:val="21"/>
                      <w:szCs w:val="21"/>
                      <w:highlight w:val="none"/>
                      <w:lang w:eastAsia="zh-CN"/>
                    </w:rPr>
                    <w:t>）</w:t>
                  </w:r>
                </w:p>
              </w:tc>
              <w:tc>
                <w:tcPr>
                  <w:tcW w:w="2587" w:type="dxa"/>
                  <w:tcBorders>
                    <w:left w:val="single" w:color="auto" w:sz="4" w:space="0"/>
                  </w:tcBorders>
                  <w:shd w:val="clear" w:color="auto" w:fill="auto"/>
                  <w:noWrap w:val="0"/>
                  <w:vAlign w:val="center"/>
                </w:tcPr>
                <w:p w14:paraId="1975A03B">
                  <w:pPr>
                    <w:keepNext w:val="0"/>
                    <w:keepLines w:val="0"/>
                    <w:pageBreakBefore w:val="0"/>
                    <w:kinsoku/>
                    <w:wordWrap/>
                    <w:overflowPunct/>
                    <w:topLinePunct w:val="0"/>
                    <w:bidi w:val="0"/>
                    <w:adjustRightInd w:val="0"/>
                    <w:snapToGrid w:val="0"/>
                    <w:ind w:left="0" w:leftChars="0" w:right="0" w:rightChars="0"/>
                    <w:jc w:val="center"/>
                    <w:textAlignment w:val="baseline"/>
                    <w:rPr>
                      <w:rFonts w:hint="default" w:cs="Times New Roman"/>
                      <w:color w:val="auto"/>
                      <w:kern w:val="0"/>
                      <w:highlight w:val="none"/>
                      <w:lang w:val="en-US" w:eastAsia="zh-CN"/>
                    </w:rPr>
                  </w:pPr>
                  <w:r>
                    <w:rPr>
                      <w:rFonts w:hint="eastAsia" w:cs="Times New Roman"/>
                      <w:color w:val="auto"/>
                      <w:kern w:val="0"/>
                      <w:highlight w:val="none"/>
                      <w:lang w:val="en-US" w:eastAsia="zh-CN"/>
                    </w:rPr>
                    <w:t>0.0115（为折纯后最大储存量）</w:t>
                  </w:r>
                </w:p>
              </w:tc>
              <w:tc>
                <w:tcPr>
                  <w:tcW w:w="1356" w:type="dxa"/>
                  <w:tcBorders>
                    <w:right w:val="single" w:color="auto" w:sz="4" w:space="0"/>
                  </w:tcBorders>
                  <w:shd w:val="clear" w:color="auto" w:fill="auto"/>
                  <w:noWrap w:val="0"/>
                  <w:vAlign w:val="center"/>
                </w:tcPr>
                <w:p w14:paraId="778BB6C4">
                  <w:pPr>
                    <w:keepNext w:val="0"/>
                    <w:keepLines w:val="0"/>
                    <w:pageBreakBefore w:val="0"/>
                    <w:kinsoku/>
                    <w:wordWrap/>
                    <w:overflowPunct/>
                    <w:topLinePunct w:val="0"/>
                    <w:bidi w:val="0"/>
                    <w:adjustRightInd w:val="0"/>
                    <w:snapToGrid w:val="0"/>
                    <w:ind w:left="0" w:leftChars="0" w:right="0" w:rightChars="0"/>
                    <w:jc w:val="center"/>
                    <w:textAlignment w:val="baseline"/>
                    <w:rPr>
                      <w:rFonts w:hint="default" w:ascii="Times New Roman" w:hAnsi="Times New Roman"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7.5</w:t>
                  </w:r>
                </w:p>
              </w:tc>
              <w:tc>
                <w:tcPr>
                  <w:tcW w:w="1456" w:type="dxa"/>
                  <w:tcBorders>
                    <w:left w:val="single" w:color="auto" w:sz="4" w:space="0"/>
                  </w:tcBorders>
                  <w:shd w:val="clear" w:color="auto" w:fill="auto"/>
                  <w:noWrap w:val="0"/>
                  <w:vAlign w:val="center"/>
                </w:tcPr>
                <w:p w14:paraId="0A35182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0.00153 </w:t>
                  </w:r>
                </w:p>
              </w:tc>
            </w:tr>
            <w:tr w14:paraId="62E5D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80" w:type="dxa"/>
                  <w:gridSpan w:val="2"/>
                  <w:tcBorders>
                    <w:right w:val="single" w:color="auto" w:sz="4" w:space="0"/>
                  </w:tcBorders>
                  <w:noWrap w:val="0"/>
                  <w:vAlign w:val="center"/>
                </w:tcPr>
                <w:p w14:paraId="60F4B409">
                  <w:pPr>
                    <w:keepNext w:val="0"/>
                    <w:keepLines w:val="0"/>
                    <w:pageBreakBefore w:val="0"/>
                    <w:kinsoku/>
                    <w:wordWrap/>
                    <w:overflowPunct/>
                    <w:topLinePunct w:val="0"/>
                    <w:bidi w:val="0"/>
                    <w:adjustRightInd w:val="0"/>
                    <w:snapToGrid w:val="0"/>
                    <w:ind w:left="0" w:leftChars="0" w:right="0"/>
                    <w:jc w:val="center"/>
                    <w:textAlignment w:val="baseline"/>
                    <w:rPr>
                      <w:rFonts w:hint="default" w:ascii="Times New Roman" w:hAnsi="Times New Roman" w:cs="Times New Roman"/>
                      <w:color w:val="auto"/>
                      <w:kern w:val="0"/>
                      <w:lang w:val="zh-CN"/>
                    </w:rPr>
                  </w:pPr>
                  <w:r>
                    <w:rPr>
                      <w:rFonts w:hint="default" w:ascii="Times New Roman" w:hAnsi="Times New Roman" w:cs="Times New Roman"/>
                      <w:color w:val="auto"/>
                      <w:kern w:val="0"/>
                      <w:lang w:val="zh-CN"/>
                    </w:rPr>
                    <w:t>合计</w:t>
                  </w:r>
                </w:p>
              </w:tc>
              <w:tc>
                <w:tcPr>
                  <w:tcW w:w="3943" w:type="dxa"/>
                  <w:gridSpan w:val="2"/>
                  <w:tcBorders>
                    <w:left w:val="single" w:color="auto" w:sz="4" w:space="0"/>
                    <w:right w:val="single" w:color="auto" w:sz="4" w:space="0"/>
                  </w:tcBorders>
                  <w:noWrap w:val="0"/>
                  <w:vAlign w:val="center"/>
                </w:tcPr>
                <w:p w14:paraId="72D4B26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w:t>
                  </w:r>
                </w:p>
              </w:tc>
              <w:tc>
                <w:tcPr>
                  <w:tcW w:w="1456" w:type="dxa"/>
                  <w:tcBorders>
                    <w:left w:val="single" w:color="auto" w:sz="4" w:space="0"/>
                  </w:tcBorders>
                  <w:noWrap w:val="0"/>
                  <w:vAlign w:val="center"/>
                </w:tcPr>
                <w:p w14:paraId="3864BF69">
                  <w:pPr>
                    <w:keepNext w:val="0"/>
                    <w:keepLines w:val="0"/>
                    <w:pageBreakBefore w:val="0"/>
                    <w:kinsoku/>
                    <w:wordWrap/>
                    <w:overflowPunct/>
                    <w:topLinePunct w:val="0"/>
                    <w:bidi w:val="0"/>
                    <w:adjustRightInd w:val="0"/>
                    <w:snapToGrid w:val="0"/>
                    <w:ind w:left="0" w:leftChars="0" w:right="0"/>
                    <w:jc w:val="center"/>
                    <w:textAlignment w:val="baseline"/>
                    <w:rPr>
                      <w:rFonts w:hint="default" w:ascii="Times New Roman" w:hAnsi="Times New Roman" w:cs="Times New Roman"/>
                      <w:color w:val="auto"/>
                      <w:kern w:val="0"/>
                      <w:highlight w:val="none"/>
                      <w:lang w:val="zh-CN"/>
                    </w:rPr>
                  </w:pPr>
                  <w:r>
                    <w:rPr>
                      <w:rFonts w:hint="eastAsia" w:cs="Times New Roman"/>
                      <w:i w:val="0"/>
                      <w:iCs w:val="0"/>
                      <w:color w:val="auto"/>
                      <w:kern w:val="0"/>
                      <w:sz w:val="21"/>
                      <w:szCs w:val="21"/>
                      <w:highlight w:val="none"/>
                      <w:u w:val="none"/>
                      <w:lang w:val="en-US" w:eastAsia="zh-CN" w:bidi="ar"/>
                    </w:rPr>
                    <w:t>0.00197</w:t>
                  </w:r>
                  <w:r>
                    <w:rPr>
                      <w:rFonts w:hint="default" w:ascii="Times New Roman" w:hAnsi="Times New Roman" w:cs="Times New Roman"/>
                      <w:color w:val="auto"/>
                      <w:kern w:val="0"/>
                      <w:highlight w:val="none"/>
                      <w:lang w:val="zh-CN"/>
                    </w:rPr>
                    <w:t>＜1</w:t>
                  </w:r>
                </w:p>
              </w:tc>
            </w:tr>
            <w:tr w14:paraId="48F2D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80" w:type="dxa"/>
                  <w:gridSpan w:val="2"/>
                  <w:tcBorders>
                    <w:right w:val="single" w:color="auto" w:sz="4" w:space="0"/>
                  </w:tcBorders>
                  <w:noWrap w:val="0"/>
                  <w:vAlign w:val="center"/>
                </w:tcPr>
                <w:p w14:paraId="19C2F75D">
                  <w:pPr>
                    <w:keepNext w:val="0"/>
                    <w:keepLines w:val="0"/>
                    <w:pageBreakBefore w:val="0"/>
                    <w:kinsoku/>
                    <w:wordWrap/>
                    <w:overflowPunct/>
                    <w:topLinePunct w:val="0"/>
                    <w:bidi w:val="0"/>
                    <w:adjustRightInd w:val="0"/>
                    <w:snapToGrid w:val="0"/>
                    <w:ind w:left="0" w:leftChars="0" w:right="0"/>
                    <w:jc w:val="center"/>
                    <w:textAlignment w:val="baseline"/>
                    <w:rPr>
                      <w:rFonts w:hint="default" w:ascii="Times New Roman" w:hAnsi="Times New Roman" w:cs="Times New Roman"/>
                      <w:color w:val="auto"/>
                      <w:kern w:val="0"/>
                      <w:lang w:val="zh-CN"/>
                    </w:rPr>
                  </w:pPr>
                  <w:r>
                    <w:rPr>
                      <w:rFonts w:hint="default" w:ascii="Times New Roman" w:hAnsi="Times New Roman" w:cs="Times New Roman"/>
                      <w:color w:val="auto"/>
                      <w:kern w:val="0"/>
                      <w:lang w:val="zh-CN"/>
                    </w:rPr>
                    <w:t>环境风险潜势</w:t>
                  </w:r>
                </w:p>
              </w:tc>
              <w:tc>
                <w:tcPr>
                  <w:tcW w:w="5399" w:type="dxa"/>
                  <w:gridSpan w:val="3"/>
                  <w:tcBorders>
                    <w:left w:val="single" w:color="auto" w:sz="4" w:space="0"/>
                  </w:tcBorders>
                  <w:noWrap w:val="0"/>
                  <w:vAlign w:val="center"/>
                </w:tcPr>
                <w:p w14:paraId="7267A037">
                  <w:pPr>
                    <w:keepNext w:val="0"/>
                    <w:keepLines w:val="0"/>
                    <w:pageBreakBefore w:val="0"/>
                    <w:kinsoku/>
                    <w:wordWrap/>
                    <w:overflowPunct/>
                    <w:topLinePunct w:val="0"/>
                    <w:bidi w:val="0"/>
                    <w:adjustRightInd w:val="0"/>
                    <w:snapToGrid w:val="0"/>
                    <w:ind w:left="0" w:leftChars="0" w:right="0"/>
                    <w:jc w:val="center"/>
                    <w:textAlignment w:val="baseline"/>
                    <w:rPr>
                      <w:rFonts w:hint="default" w:ascii="Times New Roman" w:hAnsi="Times New Roman" w:cs="Times New Roman"/>
                      <w:b/>
                      <w:color w:val="auto"/>
                      <w:szCs w:val="21"/>
                    </w:rPr>
                  </w:pPr>
                  <w:r>
                    <w:rPr>
                      <w:rFonts w:hint="default" w:ascii="Times New Roman" w:hAnsi="Times New Roman" w:cs="Times New Roman"/>
                      <w:b/>
                      <w:color w:val="auto"/>
                      <w:szCs w:val="21"/>
                    </w:rPr>
                    <w:t>Ⅰ</w:t>
                  </w:r>
                </w:p>
              </w:tc>
            </w:tr>
          </w:tbl>
          <w:p w14:paraId="4F132520">
            <w:pPr>
              <w:pStyle w:val="11"/>
              <w:keepNext w:val="0"/>
              <w:keepLines w:val="0"/>
              <w:pageBreakBefore w:val="0"/>
              <w:kinsoku/>
              <w:wordWrap/>
              <w:overflowPunct/>
              <w:topLinePunct w:val="0"/>
              <w:bidi w:val="0"/>
              <w:spacing w:line="360" w:lineRule="auto"/>
              <w:ind w:left="0" w:leftChars="0" w:right="0"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cs="Times New Roman"/>
                <w:color w:val="auto"/>
                <w:sz w:val="24"/>
                <w:lang w:val="en-US" w:eastAsia="zh-CN"/>
              </w:rPr>
              <w:t>根据上表，</w:t>
            </w:r>
            <w:r>
              <w:rPr>
                <w:rFonts w:hint="default" w:ascii="Times New Roman" w:hAnsi="Times New Roman" w:eastAsia="宋体" w:cs="Times New Roman"/>
                <w:color w:val="auto"/>
                <w:sz w:val="24"/>
                <w:szCs w:val="24"/>
              </w:rPr>
              <w:t>项目环境风险进行简单分析，</w:t>
            </w:r>
            <w:r>
              <w:rPr>
                <w:rFonts w:hint="eastAsia" w:ascii="Times New Roman" w:hAnsi="Times New Roman" w:cs="Times New Roman"/>
                <w:color w:val="auto"/>
                <w:sz w:val="24"/>
                <w:szCs w:val="24"/>
                <w:lang w:val="en-US" w:eastAsia="zh-CN"/>
              </w:rPr>
              <w:t>本次环评</w:t>
            </w:r>
            <w:r>
              <w:rPr>
                <w:rFonts w:hint="default" w:ascii="Times New Roman" w:hAnsi="Times New Roman" w:eastAsia="宋体" w:cs="Times New Roman"/>
                <w:color w:val="auto"/>
                <w:sz w:val="24"/>
                <w:szCs w:val="24"/>
              </w:rPr>
              <w:t>根据《建设项目环境风险评价技术导则》（HJ169-2018）附录A简单分析基本内容进行</w:t>
            </w:r>
            <w:r>
              <w:rPr>
                <w:rFonts w:hint="eastAsia" w:ascii="Times New Roman" w:hAnsi="Times New Roman" w:eastAsia="宋体" w:cs="Times New Roman"/>
                <w:color w:val="auto"/>
                <w:sz w:val="24"/>
                <w:szCs w:val="24"/>
                <w:lang w:val="en-US" w:eastAsia="zh-CN"/>
              </w:rPr>
              <w:t>分析</w:t>
            </w:r>
            <w:r>
              <w:rPr>
                <w:rFonts w:hint="default" w:ascii="Times New Roman" w:hAnsi="Times New Roman" w:eastAsia="宋体" w:cs="Times New Roman"/>
                <w:color w:val="auto"/>
                <w:sz w:val="24"/>
                <w:szCs w:val="24"/>
              </w:rPr>
              <w:t>。</w:t>
            </w:r>
          </w:p>
          <w:p w14:paraId="2390E242">
            <w:pPr>
              <w:keepNext w:val="0"/>
              <w:keepLines w:val="0"/>
              <w:pageBreakBefore w:val="0"/>
              <w:kinsoku/>
              <w:wordWrap/>
              <w:overflowPunct/>
              <w:topLinePunct w:val="0"/>
              <w:bidi w:val="0"/>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4-</w:t>
            </w:r>
            <w:r>
              <w:rPr>
                <w:rFonts w:hint="eastAsia" w:ascii="Times New Roman" w:hAnsi="Times New Roman"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建</w:t>
            </w:r>
            <w:r>
              <w:rPr>
                <w:rFonts w:hint="default" w:ascii="Times New Roman" w:hAnsi="Times New Roman" w:cs="Times New Roman"/>
                <w:b/>
                <w:bCs/>
                <w:color w:val="auto"/>
                <w:sz w:val="21"/>
                <w:szCs w:val="21"/>
              </w:rPr>
              <w:t>设项目环境风险简单分析内容表</w:t>
            </w:r>
          </w:p>
          <w:tbl>
            <w:tblPr>
              <w:tblStyle w:val="22"/>
              <w:tblW w:w="79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77"/>
              <w:gridCol w:w="915"/>
              <w:gridCol w:w="1957"/>
              <w:gridCol w:w="1228"/>
              <w:gridCol w:w="2160"/>
            </w:tblGrid>
            <w:tr w14:paraId="63037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jc w:val="center"/>
              </w:trPr>
              <w:tc>
                <w:tcPr>
                  <w:tcW w:w="1677" w:type="dxa"/>
                  <w:noWrap w:val="0"/>
                  <w:vAlign w:val="center"/>
                </w:tcPr>
                <w:p w14:paraId="4E6FCB7A">
                  <w:pPr>
                    <w:keepNext w:val="0"/>
                    <w:keepLines w:val="0"/>
                    <w:pageBreakBefore w:val="0"/>
                    <w:widowControl/>
                    <w:kinsoku/>
                    <w:wordWrap/>
                    <w:overflowPunct/>
                    <w:topLinePunct w:val="0"/>
                    <w:autoSpaceDE/>
                    <w:autoSpaceDN/>
                    <w:bidi w:val="0"/>
                    <w:ind w:left="0" w:leftChars="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建设项目名称</w:t>
                  </w:r>
                </w:p>
              </w:tc>
              <w:tc>
                <w:tcPr>
                  <w:tcW w:w="6260" w:type="dxa"/>
                  <w:gridSpan w:val="4"/>
                  <w:noWrap w:val="0"/>
                  <w:vAlign w:val="center"/>
                </w:tcPr>
                <w:p w14:paraId="3C172AEE">
                  <w:pPr>
                    <w:keepNext w:val="0"/>
                    <w:keepLines w:val="0"/>
                    <w:pageBreakBefore w:val="0"/>
                    <w:widowControl/>
                    <w:kinsoku/>
                    <w:wordWrap/>
                    <w:overflowPunct/>
                    <w:topLinePunct w:val="0"/>
                    <w:autoSpaceDE/>
                    <w:autoSpaceDN/>
                    <w:bidi w:val="0"/>
                    <w:ind w:left="0" w:leftChars="0" w:right="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eastAsia="宋体" w:cs="Times New Roman"/>
                      <w:color w:val="auto"/>
                      <w:sz w:val="21"/>
                      <w:szCs w:val="21"/>
                      <w:highlight w:val="none"/>
                      <w:lang w:eastAsia="zh-CN"/>
                    </w:rPr>
                    <w:t>速冻果蔬食品技改项目</w:t>
                  </w:r>
                </w:p>
              </w:tc>
            </w:tr>
            <w:tr w14:paraId="5AB6E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77" w:type="dxa"/>
                  <w:noWrap w:val="0"/>
                  <w:vAlign w:val="center"/>
                </w:tcPr>
                <w:p w14:paraId="745DC9B1">
                  <w:pPr>
                    <w:keepNext w:val="0"/>
                    <w:keepLines w:val="0"/>
                    <w:pageBreakBefore w:val="0"/>
                    <w:widowControl/>
                    <w:kinsoku/>
                    <w:wordWrap/>
                    <w:overflowPunct/>
                    <w:topLinePunct w:val="0"/>
                    <w:autoSpaceDE/>
                    <w:autoSpaceDN/>
                    <w:bidi w:val="0"/>
                    <w:ind w:left="0" w:leftChars="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建设地点</w:t>
                  </w:r>
                </w:p>
              </w:tc>
              <w:tc>
                <w:tcPr>
                  <w:tcW w:w="6260" w:type="dxa"/>
                  <w:gridSpan w:val="4"/>
                  <w:noWrap w:val="0"/>
                  <w:vAlign w:val="center"/>
                </w:tcPr>
                <w:p w14:paraId="434CEB5A">
                  <w:pPr>
                    <w:keepNext w:val="0"/>
                    <w:keepLines w:val="0"/>
                    <w:pageBreakBefore w:val="0"/>
                    <w:widowControl/>
                    <w:kinsoku/>
                    <w:wordWrap/>
                    <w:overflowPunct/>
                    <w:topLinePunct w:val="0"/>
                    <w:autoSpaceDE/>
                    <w:autoSpaceDN/>
                    <w:bidi w:val="0"/>
                    <w:ind w:left="0" w:leftChars="0" w:right="0" w:firstLine="0" w:firstLineChars="0"/>
                    <w:jc w:val="center"/>
                    <w:textAlignment w:val="auto"/>
                    <w:rPr>
                      <w:rFonts w:hint="default" w:ascii="Times New Roman" w:hAnsi="Times New Roman" w:cs="Times New Roman"/>
                      <w:color w:val="auto"/>
                      <w:sz w:val="21"/>
                      <w:szCs w:val="21"/>
                    </w:rPr>
                  </w:pPr>
                  <w:r>
                    <w:rPr>
                      <w:rFonts w:hint="eastAsia" w:cs="Times New Roman"/>
                      <w:color w:val="auto"/>
                      <w:kern w:val="0"/>
                      <w:sz w:val="21"/>
                      <w:szCs w:val="21"/>
                      <w:highlight w:val="none"/>
                      <w:lang w:val="en-US" w:eastAsia="zh-CN"/>
                    </w:rPr>
                    <w:t>云南省玉溪市元江县甘庄街道工业园区干坝片区3号厂房</w:t>
                  </w:r>
                </w:p>
              </w:tc>
            </w:tr>
            <w:tr w14:paraId="1CA87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77" w:type="dxa"/>
                  <w:noWrap w:val="0"/>
                  <w:vAlign w:val="center"/>
                </w:tcPr>
                <w:p w14:paraId="7F2932CA">
                  <w:pPr>
                    <w:keepNext w:val="0"/>
                    <w:keepLines w:val="0"/>
                    <w:pageBreakBefore w:val="0"/>
                    <w:widowControl/>
                    <w:kinsoku/>
                    <w:wordWrap/>
                    <w:overflowPunct/>
                    <w:topLinePunct w:val="0"/>
                    <w:autoSpaceDE/>
                    <w:autoSpaceDN/>
                    <w:bidi w:val="0"/>
                    <w:ind w:left="0" w:leftChars="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地理坐标</w:t>
                  </w:r>
                </w:p>
              </w:tc>
              <w:tc>
                <w:tcPr>
                  <w:tcW w:w="915" w:type="dxa"/>
                  <w:noWrap w:val="0"/>
                  <w:vAlign w:val="center"/>
                </w:tcPr>
                <w:p w14:paraId="402FDAA5">
                  <w:pPr>
                    <w:keepNext w:val="0"/>
                    <w:keepLines w:val="0"/>
                    <w:pageBreakBefore w:val="0"/>
                    <w:widowControl/>
                    <w:kinsoku/>
                    <w:wordWrap/>
                    <w:overflowPunct/>
                    <w:topLinePunct w:val="0"/>
                    <w:autoSpaceDE/>
                    <w:autoSpaceDN/>
                    <w:bidi w:val="0"/>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经度</w:t>
                  </w:r>
                </w:p>
              </w:tc>
              <w:tc>
                <w:tcPr>
                  <w:tcW w:w="1957" w:type="dxa"/>
                  <w:noWrap w:val="0"/>
                  <w:vAlign w:val="center"/>
                </w:tcPr>
                <w:p w14:paraId="1DE59C3F">
                  <w:pPr>
                    <w:keepNext w:val="0"/>
                    <w:keepLines w:val="0"/>
                    <w:pageBreakBefore w:val="0"/>
                    <w:widowControl/>
                    <w:kinsoku/>
                    <w:wordWrap/>
                    <w:overflowPunct/>
                    <w:topLinePunct w:val="0"/>
                    <w:autoSpaceDE/>
                    <w:autoSpaceDN/>
                    <w:bidi w:val="0"/>
                    <w:ind w:left="0" w:leftChars="0" w:right="0" w:firstLine="0" w:firstLineChars="0"/>
                    <w:jc w:val="center"/>
                    <w:textAlignment w:val="auto"/>
                    <w:rPr>
                      <w:rFonts w:hint="default" w:ascii="Times New Roman" w:hAnsi="Times New Roman" w:cs="Times New Roman"/>
                      <w:color w:val="auto"/>
                      <w:sz w:val="21"/>
                      <w:szCs w:val="21"/>
                      <w:lang w:val="en-US"/>
                    </w:rPr>
                  </w:pPr>
                  <w:r>
                    <w:rPr>
                      <w:rFonts w:hint="eastAsia" w:ascii="Times New Roman" w:hAnsi="Times New Roman" w:eastAsia="宋体" w:cs="Times New Roman"/>
                      <w:i w:val="0"/>
                      <w:iCs w:val="0"/>
                      <w:caps w:val="0"/>
                      <w:color w:val="auto"/>
                      <w:spacing w:val="0"/>
                      <w:sz w:val="21"/>
                      <w:szCs w:val="21"/>
                      <w:lang w:val="en-US" w:eastAsia="zh-CN"/>
                    </w:rPr>
                    <w:t>101</w:t>
                  </w:r>
                  <w:r>
                    <w:rPr>
                      <w:rFonts w:hint="default" w:ascii="Times New Roman" w:hAnsi="Times New Roman" w:eastAsia="宋体" w:cs="Times New Roman"/>
                      <w:i w:val="0"/>
                      <w:iCs w:val="0"/>
                      <w:caps w:val="0"/>
                      <w:color w:val="auto"/>
                      <w:spacing w:val="0"/>
                      <w:sz w:val="21"/>
                      <w:szCs w:val="21"/>
                      <w:lang w:val="en-US" w:eastAsia="zh-CN"/>
                    </w:rPr>
                    <w:t>°5</w:t>
                  </w:r>
                  <w:r>
                    <w:rPr>
                      <w:rFonts w:hint="eastAsia" w:ascii="Times New Roman" w:hAnsi="Times New Roman" w:eastAsia="宋体" w:cs="Times New Roman"/>
                      <w:i w:val="0"/>
                      <w:iCs w:val="0"/>
                      <w:caps w:val="0"/>
                      <w:color w:val="auto"/>
                      <w:spacing w:val="0"/>
                      <w:sz w:val="21"/>
                      <w:szCs w:val="21"/>
                      <w:lang w:val="en-US" w:eastAsia="zh-CN"/>
                    </w:rPr>
                    <w:t>7</w:t>
                  </w:r>
                  <w:r>
                    <w:rPr>
                      <w:rFonts w:hint="default" w:ascii="Times New Roman" w:hAnsi="Times New Roman" w:eastAsia="宋体" w:cs="Times New Roman"/>
                      <w:i w:val="0"/>
                      <w:iCs w:val="0"/>
                      <w:caps w:val="0"/>
                      <w:color w:val="auto"/>
                      <w:spacing w:val="0"/>
                      <w:sz w:val="21"/>
                      <w:szCs w:val="21"/>
                      <w:lang w:val="en-US" w:eastAsia="zh-CN"/>
                    </w:rPr>
                    <w:t>′</w:t>
                  </w:r>
                  <w:r>
                    <w:rPr>
                      <w:rFonts w:hint="eastAsia" w:ascii="Times New Roman" w:hAnsi="Times New Roman" w:cs="Times New Roman"/>
                      <w:color w:val="auto"/>
                      <w:sz w:val="21"/>
                      <w:szCs w:val="21"/>
                      <w:highlight w:val="none"/>
                      <w:u w:val="none"/>
                      <w:lang w:val="en-US" w:eastAsia="zh-CN"/>
                    </w:rPr>
                    <w:t>41.261</w:t>
                  </w:r>
                  <w:r>
                    <w:rPr>
                      <w:rFonts w:hint="default" w:ascii="Times New Roman" w:hAnsi="Times New Roman" w:eastAsia="宋体" w:cs="Times New Roman"/>
                      <w:i w:val="0"/>
                      <w:iCs w:val="0"/>
                      <w:caps w:val="0"/>
                      <w:color w:val="auto"/>
                      <w:spacing w:val="0"/>
                      <w:sz w:val="21"/>
                      <w:szCs w:val="21"/>
                      <w:u w:val="none"/>
                      <w:lang w:val="en-US" w:eastAsia="zh-CN"/>
                    </w:rPr>
                    <w:t>″</w:t>
                  </w:r>
                  <w:r>
                    <w:rPr>
                      <w:rFonts w:hint="eastAsia" w:eastAsia="宋体" w:cs="Times New Roman"/>
                      <w:i w:val="0"/>
                      <w:iCs w:val="0"/>
                      <w:caps w:val="0"/>
                      <w:color w:val="auto"/>
                      <w:spacing w:val="0"/>
                      <w:sz w:val="21"/>
                      <w:szCs w:val="21"/>
                      <w:lang w:val="en-US" w:eastAsia="zh-CN"/>
                    </w:rPr>
                    <w:t>E</w:t>
                  </w:r>
                </w:p>
              </w:tc>
              <w:tc>
                <w:tcPr>
                  <w:tcW w:w="1228" w:type="dxa"/>
                  <w:noWrap w:val="0"/>
                  <w:vAlign w:val="center"/>
                </w:tcPr>
                <w:p w14:paraId="6B04CA74">
                  <w:pPr>
                    <w:keepNext w:val="0"/>
                    <w:keepLines w:val="0"/>
                    <w:pageBreakBefore w:val="0"/>
                    <w:widowControl/>
                    <w:kinsoku/>
                    <w:wordWrap/>
                    <w:overflowPunct/>
                    <w:topLinePunct w:val="0"/>
                    <w:autoSpaceDE/>
                    <w:autoSpaceDN/>
                    <w:bidi w:val="0"/>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纬度</w:t>
                  </w:r>
                </w:p>
              </w:tc>
              <w:tc>
                <w:tcPr>
                  <w:tcW w:w="2160" w:type="dxa"/>
                  <w:noWrap w:val="0"/>
                  <w:vAlign w:val="center"/>
                </w:tcPr>
                <w:p w14:paraId="4C9E2564">
                  <w:pPr>
                    <w:keepNext w:val="0"/>
                    <w:keepLines w:val="0"/>
                    <w:pageBreakBefore w:val="0"/>
                    <w:widowControl/>
                    <w:kinsoku/>
                    <w:wordWrap/>
                    <w:overflowPunct/>
                    <w:topLinePunct w:val="0"/>
                    <w:autoSpaceDE/>
                    <w:autoSpaceDN/>
                    <w:bidi w:val="0"/>
                    <w:ind w:left="0" w:leftChars="0" w:right="0" w:firstLine="0" w:firstLineChars="0"/>
                    <w:jc w:val="center"/>
                    <w:textAlignment w:val="auto"/>
                    <w:rPr>
                      <w:rFonts w:hint="default" w:ascii="Times New Roman" w:hAnsi="Times New Roman" w:cs="Times New Roman"/>
                      <w:color w:val="auto"/>
                      <w:sz w:val="21"/>
                      <w:szCs w:val="21"/>
                      <w:lang w:val="en-US"/>
                    </w:rPr>
                  </w:pPr>
                  <w:r>
                    <w:rPr>
                      <w:rFonts w:hint="eastAsia" w:ascii="Times New Roman" w:hAnsi="Times New Roman" w:eastAsia="宋体" w:cs="Times New Roman"/>
                      <w:i w:val="0"/>
                      <w:iCs w:val="0"/>
                      <w:caps w:val="0"/>
                      <w:color w:val="auto"/>
                      <w:spacing w:val="0"/>
                      <w:sz w:val="21"/>
                      <w:szCs w:val="21"/>
                      <w:lang w:val="en-US" w:eastAsia="zh-CN"/>
                    </w:rPr>
                    <w:t>23</w:t>
                  </w:r>
                  <w:r>
                    <w:rPr>
                      <w:rFonts w:hint="default" w:ascii="Times New Roman" w:hAnsi="Times New Roman" w:eastAsia="宋体" w:cs="Times New Roman"/>
                      <w:i w:val="0"/>
                      <w:iCs w:val="0"/>
                      <w:caps w:val="0"/>
                      <w:color w:val="auto"/>
                      <w:spacing w:val="0"/>
                      <w:sz w:val="21"/>
                      <w:szCs w:val="21"/>
                      <w:lang w:val="en-US" w:eastAsia="zh-CN"/>
                    </w:rPr>
                    <w:t>°</w:t>
                  </w:r>
                  <w:r>
                    <w:rPr>
                      <w:rFonts w:hint="eastAsia" w:cs="Times New Roman"/>
                      <w:i w:val="0"/>
                      <w:iCs w:val="0"/>
                      <w:caps w:val="0"/>
                      <w:color w:val="auto"/>
                      <w:spacing w:val="0"/>
                      <w:sz w:val="21"/>
                      <w:szCs w:val="21"/>
                      <w:lang w:val="en-US" w:eastAsia="zh-CN"/>
                    </w:rPr>
                    <w:t>41</w:t>
                  </w:r>
                  <w:r>
                    <w:rPr>
                      <w:rFonts w:hint="default" w:ascii="Times New Roman" w:hAnsi="Times New Roman" w:eastAsia="宋体" w:cs="Times New Roman"/>
                      <w:i w:val="0"/>
                      <w:iCs w:val="0"/>
                      <w:caps w:val="0"/>
                      <w:color w:val="auto"/>
                      <w:spacing w:val="0"/>
                      <w:sz w:val="21"/>
                      <w:szCs w:val="21"/>
                      <w:u w:val="none"/>
                      <w:lang w:val="en-US" w:eastAsia="zh-CN"/>
                    </w:rPr>
                    <w:t>′</w:t>
                  </w:r>
                  <w:r>
                    <w:rPr>
                      <w:rFonts w:hint="eastAsia" w:ascii="Times New Roman" w:hAnsi="Times New Roman" w:cs="Times New Roman"/>
                      <w:color w:val="auto"/>
                      <w:sz w:val="21"/>
                      <w:szCs w:val="21"/>
                      <w:highlight w:val="none"/>
                      <w:u w:val="none"/>
                      <w:lang w:val="en-US" w:eastAsia="zh-CN"/>
                    </w:rPr>
                    <w:t>24.037</w:t>
                  </w:r>
                  <w:r>
                    <w:rPr>
                      <w:rFonts w:hint="default" w:ascii="Times New Roman" w:hAnsi="Times New Roman" w:eastAsia="宋体" w:cs="Times New Roman"/>
                      <w:i w:val="0"/>
                      <w:iCs w:val="0"/>
                      <w:caps w:val="0"/>
                      <w:color w:val="auto"/>
                      <w:spacing w:val="0"/>
                      <w:sz w:val="21"/>
                      <w:szCs w:val="21"/>
                      <w:lang w:val="en-US" w:eastAsia="zh-CN"/>
                    </w:rPr>
                    <w:t>″</w:t>
                  </w:r>
                  <w:r>
                    <w:rPr>
                      <w:rFonts w:hint="eastAsia" w:eastAsia="宋体" w:cs="Times New Roman"/>
                      <w:i w:val="0"/>
                      <w:iCs w:val="0"/>
                      <w:caps w:val="0"/>
                      <w:color w:val="auto"/>
                      <w:spacing w:val="0"/>
                      <w:sz w:val="21"/>
                      <w:szCs w:val="21"/>
                      <w:lang w:val="en-US" w:eastAsia="zh-CN"/>
                    </w:rPr>
                    <w:t>N</w:t>
                  </w:r>
                </w:p>
              </w:tc>
            </w:tr>
            <w:tr w14:paraId="2C045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77" w:type="dxa"/>
                  <w:noWrap w:val="0"/>
                  <w:vAlign w:val="center"/>
                </w:tcPr>
                <w:p w14:paraId="41EF67CC">
                  <w:pPr>
                    <w:keepNext w:val="0"/>
                    <w:keepLines w:val="0"/>
                    <w:pageBreakBefore w:val="0"/>
                    <w:widowControl/>
                    <w:kinsoku/>
                    <w:wordWrap/>
                    <w:overflowPunct/>
                    <w:topLinePunct w:val="0"/>
                    <w:autoSpaceDE/>
                    <w:autoSpaceDN/>
                    <w:bidi w:val="0"/>
                    <w:ind w:left="0" w:leftChars="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主要危险物质及分布</w:t>
                  </w:r>
                </w:p>
              </w:tc>
              <w:tc>
                <w:tcPr>
                  <w:tcW w:w="6260" w:type="dxa"/>
                  <w:gridSpan w:val="4"/>
                  <w:noWrap w:val="0"/>
                  <w:vAlign w:val="center"/>
                </w:tcPr>
                <w:p w14:paraId="2263E5EB">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本项目主要风险物质为</w:t>
                  </w:r>
                  <w:r>
                    <w:rPr>
                      <w:rFonts w:hint="eastAsia" w:ascii="Times New Roman" w:hAnsi="Times New Roman" w:eastAsia="宋体" w:cs="Times New Roman"/>
                      <w:color w:val="auto"/>
                      <w:sz w:val="21"/>
                      <w:szCs w:val="21"/>
                      <w:lang w:val="en-US" w:eastAsia="zh-CN"/>
                    </w:rPr>
                    <w:t>速冻车间</w:t>
                  </w:r>
                  <w:r>
                    <w:rPr>
                      <w:rFonts w:hint="eastAsia" w:cs="Times New Roman"/>
                      <w:color w:val="auto"/>
                      <w:sz w:val="21"/>
                      <w:szCs w:val="21"/>
                      <w:lang w:val="en-US" w:eastAsia="zh-CN"/>
                    </w:rPr>
                    <w:t>在线使用的冷冻油及</w:t>
                  </w:r>
                  <w:r>
                    <w:rPr>
                      <w:rFonts w:hint="eastAsia" w:ascii="Times New Roman" w:hAnsi="Times New Roman" w:eastAsia="宋体" w:cs="Times New Roman"/>
                      <w:color w:val="auto"/>
                      <w:sz w:val="21"/>
                      <w:szCs w:val="21"/>
                      <w:lang w:val="en-US" w:eastAsia="zh-CN"/>
                    </w:rPr>
                    <w:t>产生的废冷冻油</w:t>
                  </w:r>
                  <w:r>
                    <w:rPr>
                      <w:rFonts w:hint="eastAsia" w:cs="Times New Roman"/>
                      <w:color w:val="auto"/>
                      <w:sz w:val="21"/>
                      <w:szCs w:val="21"/>
                      <w:lang w:val="en-US" w:eastAsia="zh-CN"/>
                    </w:rPr>
                    <w:t>、碱液间储存的</w:t>
                  </w:r>
                  <w:r>
                    <w:rPr>
                      <w:rFonts w:ascii="Times New Roman" w:hAnsi="Times New Roman"/>
                      <w:color w:val="auto"/>
                      <w:sz w:val="21"/>
                      <w:szCs w:val="21"/>
                      <w:highlight w:val="none"/>
                    </w:rPr>
                    <w:t>碱性剂</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酸液间储存的</w:t>
                  </w:r>
                  <w:r>
                    <w:rPr>
                      <w:rFonts w:ascii="Times New Roman" w:hAnsi="Times New Roman"/>
                      <w:color w:val="auto"/>
                      <w:sz w:val="21"/>
                      <w:szCs w:val="21"/>
                      <w:highlight w:val="none"/>
                    </w:rPr>
                    <w:t>酸性剂清洗液</w:t>
                  </w:r>
                  <w:r>
                    <w:rPr>
                      <w:rFonts w:hint="eastAsia" w:ascii="Times New Roman" w:hAnsi="Times New Roman" w:eastAsia="宋体" w:cs="Times New Roman"/>
                      <w:color w:val="auto"/>
                      <w:sz w:val="21"/>
                      <w:szCs w:val="21"/>
                      <w:lang w:val="en-US" w:eastAsia="zh-CN"/>
                    </w:rPr>
                    <w:t>。</w:t>
                  </w:r>
                </w:p>
              </w:tc>
            </w:tr>
            <w:tr w14:paraId="5D52B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77" w:type="dxa"/>
                  <w:noWrap w:val="0"/>
                  <w:vAlign w:val="center"/>
                </w:tcPr>
                <w:p w14:paraId="33E694B3">
                  <w:pPr>
                    <w:keepNext w:val="0"/>
                    <w:keepLines w:val="0"/>
                    <w:pageBreakBefore w:val="0"/>
                    <w:widowControl/>
                    <w:kinsoku/>
                    <w:wordWrap/>
                    <w:overflowPunct/>
                    <w:topLinePunct w:val="0"/>
                    <w:autoSpaceDE/>
                    <w:autoSpaceDN/>
                    <w:bidi w:val="0"/>
                    <w:ind w:left="0" w:leftChars="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环境影响途径及危害后果</w:t>
                  </w:r>
                </w:p>
                <w:p w14:paraId="67F1A6F6">
                  <w:pPr>
                    <w:keepNext w:val="0"/>
                    <w:keepLines w:val="0"/>
                    <w:pageBreakBefore w:val="0"/>
                    <w:kinsoku/>
                    <w:wordWrap/>
                    <w:overflowPunct/>
                    <w:topLinePunct w:val="0"/>
                    <w:autoSpaceDE/>
                    <w:autoSpaceDN/>
                    <w:bidi w:val="0"/>
                    <w:ind w:left="0" w:leftChars="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(大气、地表水、地下水等)</w:t>
                  </w:r>
                </w:p>
              </w:tc>
              <w:tc>
                <w:tcPr>
                  <w:tcW w:w="6260" w:type="dxa"/>
                  <w:gridSpan w:val="4"/>
                  <w:noWrap w:val="0"/>
                  <w:vAlign w:val="center"/>
                </w:tcPr>
                <w:p w14:paraId="64C333B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本项目</w:t>
                  </w:r>
                  <w:r>
                    <w:rPr>
                      <w:rFonts w:hint="eastAsia" w:cs="Times New Roman"/>
                      <w:color w:val="auto"/>
                      <w:sz w:val="21"/>
                      <w:szCs w:val="21"/>
                      <w:highlight w:val="none"/>
                      <w:lang w:val="en-US" w:eastAsia="zh-CN"/>
                    </w:rPr>
                    <w:t>危险物质</w:t>
                  </w:r>
                  <w:r>
                    <w:rPr>
                      <w:rFonts w:hint="default" w:ascii="Times New Roman" w:hAnsi="Times New Roman" w:cs="Times New Roman"/>
                      <w:color w:val="auto"/>
                      <w:sz w:val="21"/>
                      <w:szCs w:val="21"/>
                      <w:highlight w:val="none"/>
                    </w:rPr>
                    <w:t>若</w:t>
                  </w:r>
                  <w:r>
                    <w:rPr>
                      <w:rFonts w:hint="eastAsia" w:cs="Times New Roman"/>
                      <w:color w:val="auto"/>
                      <w:sz w:val="21"/>
                      <w:szCs w:val="21"/>
                      <w:highlight w:val="none"/>
                      <w:lang w:val="en-US" w:eastAsia="zh-CN"/>
                    </w:rPr>
                    <w:t>管理、使用或</w:t>
                  </w:r>
                  <w:r>
                    <w:rPr>
                      <w:rFonts w:hint="default" w:ascii="Times New Roman" w:hAnsi="Times New Roman" w:cs="Times New Roman"/>
                      <w:color w:val="auto"/>
                      <w:sz w:val="21"/>
                      <w:szCs w:val="21"/>
                      <w:highlight w:val="none"/>
                    </w:rPr>
                    <w:t>处置不当，造成危险物质向环境中扩散的事故，就会给周围环境造成不良的影响</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其影响途径主要</w:t>
                  </w:r>
                  <w:r>
                    <w:rPr>
                      <w:rFonts w:hint="default" w:ascii="Times New Roman" w:hAnsi="Times New Roman" w:cs="Times New Roman"/>
                      <w:color w:val="auto"/>
                      <w:sz w:val="21"/>
                      <w:szCs w:val="21"/>
                      <w:highlight w:val="none"/>
                    </w:rPr>
                    <w:t>为：</w:t>
                  </w:r>
                </w:p>
                <w:p w14:paraId="6552226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①风险物质</w:t>
                  </w:r>
                  <w:r>
                    <w:rPr>
                      <w:rFonts w:hint="default" w:ascii="Times New Roman" w:hAnsi="Times New Roman" w:cs="Times New Roman"/>
                      <w:color w:val="auto"/>
                      <w:sz w:val="21"/>
                      <w:szCs w:val="21"/>
                      <w:highlight w:val="none"/>
                    </w:rPr>
                    <w:t>储存过程中发生泄漏事故，</w:t>
                  </w:r>
                  <w:r>
                    <w:rPr>
                      <w:rFonts w:hint="default" w:ascii="Times New Roman" w:hAnsi="Times New Roman" w:cs="Times New Roman"/>
                      <w:color w:val="auto"/>
                      <w:sz w:val="21"/>
                      <w:szCs w:val="21"/>
                      <w:highlight w:val="none"/>
                      <w:lang w:val="en-US" w:eastAsia="zh-CN"/>
                    </w:rPr>
                    <w:t>通过漫流进入地表水体</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污染</w:t>
                  </w:r>
                  <w:r>
                    <w:rPr>
                      <w:rFonts w:hint="eastAsia" w:cs="Times New Roman"/>
                      <w:color w:val="auto"/>
                      <w:sz w:val="21"/>
                      <w:szCs w:val="21"/>
                      <w:highlight w:val="none"/>
                      <w:lang w:val="en-US" w:eastAsia="zh-CN"/>
                    </w:rPr>
                    <w:t>地表水</w:t>
                  </w:r>
                  <w:r>
                    <w:rPr>
                      <w:rFonts w:hint="default" w:ascii="Times New Roman" w:hAnsi="Times New Roman" w:cs="Times New Roman"/>
                      <w:color w:val="auto"/>
                      <w:sz w:val="21"/>
                      <w:szCs w:val="21"/>
                      <w:highlight w:val="none"/>
                      <w:lang w:val="en-US" w:eastAsia="zh-CN"/>
                    </w:rPr>
                    <w:t>环境</w:t>
                  </w:r>
                  <w:r>
                    <w:rPr>
                      <w:rFonts w:hint="eastAsia" w:cs="Times New Roman"/>
                      <w:color w:val="auto"/>
                      <w:sz w:val="21"/>
                      <w:szCs w:val="21"/>
                      <w:highlight w:val="none"/>
                      <w:lang w:val="en-US" w:eastAsia="zh-CN"/>
                    </w:rPr>
                    <w:t>及</w:t>
                  </w:r>
                  <w:r>
                    <w:rPr>
                      <w:rFonts w:hint="default" w:ascii="Times New Roman" w:hAnsi="Times New Roman" w:cs="Times New Roman"/>
                      <w:color w:val="auto"/>
                      <w:sz w:val="21"/>
                      <w:szCs w:val="21"/>
                      <w:highlight w:val="none"/>
                    </w:rPr>
                    <w:t>通过渗透的方式污染地下水环境；</w:t>
                  </w:r>
                </w:p>
                <w:p w14:paraId="67373AB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②可燃类危险物质</w:t>
                  </w:r>
                  <w:r>
                    <w:rPr>
                      <w:rFonts w:hint="default" w:ascii="Times New Roman" w:hAnsi="Times New Roman" w:cs="Times New Roman"/>
                      <w:color w:val="auto"/>
                      <w:sz w:val="21"/>
                      <w:szCs w:val="21"/>
                      <w:highlight w:val="none"/>
                    </w:rPr>
                    <w:t>挥发</w:t>
                  </w:r>
                  <w:r>
                    <w:rPr>
                      <w:rFonts w:hint="default" w:ascii="Times New Roman" w:hAnsi="Times New Roman" w:cs="Times New Roman"/>
                      <w:color w:val="auto"/>
                      <w:sz w:val="21"/>
                      <w:szCs w:val="21"/>
                      <w:highlight w:val="none"/>
                      <w:lang w:val="en-US" w:eastAsia="zh-CN"/>
                    </w:rPr>
                    <w:t>或燃烧、爆炸产生的次生/伴生</w:t>
                  </w:r>
                  <w:r>
                    <w:rPr>
                      <w:rFonts w:hint="eastAsia" w:ascii="Times New Roman" w:hAnsi="Times New Roman" w:cs="Times New Roman"/>
                      <w:color w:val="auto"/>
                      <w:sz w:val="21"/>
                      <w:szCs w:val="21"/>
                      <w:highlight w:val="none"/>
                      <w:lang w:eastAsia="zh-CN"/>
                    </w:rPr>
                    <w:t>的</w:t>
                  </w:r>
                  <w:r>
                    <w:rPr>
                      <w:rFonts w:hint="eastAsia" w:cs="Times New Roman"/>
                      <w:color w:val="auto"/>
                      <w:sz w:val="21"/>
                      <w:szCs w:val="21"/>
                      <w:highlight w:val="none"/>
                      <w:lang w:val="en-US" w:eastAsia="zh-CN"/>
                    </w:rPr>
                    <w:t>CO等</w:t>
                  </w:r>
                  <w:r>
                    <w:rPr>
                      <w:rFonts w:hint="eastAsia" w:ascii="Times New Roman" w:hAnsi="Times New Roman" w:cs="Times New Roman"/>
                      <w:color w:val="auto"/>
                      <w:sz w:val="21"/>
                      <w:szCs w:val="21"/>
                      <w:highlight w:val="none"/>
                      <w:lang w:val="en-US" w:eastAsia="zh-CN"/>
                    </w:rPr>
                    <w:t>危险物质</w:t>
                  </w:r>
                  <w:r>
                    <w:rPr>
                      <w:rFonts w:hint="default" w:ascii="Times New Roman" w:hAnsi="Times New Roman" w:cs="Times New Roman"/>
                      <w:color w:val="auto"/>
                      <w:sz w:val="21"/>
                      <w:szCs w:val="21"/>
                      <w:highlight w:val="none"/>
                    </w:rPr>
                    <w:t>会进入大气环境</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对环境空气造成污染；</w:t>
                  </w:r>
                </w:p>
                <w:p w14:paraId="6040F17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③</w:t>
                  </w:r>
                  <w:r>
                    <w:rPr>
                      <w:rFonts w:hint="eastAsia"/>
                      <w:color w:val="auto"/>
                      <w:sz w:val="21"/>
                      <w:szCs w:val="21"/>
                      <w:highlight w:val="none"/>
                      <w:lang w:val="en-US" w:eastAsia="zh-CN"/>
                    </w:rPr>
                    <w:t>消防废水随着地表径流进入地表水体或</w:t>
                  </w:r>
                  <w:r>
                    <w:rPr>
                      <w:rFonts w:hint="eastAsia" w:cs="Times New Roman"/>
                      <w:color w:val="auto"/>
                      <w:kern w:val="2"/>
                      <w:sz w:val="21"/>
                      <w:szCs w:val="21"/>
                      <w:highlight w:val="none"/>
                      <w:lang w:val="en-US" w:eastAsia="zh-CN" w:bidi="ar-SA"/>
                    </w:rPr>
                    <w:t>下渗</w:t>
                  </w:r>
                  <w:r>
                    <w:rPr>
                      <w:rFonts w:hint="default" w:ascii="Times New Roman" w:hAnsi="Times New Roman" w:eastAsia="宋体" w:cs="Times New Roman"/>
                      <w:color w:val="auto"/>
                      <w:kern w:val="2"/>
                      <w:sz w:val="21"/>
                      <w:szCs w:val="21"/>
                      <w:highlight w:val="none"/>
                      <w:lang w:val="en-US" w:eastAsia="zh-CN" w:bidi="ar-SA"/>
                    </w:rPr>
                    <w:t>进入地下水</w:t>
                  </w:r>
                  <w:r>
                    <w:rPr>
                      <w:rFonts w:hint="eastAsia" w:cs="Times New Roman"/>
                      <w:color w:val="auto"/>
                      <w:kern w:val="2"/>
                      <w:sz w:val="21"/>
                      <w:szCs w:val="21"/>
                      <w:highlight w:val="none"/>
                      <w:lang w:val="en-US" w:eastAsia="zh-CN" w:bidi="ar-SA"/>
                    </w:rPr>
                    <w:t>，对地表水、地下水水质造成影响</w:t>
                  </w:r>
                  <w:r>
                    <w:rPr>
                      <w:rFonts w:hint="default" w:ascii="Times New Roman" w:hAnsi="Times New Roman" w:eastAsia="宋体" w:cs="Times New Roman"/>
                      <w:color w:val="auto"/>
                      <w:kern w:val="2"/>
                      <w:sz w:val="21"/>
                      <w:szCs w:val="21"/>
                      <w:highlight w:val="none"/>
                      <w:lang w:val="en-US" w:eastAsia="zh-CN" w:bidi="ar-SA"/>
                    </w:rPr>
                    <w:t>。</w:t>
                  </w:r>
                </w:p>
              </w:tc>
            </w:tr>
            <w:tr w14:paraId="48AAF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77" w:type="dxa"/>
                  <w:tcBorders>
                    <w:right w:val="single" w:color="auto" w:sz="4" w:space="0"/>
                  </w:tcBorders>
                  <w:noWrap w:val="0"/>
                  <w:vAlign w:val="center"/>
                </w:tcPr>
                <w:p w14:paraId="6BB4BB2A">
                  <w:pPr>
                    <w:keepNext w:val="0"/>
                    <w:keepLines w:val="0"/>
                    <w:pageBreakBefore w:val="0"/>
                    <w:widowControl/>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风险防范措施要求</w:t>
                  </w:r>
                </w:p>
              </w:tc>
              <w:tc>
                <w:tcPr>
                  <w:tcW w:w="6260" w:type="dxa"/>
                  <w:gridSpan w:val="4"/>
                  <w:tcBorders>
                    <w:left w:val="single" w:color="auto" w:sz="4" w:space="0"/>
                  </w:tcBorders>
                  <w:noWrap w:val="0"/>
                  <w:vAlign w:val="center"/>
                </w:tcPr>
                <w:p w14:paraId="6AB533D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1）危险废物贮存及转运环境风险防范措施</w:t>
                  </w:r>
                </w:p>
                <w:p w14:paraId="180A19BE">
                  <w:pPr>
                    <w:pStyle w:val="46"/>
                    <w:keepNext w:val="0"/>
                    <w:keepLines w:val="0"/>
                    <w:pageBreakBefore w:val="0"/>
                    <w:kinsoku/>
                    <w:wordWrap/>
                    <w:overflowPunct/>
                    <w:topLinePunct w:val="0"/>
                    <w:autoSpaceDE/>
                    <w:autoSpaceDN/>
                    <w:bidi w:val="0"/>
                    <w:adjustRightInd w:val="0"/>
                    <w:snapToGrid w:val="0"/>
                    <w:spacing w:before="0" w:beforeLines="0" w:line="240" w:lineRule="auto"/>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①按照《危险废物管理计划和管理台账制定技术导则》制定《危险废物管理计划》，建立危废管理全过程的责任制度，并在显著位置张贴危废防治责任信息</w:t>
                  </w:r>
                  <w:r>
                    <w:rPr>
                      <w:rFonts w:hint="eastAsia" w:cs="Times New Roman"/>
                      <w:color w:val="auto"/>
                      <w:sz w:val="21"/>
                      <w:szCs w:val="21"/>
                      <w:highlight w:val="none"/>
                      <w:lang w:val="en-US" w:eastAsia="zh-CN"/>
                    </w:rPr>
                    <w:t>；</w:t>
                  </w:r>
                </w:p>
                <w:p w14:paraId="43EB658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②建立危险废物管理台账，如实记录</w:t>
                  </w:r>
                  <w:r>
                    <w:rPr>
                      <w:rFonts w:hint="default" w:ascii="Times New Roman" w:hAnsi="Times New Roman" w:cs="Times New Roman"/>
                      <w:color w:val="auto"/>
                      <w:sz w:val="21"/>
                      <w:szCs w:val="21"/>
                      <w:highlight w:val="none"/>
                      <w:lang w:val="en-US" w:eastAsia="zh-CN"/>
                    </w:rPr>
                    <w:t>危险废物产生、入库、出库、自行利用处置等各环节危险废物在企业内部流转情况</w:t>
                  </w:r>
                  <w:r>
                    <w:rPr>
                      <w:rFonts w:hint="default" w:ascii="Times New Roman" w:hAnsi="Times New Roman" w:eastAsia="宋体" w:cs="Times New Roman"/>
                      <w:color w:val="auto"/>
                      <w:sz w:val="21"/>
                      <w:szCs w:val="21"/>
                      <w:highlight w:val="none"/>
                      <w:lang w:val="en-US" w:eastAsia="zh-CN"/>
                    </w:rPr>
                    <w:t>，台账形式包括电子管理台账和纸质管理台账，台账保存时间不少于5年</w:t>
                  </w:r>
                  <w:r>
                    <w:rPr>
                      <w:rFonts w:hint="eastAsia" w:eastAsia="宋体" w:cs="Times New Roman"/>
                      <w:color w:val="auto"/>
                      <w:sz w:val="21"/>
                      <w:szCs w:val="21"/>
                      <w:highlight w:val="none"/>
                      <w:lang w:val="en-US" w:eastAsia="zh-CN"/>
                    </w:rPr>
                    <w:t>；</w:t>
                  </w:r>
                </w:p>
                <w:p w14:paraId="7156DA4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③</w:t>
                  </w:r>
                  <w:r>
                    <w:rPr>
                      <w:rFonts w:hint="default" w:ascii="Times New Roman" w:hAnsi="Times New Roman" w:cs="Times New Roman"/>
                      <w:color w:val="auto"/>
                      <w:sz w:val="21"/>
                      <w:szCs w:val="21"/>
                      <w:highlight w:val="none"/>
                    </w:rPr>
                    <w:t>按《危险废物贮存污染控制标准》（GB18597-20</w:t>
                  </w:r>
                  <w:r>
                    <w:rPr>
                      <w:rFonts w:hint="default" w:ascii="Times New Roman" w:hAnsi="Times New Roman" w:cs="Times New Roman"/>
                      <w:color w:val="auto"/>
                      <w:sz w:val="21"/>
                      <w:szCs w:val="21"/>
                      <w:highlight w:val="none"/>
                      <w:lang w:val="en-US" w:eastAsia="zh-CN"/>
                    </w:rPr>
                    <w:t>23</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要求</w:t>
                  </w:r>
                  <w:r>
                    <w:rPr>
                      <w:rFonts w:hint="default" w:ascii="Times New Roman" w:hAnsi="Times New Roman" w:cs="Times New Roman"/>
                      <w:color w:val="auto"/>
                      <w:sz w:val="21"/>
                      <w:szCs w:val="21"/>
                      <w:highlight w:val="none"/>
                    </w:rPr>
                    <w:t>建设</w:t>
                  </w:r>
                  <w:r>
                    <w:rPr>
                      <w:rFonts w:hint="eastAsia" w:ascii="Times New Roman" w:hAnsi="Times New Roman" w:cs="Times New Roman"/>
                      <w:color w:val="auto"/>
                      <w:sz w:val="21"/>
                      <w:szCs w:val="21"/>
                      <w:highlight w:val="none"/>
                      <w:lang w:eastAsia="zh-CN"/>
                    </w:rPr>
                    <w:t>危险废物贮存间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落实防风、防雨、防晒、防漏、防渗、防腐等要求</w:t>
                  </w:r>
                  <w:r>
                    <w:rPr>
                      <w:rFonts w:hint="eastAsia" w:cs="Times New Roman"/>
                      <w:color w:val="auto"/>
                      <w:sz w:val="21"/>
                      <w:szCs w:val="21"/>
                      <w:highlight w:val="none"/>
                      <w:lang w:eastAsia="zh-CN"/>
                    </w:rPr>
                    <w:t>；</w:t>
                  </w:r>
                </w:p>
                <w:p w14:paraId="06E4581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④</w:t>
                  </w:r>
                  <w:r>
                    <w:rPr>
                      <w:rFonts w:hint="default" w:ascii="Times New Roman" w:hAnsi="Times New Roman" w:cs="Times New Roman"/>
                      <w:color w:val="auto"/>
                      <w:sz w:val="21"/>
                      <w:szCs w:val="21"/>
                      <w:highlight w:val="none"/>
                      <w:lang w:val="en-US" w:eastAsia="zh-CN"/>
                    </w:rPr>
                    <w:t>使用容器盛</w:t>
                  </w:r>
                  <w:r>
                    <w:rPr>
                      <w:rFonts w:hint="eastAsia" w:cs="Times New Roman"/>
                      <w:color w:val="auto"/>
                      <w:sz w:val="21"/>
                      <w:szCs w:val="21"/>
                      <w:highlight w:val="none"/>
                      <w:lang w:val="en-US" w:eastAsia="zh-CN"/>
                    </w:rPr>
                    <w:t>放</w:t>
                  </w:r>
                  <w:r>
                    <w:rPr>
                      <w:rFonts w:hint="default" w:ascii="Times New Roman" w:hAnsi="Times New Roman" w:cs="Times New Roman"/>
                      <w:color w:val="auto"/>
                      <w:sz w:val="21"/>
                      <w:szCs w:val="21"/>
                      <w:highlight w:val="none"/>
                      <w:lang w:val="en-US" w:eastAsia="zh-CN"/>
                    </w:rPr>
                    <w:t>废</w:t>
                  </w:r>
                  <w:r>
                    <w:rPr>
                      <w:rFonts w:hint="eastAsia" w:cs="Times New Roman"/>
                      <w:color w:val="auto"/>
                      <w:sz w:val="21"/>
                      <w:szCs w:val="21"/>
                      <w:highlight w:val="none"/>
                      <w:lang w:val="en-US" w:eastAsia="zh-CN"/>
                    </w:rPr>
                    <w:t>矿物</w:t>
                  </w:r>
                  <w:r>
                    <w:rPr>
                      <w:rFonts w:hint="default" w:ascii="Times New Roman" w:hAnsi="Times New Roman" w:cs="Times New Roman"/>
                      <w:color w:val="auto"/>
                      <w:sz w:val="21"/>
                      <w:szCs w:val="21"/>
                      <w:highlight w:val="none"/>
                      <w:lang w:val="en-US" w:eastAsia="zh-CN"/>
                    </w:rPr>
                    <w:t>油时，容器内部应留有适当的空间，以适应因温度变化等可能引发的收缩和膨胀，防止其导致容器渗漏或永久变形</w:t>
                  </w:r>
                  <w:r>
                    <w:rPr>
                      <w:rFonts w:hint="eastAsia" w:cs="Times New Roman"/>
                      <w:color w:val="auto"/>
                      <w:sz w:val="21"/>
                      <w:szCs w:val="21"/>
                      <w:highlight w:val="none"/>
                      <w:lang w:val="en-US" w:eastAsia="zh-CN"/>
                    </w:rPr>
                    <w:t>；</w:t>
                  </w:r>
                </w:p>
                <w:p w14:paraId="4345A09B">
                  <w:pPr>
                    <w:keepNext w:val="0"/>
                    <w:keepLines w:val="0"/>
                    <w:pageBreakBefore w:val="0"/>
                    <w:kinsoku/>
                    <w:wordWrap/>
                    <w:overflowPunct/>
                    <w:topLinePunct w:val="0"/>
                    <w:autoSpaceDE/>
                    <w:autoSpaceDN/>
                    <w:bidi w:val="0"/>
                    <w:adjustRightInd w:val="0"/>
                    <w:snapToGrid w:val="0"/>
                    <w:spacing w:beforeAutospacing="0" w:afterAutospacing="0" w:line="240" w:lineRule="auto"/>
                    <w:ind w:left="0"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lang w:val="en-US" w:eastAsia="zh-CN"/>
                    </w:rPr>
                    <w:t>危险废物产生单位应当按照《国家危险废物名录（202</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年版）》确定危险废物对应危险废物的类别、项别、编号等，并委托具备相应危险货物运输资质的单位承运危险废物，依法签订运输合同</w:t>
                  </w:r>
                  <w:r>
                    <w:rPr>
                      <w:rFonts w:hint="eastAsia"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装载危险废物时，</w:t>
                  </w:r>
                  <w:r>
                    <w:rPr>
                      <w:rFonts w:hint="default" w:ascii="Times New Roman" w:hAnsi="Times New Roman" w:eastAsia="宋体" w:cs="Times New Roman"/>
                      <w:color w:val="auto"/>
                      <w:sz w:val="21"/>
                      <w:szCs w:val="21"/>
                      <w:highlight w:val="none"/>
                      <w:lang w:val="en-US" w:eastAsia="zh-CN"/>
                    </w:rPr>
                    <w:t>危险废物产生单位</w:t>
                  </w:r>
                  <w:r>
                    <w:rPr>
                      <w:rFonts w:hint="default" w:ascii="Times New Roman" w:hAnsi="Times New Roman" w:cs="Times New Roman"/>
                      <w:color w:val="auto"/>
                      <w:sz w:val="21"/>
                      <w:szCs w:val="21"/>
                      <w:highlight w:val="none"/>
                      <w:lang w:val="en-US" w:eastAsia="zh-CN"/>
                    </w:rPr>
                    <w:t>应当核实运输单位、运输工具及收运人员是否具有相应经营范围的有效危险货物运输许可证件，以及待转移的危险废物识别标志中的相关信息与危险废物转移联单是否相符。</w:t>
                  </w:r>
                </w:p>
                <w:p w14:paraId="68D8E00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2）酸液间、碱液间风险防范措施</w:t>
                  </w:r>
                </w:p>
                <w:p w14:paraId="27B5F41D">
                  <w:pPr>
                    <w:spacing w:beforeLines="0" w:afterLines="0"/>
                    <w:jc w:val="left"/>
                    <w:rPr>
                      <w:rFonts w:hint="eastAsia" w:eastAsia="宋体" w:cs="Times New Roman"/>
                      <w:color w:val="auto"/>
                      <w:sz w:val="21"/>
                      <w:szCs w:val="21"/>
                      <w:highlight w:val="none"/>
                      <w:lang w:val="en-US" w:eastAsia="zh-CN"/>
                    </w:rPr>
                  </w:pPr>
                  <w:r>
                    <w:rPr>
                      <w:rFonts w:hint="eastAsia" w:ascii="宋体" w:hAnsi="宋体" w:eastAsia="宋体"/>
                      <w:color w:val="auto"/>
                      <w:sz w:val="21"/>
                      <w:szCs w:val="21"/>
                      <w:lang w:val="en-US" w:eastAsia="zh-CN"/>
                    </w:rPr>
                    <w:t>①</w:t>
                  </w:r>
                  <w:r>
                    <w:rPr>
                      <w:rFonts w:hint="eastAsia" w:ascii="宋体" w:hAnsi="宋体" w:eastAsia="宋体"/>
                      <w:color w:val="auto"/>
                      <w:sz w:val="21"/>
                      <w:szCs w:val="21"/>
                    </w:rPr>
                    <w:t>酸液间、碱液间进行防渗漏、防腐处理</w:t>
                  </w:r>
                  <w:r>
                    <w:rPr>
                      <w:rFonts w:hint="eastAsia" w:ascii="宋体" w:hAnsi="宋体" w:eastAsia="宋体"/>
                      <w:color w:val="auto"/>
                      <w:sz w:val="21"/>
                      <w:szCs w:val="21"/>
                      <w:lang w:eastAsia="zh-CN"/>
                    </w:rPr>
                    <w:t>；</w:t>
                  </w:r>
                </w:p>
                <w:p w14:paraId="5A2818A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②应根据储存物品的特性进行储存，一般应保证储存保持阴凉、干燥、无火源、热源、通风良好、阳光不直射、不受水害，并能防止动物进入，分隔可靠，堆放稳固。</w:t>
                  </w:r>
                </w:p>
                <w:p w14:paraId="7C85E66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3）火灾事故防范措施</w:t>
                  </w:r>
                </w:p>
                <w:p w14:paraId="0CD8F8F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①完善设施加强保养维护。在消防设计、布局方面要防患于未然，严格按照消防法的规定，尤其是厂房内要做到配套完善，如消防栓、消防水管、消防水源、应急通道等；</w:t>
                  </w:r>
                </w:p>
                <w:p w14:paraId="19EF976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②合理安排、处理建筑物所需冷源、电源灯相关设施的安全防灾问题。消防用电设备的电气线应与非消防用电设备电线分开设置，为火灾时及时切断非消防用电设备电源和防止火灾蔓延、减少损失以及消防扑救与安全救灾创造必要条件；</w:t>
                  </w:r>
                </w:p>
                <w:p w14:paraId="3250494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③加强消防安全教育，提高对消防安全工作重要性的认识，建立健全防火责任制度，加强安全教育。</w:t>
                  </w:r>
                </w:p>
                <w:p w14:paraId="0FB9083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）其他环境风险防范措施</w:t>
                  </w:r>
                </w:p>
                <w:p w14:paraId="0CE8F42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①定期对生产设备进行检查；</w:t>
                  </w:r>
                </w:p>
                <w:p w14:paraId="1FEF0C3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②生产过程中，具有上岗资质的操作工人在线监管；</w:t>
                  </w:r>
                </w:p>
                <w:p w14:paraId="543B719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③</w:t>
                  </w:r>
                  <w:r>
                    <w:rPr>
                      <w:rFonts w:hint="eastAsia" w:ascii="Times New Roman" w:hAnsi="Times New Roman" w:eastAsia="宋体" w:cs="Times New Roman"/>
                      <w:color w:val="auto"/>
                      <w:sz w:val="21"/>
                      <w:szCs w:val="21"/>
                      <w:highlight w:val="none"/>
                      <w:lang w:val="en-US" w:eastAsia="zh-CN"/>
                    </w:rPr>
                    <w:t>建立“源</w:t>
                  </w:r>
                  <w:r>
                    <w:rPr>
                      <w:rFonts w:hint="default" w:ascii="Times New Roman" w:hAnsi="Times New Roman" w:eastAsia="宋体" w:cs="Times New Roman"/>
                      <w:color w:val="auto"/>
                      <w:sz w:val="21"/>
                      <w:szCs w:val="21"/>
                      <w:highlight w:val="none"/>
                      <w:lang w:val="en-US" w:eastAsia="zh-CN"/>
                    </w:rPr>
                    <w:t>头、过程、末端</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三级预防与防控体系</w:t>
                  </w:r>
                  <w:r>
                    <w:rPr>
                      <w:rFonts w:hint="eastAsia" w:ascii="Times New Roman" w:hAnsi="Times New Roman" w:eastAsia="宋体" w:cs="Times New Roman"/>
                      <w:color w:val="auto"/>
                      <w:sz w:val="21"/>
                      <w:szCs w:val="21"/>
                      <w:highlight w:val="none"/>
                      <w:lang w:val="en-US" w:eastAsia="zh-CN"/>
                    </w:rPr>
                    <w:t>；</w:t>
                  </w:r>
                </w:p>
                <w:p w14:paraId="149706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④配备</w:t>
                  </w:r>
                  <w:r>
                    <w:rPr>
                      <w:rFonts w:hint="default" w:ascii="Times New Roman" w:hAnsi="Times New Roman" w:cs="Times New Roman"/>
                      <w:color w:val="auto"/>
                      <w:sz w:val="21"/>
                      <w:szCs w:val="21"/>
                      <w:highlight w:val="none"/>
                    </w:rPr>
                    <w:t>防护服、防护口罩、堵漏器材</w:t>
                  </w:r>
                  <w:r>
                    <w:rPr>
                      <w:rFonts w:hint="eastAsia" w:cs="Times New Roman"/>
                      <w:color w:val="auto"/>
                      <w:sz w:val="21"/>
                      <w:szCs w:val="21"/>
                      <w:highlight w:val="none"/>
                      <w:lang w:val="en-US" w:eastAsia="zh-CN"/>
                    </w:rPr>
                    <w:t>等应急物资</w:t>
                  </w:r>
                  <w:r>
                    <w:rPr>
                      <w:rFonts w:hint="eastAsia" w:cs="Times New Roman"/>
                      <w:color w:val="auto"/>
                      <w:sz w:val="21"/>
                      <w:szCs w:val="21"/>
                      <w:highlight w:val="none"/>
                      <w:lang w:eastAsia="zh-CN"/>
                    </w:rPr>
                    <w:t>；</w:t>
                  </w:r>
                </w:p>
                <w:p w14:paraId="1E25E6A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⑤修编</w:t>
                  </w:r>
                  <w:r>
                    <w:rPr>
                      <w:rFonts w:hint="eastAsia" w:ascii="Times New Roman" w:hAnsi="Times New Roman" w:eastAsia="宋体" w:cs="Times New Roman"/>
                      <w:color w:val="auto"/>
                      <w:sz w:val="21"/>
                      <w:szCs w:val="21"/>
                      <w:highlight w:val="none"/>
                      <w:lang w:val="en-US" w:eastAsia="zh-CN"/>
                    </w:rPr>
                    <w:t>《突发环境事件应急预案》，</w:t>
                  </w:r>
                  <w:r>
                    <w:rPr>
                      <w:rFonts w:hint="eastAsia" w:cs="Times New Roman"/>
                      <w:color w:val="auto"/>
                      <w:sz w:val="21"/>
                      <w:szCs w:val="21"/>
                      <w:highlight w:val="none"/>
                      <w:lang w:val="en-US" w:eastAsia="zh-CN"/>
                    </w:rPr>
                    <w:t>报生态环境部门</w:t>
                  </w:r>
                  <w:r>
                    <w:rPr>
                      <w:rFonts w:hint="eastAsia" w:ascii="Times New Roman" w:hAnsi="Times New Roman" w:eastAsia="宋体" w:cs="Times New Roman"/>
                      <w:color w:val="auto"/>
                      <w:sz w:val="21"/>
                      <w:szCs w:val="21"/>
                      <w:highlight w:val="none"/>
                      <w:lang w:val="en-US" w:eastAsia="zh-CN"/>
                    </w:rPr>
                    <w:t>备案</w:t>
                  </w:r>
                  <w:r>
                    <w:rPr>
                      <w:rFonts w:hint="eastAsia" w:cs="Times New Roman"/>
                      <w:color w:val="auto"/>
                      <w:sz w:val="21"/>
                      <w:szCs w:val="21"/>
                      <w:highlight w:val="none"/>
                      <w:lang w:val="en-US" w:eastAsia="zh-CN"/>
                    </w:rPr>
                    <w:t>，并适时开展应急演练</w:t>
                  </w:r>
                  <w:r>
                    <w:rPr>
                      <w:rFonts w:hint="eastAsia" w:ascii="Times New Roman" w:hAnsi="Times New Roman" w:eastAsia="宋体" w:cs="Times New Roman"/>
                      <w:color w:val="auto"/>
                      <w:sz w:val="21"/>
                      <w:szCs w:val="21"/>
                      <w:highlight w:val="none"/>
                      <w:lang w:val="en-US" w:eastAsia="zh-CN"/>
                    </w:rPr>
                    <w:t>。</w:t>
                  </w:r>
                </w:p>
              </w:tc>
            </w:tr>
            <w:tr w14:paraId="71E73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77" w:type="dxa"/>
                  <w:tcBorders>
                    <w:right w:val="single" w:color="auto" w:sz="4" w:space="0"/>
                  </w:tcBorders>
                  <w:noWrap w:val="0"/>
                  <w:vAlign w:val="center"/>
                </w:tcPr>
                <w:p w14:paraId="1D287D09">
                  <w:pPr>
                    <w:keepNext w:val="0"/>
                    <w:keepLines w:val="0"/>
                    <w:pageBreakBefore w:val="0"/>
                    <w:widowControl/>
                    <w:kinsoku/>
                    <w:wordWrap/>
                    <w:overflowPunct/>
                    <w:topLinePunct w:val="0"/>
                    <w:autoSpaceDE/>
                    <w:autoSpaceDN/>
                    <w:bidi w:val="0"/>
                    <w:ind w:left="0" w:leftChars="0" w:right="0" w:firstLine="0" w:firstLineChars="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填表说明（列出项目相关信息及评价说明）</w:t>
                  </w:r>
                </w:p>
              </w:tc>
              <w:tc>
                <w:tcPr>
                  <w:tcW w:w="6260" w:type="dxa"/>
                  <w:gridSpan w:val="4"/>
                  <w:tcBorders>
                    <w:left w:val="single" w:color="auto" w:sz="4" w:space="0"/>
                  </w:tcBorders>
                  <w:noWrap w:val="0"/>
                  <w:vAlign w:val="center"/>
                </w:tcPr>
                <w:p w14:paraId="4DD3D121">
                  <w:pPr>
                    <w:keepNext w:val="0"/>
                    <w:keepLines w:val="0"/>
                    <w:pageBreakBefore w:val="0"/>
                    <w:widowControl/>
                    <w:kinsoku/>
                    <w:wordWrap/>
                    <w:overflowPunct/>
                    <w:topLinePunct w:val="0"/>
                    <w:autoSpaceDE/>
                    <w:autoSpaceDN/>
                    <w:bidi w:val="0"/>
                    <w:ind w:left="0" w:leftChars="0" w:right="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本项目计算出的</w:t>
                  </w:r>
                  <w:r>
                    <w:rPr>
                      <w:rFonts w:hint="eastAsia" w:ascii="Times New Roman" w:hAnsi="Times New Roman" w:cs="Times New Roman"/>
                      <w:color w:val="auto"/>
                      <w:sz w:val="21"/>
                      <w:szCs w:val="21"/>
                      <w:lang w:val="en-US" w:eastAsia="zh-CN"/>
                    </w:rPr>
                    <w:t>风险</w:t>
                  </w:r>
                  <w:r>
                    <w:rPr>
                      <w:rFonts w:hint="default" w:ascii="Times New Roman" w:hAnsi="Times New Roman" w:cs="Times New Roman"/>
                      <w:color w:val="auto"/>
                      <w:sz w:val="21"/>
                      <w:szCs w:val="21"/>
                    </w:rPr>
                    <w:t>物质总量与其临界量比值Q&lt;1，即环境风险潜势为I，展开简单分析即可，只要严格按照本环评要求进行监管，项目风险完全在可控范围之内。</w:t>
                  </w:r>
                </w:p>
              </w:tc>
            </w:tr>
          </w:tbl>
          <w:p w14:paraId="6C60743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八、“三本账”分析</w:t>
            </w:r>
          </w:p>
          <w:p w14:paraId="03E9CE80">
            <w:pPr>
              <w:pStyle w:val="84"/>
              <w:pageBreakBefore w:val="0"/>
              <w:widowControl w:val="0"/>
              <w:kinsoku/>
              <w:wordWrap/>
              <w:overflowPunct/>
              <w:topLinePunct w:val="0"/>
              <w:bidi w:val="0"/>
              <w:adjustRightInd/>
              <w:snapToGrid/>
              <w:rPr>
                <w:rFonts w:hint="default" w:cs="Times New Roman"/>
                <w:color w:val="auto"/>
                <w:highlight w:val="none"/>
                <w:lang w:val="en-US" w:eastAsia="zh-CN"/>
              </w:rPr>
            </w:pPr>
            <w:r>
              <w:rPr>
                <w:rFonts w:hint="eastAsia" w:cs="Times New Roman"/>
                <w:color w:val="auto"/>
                <w:highlight w:val="none"/>
                <w:lang w:val="en-US" w:eastAsia="zh-CN"/>
              </w:rPr>
              <w:t>项目“三本账”分析见下表。</w:t>
            </w:r>
          </w:p>
          <w:p w14:paraId="346C202B">
            <w:pPr>
              <w:pStyle w:val="82"/>
              <w:bidi w:val="0"/>
              <w:rPr>
                <w:rFonts w:hint="default" w:ascii="Times New Roman" w:hAnsi="Times New Roman" w:eastAsia="宋体" w:cs="Times New Roman"/>
                <w:b/>
                <w:bCs/>
                <w:color w:val="auto"/>
                <w:kern w:val="0"/>
                <w:sz w:val="21"/>
                <w:szCs w:val="24"/>
                <w:highlight w:val="none"/>
                <w:lang w:val="en-US" w:eastAsia="zh-CN" w:bidi="ar-SA"/>
              </w:rPr>
            </w:pPr>
          </w:p>
          <w:p w14:paraId="5ECE2860">
            <w:pPr>
              <w:pStyle w:val="82"/>
              <w:bidi w:val="0"/>
              <w:rPr>
                <w:rFonts w:hint="default" w:ascii="Times New Roman" w:hAnsi="Times New Roman" w:eastAsia="宋体" w:cs="Times New Roman"/>
                <w:b/>
                <w:bCs/>
                <w:color w:val="auto"/>
                <w:kern w:val="0"/>
                <w:sz w:val="21"/>
                <w:szCs w:val="24"/>
                <w:highlight w:val="none"/>
                <w:lang w:val="en-US" w:eastAsia="zh-CN" w:bidi="ar-SA"/>
              </w:rPr>
            </w:pPr>
          </w:p>
          <w:p w14:paraId="2916D90D">
            <w:pPr>
              <w:pStyle w:val="82"/>
              <w:bidi w:val="0"/>
              <w:rPr>
                <w:rFonts w:hint="default" w:ascii="Times New Roman" w:hAnsi="Times New Roman" w:eastAsia="宋体" w:cs="Times New Roman"/>
                <w:b/>
                <w:bCs/>
                <w:color w:val="auto"/>
                <w:kern w:val="0"/>
                <w:sz w:val="21"/>
                <w:szCs w:val="24"/>
                <w:highlight w:val="none"/>
                <w:lang w:val="en-US" w:eastAsia="zh-CN" w:bidi="ar-SA"/>
              </w:rPr>
            </w:pPr>
          </w:p>
          <w:p w14:paraId="13BBE211">
            <w:pPr>
              <w:pStyle w:val="82"/>
              <w:bidi w:val="0"/>
              <w:rPr>
                <w:rFonts w:hint="default" w:ascii="Times New Roman" w:hAnsi="Times New Roman" w:eastAsia="宋体" w:cs="Times New Roman"/>
                <w:b/>
                <w:bCs/>
                <w:color w:val="auto"/>
                <w:kern w:val="0"/>
                <w:sz w:val="21"/>
                <w:szCs w:val="24"/>
                <w:lang w:val="en-US" w:eastAsia="zh-CN" w:bidi="ar-SA"/>
              </w:rPr>
            </w:pPr>
            <w:r>
              <w:rPr>
                <w:rFonts w:hint="default" w:ascii="Times New Roman" w:hAnsi="Times New Roman" w:eastAsia="宋体" w:cs="Times New Roman"/>
                <w:b/>
                <w:bCs/>
                <w:color w:val="auto"/>
                <w:kern w:val="0"/>
                <w:sz w:val="21"/>
                <w:szCs w:val="24"/>
                <w:highlight w:val="none"/>
                <w:lang w:val="en-US" w:eastAsia="zh-CN" w:bidi="ar-SA"/>
              </w:rPr>
              <w:t>表</w:t>
            </w:r>
            <w:r>
              <w:rPr>
                <w:rFonts w:hint="eastAsia" w:ascii="Times New Roman" w:hAnsi="Times New Roman" w:eastAsia="宋体" w:cs="Times New Roman"/>
                <w:b/>
                <w:bCs/>
                <w:color w:val="auto"/>
                <w:kern w:val="0"/>
                <w:sz w:val="21"/>
                <w:szCs w:val="24"/>
                <w:highlight w:val="none"/>
                <w:lang w:val="en-US" w:eastAsia="zh-CN" w:bidi="ar-SA"/>
              </w:rPr>
              <w:t>4-</w:t>
            </w:r>
            <w:r>
              <w:rPr>
                <w:rFonts w:hint="eastAsia" w:cs="Times New Roman"/>
                <w:b/>
                <w:bCs/>
                <w:color w:val="auto"/>
                <w:kern w:val="0"/>
                <w:sz w:val="21"/>
                <w:szCs w:val="24"/>
                <w:highlight w:val="none"/>
                <w:lang w:val="en-US" w:eastAsia="zh-CN" w:bidi="ar-SA"/>
              </w:rPr>
              <w:t>24</w:t>
            </w:r>
            <w:r>
              <w:rPr>
                <w:rFonts w:hint="eastAsia" w:ascii="Times New Roman" w:hAnsi="Times New Roman" w:eastAsia="宋体" w:cs="Times New Roman"/>
                <w:b/>
                <w:bCs/>
                <w:color w:val="auto"/>
                <w:kern w:val="0"/>
                <w:sz w:val="21"/>
                <w:szCs w:val="24"/>
                <w:highlight w:val="none"/>
                <w:lang w:val="en-US" w:eastAsia="zh-CN" w:bidi="ar-SA"/>
              </w:rPr>
              <w:t xml:space="preserve">  </w:t>
            </w:r>
            <w:r>
              <w:rPr>
                <w:rFonts w:hint="default" w:ascii="Times New Roman" w:hAnsi="Times New Roman" w:eastAsia="宋体" w:cs="Times New Roman"/>
                <w:b/>
                <w:bCs/>
                <w:color w:val="auto"/>
                <w:kern w:val="0"/>
                <w:sz w:val="21"/>
                <w:szCs w:val="24"/>
                <w:lang w:val="en-US" w:eastAsia="zh-CN" w:bidi="ar-SA"/>
              </w:rPr>
              <w:t xml:space="preserve"> “三本账”分析一览表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29"/>
              <w:gridCol w:w="1200"/>
              <w:gridCol w:w="1284"/>
              <w:gridCol w:w="1262"/>
              <w:gridCol w:w="1279"/>
              <w:gridCol w:w="1455"/>
              <w:gridCol w:w="869"/>
            </w:tblGrid>
            <w:tr w14:paraId="20A3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tblHeader/>
                <w:jc w:val="center"/>
              </w:trPr>
              <w:tc>
                <w:tcPr>
                  <w:tcW w:w="561" w:type="pct"/>
                  <w:noWrap w:val="0"/>
                  <w:tcMar>
                    <w:top w:w="0" w:type="dxa"/>
                    <w:left w:w="57" w:type="dxa"/>
                    <w:bottom w:w="0" w:type="dxa"/>
                    <w:right w:w="57" w:type="dxa"/>
                  </w:tcMar>
                  <w:vAlign w:val="center"/>
                </w:tcPr>
                <w:p w14:paraId="0D2BE941">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w:t>
                  </w:r>
                </w:p>
              </w:tc>
              <w:tc>
                <w:tcPr>
                  <w:tcW w:w="724" w:type="pct"/>
                  <w:noWrap w:val="0"/>
                  <w:tcMar>
                    <w:top w:w="0" w:type="dxa"/>
                    <w:left w:w="57" w:type="dxa"/>
                    <w:bottom w:w="0" w:type="dxa"/>
                    <w:right w:w="57" w:type="dxa"/>
                  </w:tcMar>
                  <w:vAlign w:val="center"/>
                </w:tcPr>
                <w:p w14:paraId="736182DB">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w:t>
                  </w:r>
                </w:p>
                <w:p w14:paraId="5F4012FA">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eastAsia"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名称</w:t>
                  </w:r>
                </w:p>
              </w:tc>
              <w:tc>
                <w:tcPr>
                  <w:tcW w:w="775" w:type="pct"/>
                  <w:noWrap w:val="0"/>
                  <w:tcMar>
                    <w:top w:w="0" w:type="dxa"/>
                    <w:left w:w="57" w:type="dxa"/>
                    <w:bottom w:w="0" w:type="dxa"/>
                    <w:right w:w="57" w:type="dxa"/>
                  </w:tcMar>
                  <w:vAlign w:val="center"/>
                </w:tcPr>
                <w:p w14:paraId="2CDB11A6">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eastAsia"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rPr>
                    <w:t>现有项目排放量</w:t>
                  </w:r>
                  <w:r>
                    <w:rPr>
                      <w:rFonts w:hint="eastAsia" w:cs="Times New Roman"/>
                      <w:b/>
                      <w:bCs/>
                      <w:color w:val="auto"/>
                      <w:szCs w:val="21"/>
                      <w:highlight w:val="none"/>
                      <w:lang w:eastAsia="zh-CN"/>
                    </w:rPr>
                    <w:t>（</w:t>
                  </w:r>
                  <w:r>
                    <w:rPr>
                      <w:rFonts w:hint="eastAsia" w:cs="Times New Roman"/>
                      <w:b/>
                      <w:bCs/>
                      <w:color w:val="auto"/>
                      <w:szCs w:val="21"/>
                      <w:highlight w:val="none"/>
                      <w:lang w:val="en-US" w:eastAsia="zh-CN"/>
                    </w:rPr>
                    <w:t>固体废物产生量</w:t>
                  </w:r>
                  <w:r>
                    <w:rPr>
                      <w:rFonts w:hint="eastAsia" w:cs="Times New Roman"/>
                      <w:b/>
                      <w:bCs/>
                      <w:color w:val="auto"/>
                      <w:szCs w:val="21"/>
                      <w:highlight w:val="none"/>
                      <w:lang w:eastAsia="zh-CN"/>
                    </w:rPr>
                    <w:t>）</w:t>
                  </w:r>
                </w:p>
              </w:tc>
              <w:tc>
                <w:tcPr>
                  <w:tcW w:w="762" w:type="pct"/>
                  <w:noWrap w:val="0"/>
                  <w:tcMar>
                    <w:top w:w="0" w:type="dxa"/>
                    <w:left w:w="57" w:type="dxa"/>
                    <w:bottom w:w="0" w:type="dxa"/>
                    <w:right w:w="57" w:type="dxa"/>
                  </w:tcMar>
                  <w:vAlign w:val="center"/>
                </w:tcPr>
                <w:p w14:paraId="2E578E75">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bCs/>
                      <w:color w:val="auto"/>
                      <w:szCs w:val="21"/>
                      <w:highlight w:val="none"/>
                    </w:rPr>
                  </w:pPr>
                  <w:r>
                    <w:rPr>
                      <w:rFonts w:hint="eastAsia" w:cs="Times New Roman"/>
                      <w:b/>
                      <w:bCs/>
                      <w:color w:val="auto"/>
                      <w:szCs w:val="21"/>
                      <w:highlight w:val="none"/>
                      <w:lang w:val="en-US" w:eastAsia="zh-CN"/>
                    </w:rPr>
                    <w:t>本次技改</w:t>
                  </w:r>
                  <w:r>
                    <w:rPr>
                      <w:rFonts w:hint="default" w:ascii="Times New Roman" w:hAnsi="Times New Roman" w:cs="Times New Roman"/>
                      <w:b/>
                      <w:bCs/>
                      <w:color w:val="auto"/>
                      <w:szCs w:val="21"/>
                      <w:highlight w:val="none"/>
                    </w:rPr>
                    <w:t>项目排放量</w:t>
                  </w:r>
                  <w:r>
                    <w:rPr>
                      <w:rFonts w:hint="eastAsia" w:cs="Times New Roman"/>
                      <w:b/>
                      <w:bCs/>
                      <w:color w:val="auto"/>
                      <w:szCs w:val="21"/>
                      <w:highlight w:val="none"/>
                      <w:lang w:eastAsia="zh-CN"/>
                    </w:rPr>
                    <w:t>（</w:t>
                  </w:r>
                  <w:r>
                    <w:rPr>
                      <w:rFonts w:hint="eastAsia" w:cs="Times New Roman"/>
                      <w:b/>
                      <w:bCs/>
                      <w:color w:val="auto"/>
                      <w:szCs w:val="21"/>
                      <w:highlight w:val="none"/>
                      <w:lang w:val="en-US" w:eastAsia="zh-CN"/>
                    </w:rPr>
                    <w:t>固体废物产生量</w:t>
                  </w:r>
                  <w:r>
                    <w:rPr>
                      <w:rFonts w:hint="eastAsia" w:cs="Times New Roman"/>
                      <w:b/>
                      <w:bCs/>
                      <w:color w:val="auto"/>
                      <w:szCs w:val="21"/>
                      <w:highlight w:val="none"/>
                      <w:lang w:eastAsia="zh-CN"/>
                    </w:rPr>
                    <w:t>）</w:t>
                  </w:r>
                </w:p>
              </w:tc>
              <w:tc>
                <w:tcPr>
                  <w:tcW w:w="772" w:type="pct"/>
                  <w:noWrap w:val="0"/>
                  <w:tcMar>
                    <w:top w:w="0" w:type="dxa"/>
                    <w:left w:w="57" w:type="dxa"/>
                    <w:bottom w:w="0" w:type="dxa"/>
                    <w:right w:w="57" w:type="dxa"/>
                  </w:tcMar>
                  <w:vAlign w:val="center"/>
                </w:tcPr>
                <w:p w14:paraId="4531A2E9">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以新带老削减量</w:t>
                  </w:r>
                  <w:r>
                    <w:rPr>
                      <w:rFonts w:hint="eastAsia" w:cs="Times New Roman"/>
                      <w:b/>
                      <w:bCs/>
                      <w:color w:val="auto"/>
                      <w:szCs w:val="21"/>
                      <w:highlight w:val="none"/>
                      <w:lang w:eastAsia="zh-CN"/>
                    </w:rPr>
                    <w:t>（</w:t>
                  </w:r>
                  <w:r>
                    <w:rPr>
                      <w:rFonts w:hint="eastAsia" w:cs="Times New Roman"/>
                      <w:b/>
                      <w:bCs/>
                      <w:color w:val="auto"/>
                      <w:szCs w:val="21"/>
                      <w:highlight w:val="none"/>
                      <w:lang w:val="en-US" w:eastAsia="zh-CN"/>
                    </w:rPr>
                    <w:t>固体废物产生量</w:t>
                  </w:r>
                  <w:r>
                    <w:rPr>
                      <w:rFonts w:hint="eastAsia" w:cs="Times New Roman"/>
                      <w:b/>
                      <w:bCs/>
                      <w:color w:val="auto"/>
                      <w:szCs w:val="21"/>
                      <w:highlight w:val="none"/>
                      <w:lang w:eastAsia="zh-CN"/>
                    </w:rPr>
                    <w:t>）</w:t>
                  </w:r>
                </w:p>
              </w:tc>
              <w:tc>
                <w:tcPr>
                  <w:tcW w:w="878" w:type="pct"/>
                  <w:noWrap w:val="0"/>
                  <w:tcMar>
                    <w:top w:w="0" w:type="dxa"/>
                    <w:left w:w="57" w:type="dxa"/>
                    <w:bottom w:w="0" w:type="dxa"/>
                    <w:right w:w="57" w:type="dxa"/>
                  </w:tcMar>
                  <w:vAlign w:val="center"/>
                </w:tcPr>
                <w:p w14:paraId="05745781">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lang w:val="en-US" w:eastAsia="zh-CN"/>
                    </w:rPr>
                    <w:t>技改</w:t>
                  </w:r>
                  <w:r>
                    <w:rPr>
                      <w:rFonts w:hint="default" w:ascii="Times New Roman" w:hAnsi="Times New Roman" w:cs="Times New Roman"/>
                      <w:b/>
                      <w:bCs/>
                      <w:color w:val="auto"/>
                      <w:szCs w:val="21"/>
                      <w:highlight w:val="none"/>
                    </w:rPr>
                    <w:t>后</w:t>
                  </w:r>
                  <w:r>
                    <w:rPr>
                      <w:rFonts w:hint="eastAsia" w:ascii="Times New Roman" w:hAnsi="Times New Roman" w:cs="Times New Roman"/>
                      <w:b/>
                      <w:bCs/>
                      <w:color w:val="auto"/>
                      <w:szCs w:val="21"/>
                      <w:highlight w:val="none"/>
                      <w:lang w:val="en-US" w:eastAsia="zh-CN"/>
                    </w:rPr>
                    <w:t>全厂</w:t>
                  </w:r>
                  <w:r>
                    <w:rPr>
                      <w:rFonts w:hint="default" w:ascii="Times New Roman" w:hAnsi="Times New Roman" w:cs="Times New Roman"/>
                      <w:b/>
                      <w:bCs/>
                      <w:color w:val="auto"/>
                      <w:szCs w:val="21"/>
                      <w:highlight w:val="none"/>
                    </w:rPr>
                    <w:t>总排放量</w:t>
                  </w:r>
                  <w:r>
                    <w:rPr>
                      <w:rFonts w:hint="eastAsia" w:cs="Times New Roman"/>
                      <w:b/>
                      <w:bCs/>
                      <w:color w:val="auto"/>
                      <w:szCs w:val="21"/>
                      <w:highlight w:val="none"/>
                      <w:lang w:eastAsia="zh-CN"/>
                    </w:rPr>
                    <w:t>（</w:t>
                  </w:r>
                  <w:r>
                    <w:rPr>
                      <w:rFonts w:hint="eastAsia" w:cs="Times New Roman"/>
                      <w:b/>
                      <w:bCs/>
                      <w:color w:val="auto"/>
                      <w:szCs w:val="21"/>
                      <w:highlight w:val="none"/>
                      <w:lang w:val="en-US" w:eastAsia="zh-CN"/>
                    </w:rPr>
                    <w:t>固体废物产生量</w:t>
                  </w:r>
                  <w:r>
                    <w:rPr>
                      <w:rFonts w:hint="eastAsia" w:cs="Times New Roman"/>
                      <w:b/>
                      <w:bCs/>
                      <w:color w:val="auto"/>
                      <w:szCs w:val="21"/>
                      <w:highlight w:val="none"/>
                      <w:lang w:eastAsia="zh-CN"/>
                    </w:rPr>
                    <w:t>）</w:t>
                  </w:r>
                </w:p>
              </w:tc>
              <w:tc>
                <w:tcPr>
                  <w:tcW w:w="524" w:type="pct"/>
                  <w:noWrap w:val="0"/>
                  <w:tcMar>
                    <w:top w:w="0" w:type="dxa"/>
                    <w:left w:w="57" w:type="dxa"/>
                    <w:bottom w:w="0" w:type="dxa"/>
                    <w:right w:w="57" w:type="dxa"/>
                  </w:tcMar>
                  <w:vAlign w:val="center"/>
                </w:tcPr>
                <w:p w14:paraId="3A6855AB">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排放增减量</w:t>
                  </w:r>
                </w:p>
              </w:tc>
            </w:tr>
            <w:tr w14:paraId="153C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blHeader/>
                <w:jc w:val="center"/>
              </w:trPr>
              <w:tc>
                <w:tcPr>
                  <w:tcW w:w="561" w:type="pct"/>
                  <w:vMerge w:val="restart"/>
                  <w:noWrap w:val="0"/>
                  <w:tcMar>
                    <w:top w:w="0" w:type="dxa"/>
                    <w:left w:w="57" w:type="dxa"/>
                    <w:bottom w:w="0" w:type="dxa"/>
                    <w:right w:w="57" w:type="dxa"/>
                  </w:tcMar>
                  <w:vAlign w:val="center"/>
                </w:tcPr>
                <w:p w14:paraId="33D82B3F">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r>
                    <w:rPr>
                      <w:rFonts w:hint="eastAsia" w:cs="Times New Roman"/>
                      <w:b w:val="0"/>
                      <w:bCs w:val="0"/>
                      <w:color w:val="auto"/>
                      <w:szCs w:val="21"/>
                      <w:highlight w:val="none"/>
                      <w:lang w:val="en-US" w:eastAsia="zh-CN"/>
                    </w:rPr>
                    <w:t>大气污染物</w:t>
                  </w:r>
                  <w:r>
                    <w:rPr>
                      <w:rFonts w:hint="default" w:ascii="Times New Roman" w:hAnsi="Times New Roman" w:cs="Times New Roman"/>
                      <w:b w:val="0"/>
                      <w:bCs w:val="0"/>
                      <w:color w:val="auto"/>
                      <w:szCs w:val="21"/>
                      <w:highlight w:val="none"/>
                    </w:rPr>
                    <w:t>（t/a）</w:t>
                  </w:r>
                </w:p>
              </w:tc>
              <w:tc>
                <w:tcPr>
                  <w:tcW w:w="724" w:type="pct"/>
                  <w:noWrap w:val="0"/>
                  <w:tcMar>
                    <w:top w:w="0" w:type="dxa"/>
                    <w:left w:w="57" w:type="dxa"/>
                    <w:bottom w:w="0" w:type="dxa"/>
                    <w:right w:w="57" w:type="dxa"/>
                  </w:tcMar>
                  <w:vAlign w:val="center"/>
                </w:tcPr>
                <w:p w14:paraId="66B14296">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废气量</w:t>
                  </w:r>
                </w:p>
              </w:tc>
              <w:tc>
                <w:tcPr>
                  <w:tcW w:w="775" w:type="pct"/>
                  <w:noWrap w:val="0"/>
                  <w:tcMar>
                    <w:top w:w="0" w:type="dxa"/>
                    <w:left w:w="57" w:type="dxa"/>
                    <w:bottom w:w="0" w:type="dxa"/>
                    <w:right w:w="57" w:type="dxa"/>
                  </w:tcMar>
                  <w:vAlign w:val="center"/>
                </w:tcPr>
                <w:p w14:paraId="61B9CD8F">
                  <w:pPr>
                    <w:keepNext w:val="0"/>
                    <w:keepLines w:val="0"/>
                    <w:widowControl/>
                    <w:suppressLineNumbers w:val="0"/>
                    <w:jc w:val="center"/>
                    <w:textAlignment w:val="center"/>
                    <w:rPr>
                      <w:rFonts w:hint="default" w:ascii="Times New Roman" w:hAnsi="Times New Roman" w:cs="Times New Roman"/>
                      <w:b w:val="0"/>
                      <w:bCs w:val="0"/>
                      <w:color w:val="auto"/>
                      <w:szCs w:val="21"/>
                      <w:highlight w:val="none"/>
                    </w:rPr>
                  </w:pPr>
                  <w:r>
                    <w:rPr>
                      <w:rFonts w:hint="eastAsia" w:cs="Times New Roman"/>
                      <w:snapToGrid w:val="0"/>
                      <w:color w:val="auto"/>
                      <w:kern w:val="21"/>
                      <w:sz w:val="21"/>
                      <w:szCs w:val="21"/>
                      <w:lang w:val="en-US" w:eastAsia="zh-CN"/>
                    </w:rPr>
                    <w:t>109.16</w:t>
                  </w:r>
                  <w:r>
                    <w:rPr>
                      <w:rFonts w:hint="default" w:ascii="Times New Roman" w:hAnsi="Times New Roman" w:cs="Times New Roman"/>
                      <w:snapToGrid w:val="0"/>
                      <w:color w:val="auto"/>
                      <w:kern w:val="21"/>
                      <w:sz w:val="21"/>
                      <w:szCs w:val="21"/>
                      <w:highlight w:val="none"/>
                      <w:lang w:val="en-US" w:eastAsia="zh-CN"/>
                    </w:rPr>
                    <w:t>万</w:t>
                  </w:r>
                  <w:r>
                    <w:rPr>
                      <w:rFonts w:hint="default" w:ascii="Times New Roman" w:hAnsi="Times New Roman" w:cs="Times New Roman"/>
                      <w:snapToGrid w:val="0"/>
                      <w:color w:val="auto"/>
                      <w:kern w:val="21"/>
                      <w:sz w:val="21"/>
                      <w:szCs w:val="21"/>
                      <w:highlight w:val="none"/>
                    </w:rPr>
                    <w:t>m</w:t>
                  </w:r>
                  <w:r>
                    <w:rPr>
                      <w:rFonts w:hint="default" w:ascii="Times New Roman" w:hAnsi="Times New Roman" w:cs="Times New Roman"/>
                      <w:snapToGrid w:val="0"/>
                      <w:color w:val="auto"/>
                      <w:kern w:val="21"/>
                      <w:sz w:val="21"/>
                      <w:szCs w:val="21"/>
                      <w:highlight w:val="none"/>
                      <w:vertAlign w:val="superscript"/>
                    </w:rPr>
                    <w:t>3</w:t>
                  </w:r>
                  <w:r>
                    <w:rPr>
                      <w:rFonts w:hint="default" w:ascii="Times New Roman" w:hAnsi="Times New Roman" w:cs="Times New Roman"/>
                      <w:snapToGrid w:val="0"/>
                      <w:color w:val="auto"/>
                      <w:kern w:val="21"/>
                      <w:sz w:val="21"/>
                      <w:szCs w:val="21"/>
                      <w:highlight w:val="none"/>
                    </w:rPr>
                    <w:t>/a</w:t>
                  </w:r>
                </w:p>
              </w:tc>
              <w:tc>
                <w:tcPr>
                  <w:tcW w:w="762" w:type="pct"/>
                  <w:noWrap w:val="0"/>
                  <w:tcMar>
                    <w:top w:w="0" w:type="dxa"/>
                    <w:left w:w="57" w:type="dxa"/>
                    <w:bottom w:w="0" w:type="dxa"/>
                    <w:right w:w="57" w:type="dxa"/>
                  </w:tcMar>
                  <w:vAlign w:val="center"/>
                </w:tcPr>
                <w:p w14:paraId="6E4D6914">
                  <w:pPr>
                    <w:keepNext w:val="0"/>
                    <w:keepLines w:val="0"/>
                    <w:widowControl/>
                    <w:suppressLineNumbers w:val="0"/>
                    <w:jc w:val="center"/>
                    <w:textAlignment w:val="center"/>
                    <w:rPr>
                      <w:rFonts w:hint="default" w:ascii="Times New Roman" w:hAnsi="Times New Roman" w:cs="Times New Roman"/>
                      <w:b w:val="0"/>
                      <w:bCs w:val="0"/>
                      <w:color w:val="auto"/>
                      <w:szCs w:val="21"/>
                      <w:highlight w:val="none"/>
                      <w:lang w:val="en-US" w:eastAsia="zh-CN"/>
                    </w:rPr>
                  </w:pPr>
                  <w:r>
                    <w:rPr>
                      <w:rFonts w:hint="eastAsia" w:cs="Times New Roman"/>
                      <w:i w:val="0"/>
                      <w:iCs w:val="0"/>
                      <w:color w:val="auto"/>
                      <w:kern w:val="0"/>
                      <w:sz w:val="21"/>
                      <w:szCs w:val="21"/>
                      <w:u w:val="none"/>
                      <w:lang w:val="en-US" w:eastAsia="zh-CN" w:bidi="ar"/>
                    </w:rPr>
                    <w:t>864</w:t>
                  </w:r>
                  <w:r>
                    <w:rPr>
                      <w:rFonts w:hint="default" w:ascii="Times New Roman" w:hAnsi="Times New Roman" w:cs="Times New Roman"/>
                      <w:snapToGrid w:val="0"/>
                      <w:color w:val="auto"/>
                      <w:kern w:val="21"/>
                      <w:sz w:val="21"/>
                      <w:szCs w:val="21"/>
                      <w:highlight w:val="none"/>
                      <w:lang w:val="en-US" w:eastAsia="zh-CN"/>
                    </w:rPr>
                    <w:t>万</w:t>
                  </w:r>
                  <w:r>
                    <w:rPr>
                      <w:rFonts w:hint="default" w:ascii="Times New Roman" w:hAnsi="Times New Roman" w:cs="Times New Roman"/>
                      <w:snapToGrid w:val="0"/>
                      <w:color w:val="auto"/>
                      <w:kern w:val="21"/>
                      <w:sz w:val="21"/>
                      <w:szCs w:val="21"/>
                      <w:highlight w:val="none"/>
                    </w:rPr>
                    <w:t>m</w:t>
                  </w:r>
                  <w:r>
                    <w:rPr>
                      <w:rFonts w:hint="default" w:ascii="Times New Roman" w:hAnsi="Times New Roman" w:cs="Times New Roman"/>
                      <w:snapToGrid w:val="0"/>
                      <w:color w:val="auto"/>
                      <w:kern w:val="21"/>
                      <w:sz w:val="21"/>
                      <w:szCs w:val="21"/>
                      <w:highlight w:val="none"/>
                      <w:vertAlign w:val="superscript"/>
                    </w:rPr>
                    <w:t>3</w:t>
                  </w:r>
                  <w:r>
                    <w:rPr>
                      <w:rFonts w:hint="default" w:ascii="Times New Roman" w:hAnsi="Times New Roman" w:cs="Times New Roman"/>
                      <w:snapToGrid w:val="0"/>
                      <w:color w:val="auto"/>
                      <w:kern w:val="21"/>
                      <w:sz w:val="21"/>
                      <w:szCs w:val="21"/>
                      <w:highlight w:val="none"/>
                    </w:rPr>
                    <w:t>/a</w:t>
                  </w:r>
                </w:p>
              </w:tc>
              <w:tc>
                <w:tcPr>
                  <w:tcW w:w="772" w:type="pct"/>
                  <w:noWrap w:val="0"/>
                  <w:tcMar>
                    <w:top w:w="0" w:type="dxa"/>
                    <w:left w:w="57" w:type="dxa"/>
                    <w:bottom w:w="0" w:type="dxa"/>
                    <w:right w:w="57" w:type="dxa"/>
                  </w:tcMar>
                  <w:vAlign w:val="center"/>
                </w:tcPr>
                <w:p w14:paraId="73C22473">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i w:val="0"/>
                      <w:iCs w:val="0"/>
                      <w:color w:val="auto"/>
                      <w:kern w:val="0"/>
                      <w:sz w:val="21"/>
                      <w:szCs w:val="21"/>
                      <w:u w:val="none"/>
                      <w:lang w:val="en-US" w:eastAsia="zh-CN" w:bidi="ar"/>
                    </w:rPr>
                    <w:t>109.16</w:t>
                  </w:r>
                  <w:r>
                    <w:rPr>
                      <w:rFonts w:hint="default" w:ascii="Times New Roman" w:hAnsi="Times New Roman" w:cs="Times New Roman"/>
                      <w:snapToGrid w:val="0"/>
                      <w:color w:val="auto"/>
                      <w:kern w:val="21"/>
                      <w:sz w:val="21"/>
                      <w:szCs w:val="21"/>
                      <w:highlight w:val="none"/>
                      <w:lang w:val="en-US" w:eastAsia="zh-CN"/>
                    </w:rPr>
                    <w:t>万</w:t>
                  </w:r>
                  <w:r>
                    <w:rPr>
                      <w:rFonts w:hint="default" w:ascii="Times New Roman" w:hAnsi="Times New Roman" w:cs="Times New Roman"/>
                      <w:snapToGrid w:val="0"/>
                      <w:color w:val="auto"/>
                      <w:kern w:val="21"/>
                      <w:sz w:val="21"/>
                      <w:szCs w:val="21"/>
                      <w:highlight w:val="none"/>
                    </w:rPr>
                    <w:t>m</w:t>
                  </w:r>
                  <w:r>
                    <w:rPr>
                      <w:rFonts w:hint="default" w:ascii="Times New Roman" w:hAnsi="Times New Roman" w:cs="Times New Roman"/>
                      <w:snapToGrid w:val="0"/>
                      <w:color w:val="auto"/>
                      <w:kern w:val="21"/>
                      <w:sz w:val="21"/>
                      <w:szCs w:val="21"/>
                      <w:highlight w:val="none"/>
                      <w:vertAlign w:val="superscript"/>
                    </w:rPr>
                    <w:t>3</w:t>
                  </w:r>
                  <w:r>
                    <w:rPr>
                      <w:rFonts w:hint="default" w:ascii="Times New Roman" w:hAnsi="Times New Roman" w:cs="Times New Roman"/>
                      <w:snapToGrid w:val="0"/>
                      <w:color w:val="auto"/>
                      <w:kern w:val="21"/>
                      <w:sz w:val="21"/>
                      <w:szCs w:val="21"/>
                      <w:highlight w:val="none"/>
                    </w:rPr>
                    <w:t>/a</w:t>
                  </w:r>
                </w:p>
              </w:tc>
              <w:tc>
                <w:tcPr>
                  <w:tcW w:w="878" w:type="pct"/>
                  <w:noWrap w:val="0"/>
                  <w:tcMar>
                    <w:top w:w="0" w:type="dxa"/>
                    <w:left w:w="57" w:type="dxa"/>
                    <w:bottom w:w="0" w:type="dxa"/>
                    <w:right w:w="57" w:type="dxa"/>
                  </w:tcMar>
                  <w:vAlign w:val="center"/>
                </w:tcPr>
                <w:p w14:paraId="4DAE9727">
                  <w:pPr>
                    <w:keepNext w:val="0"/>
                    <w:keepLines w:val="0"/>
                    <w:widowControl/>
                    <w:suppressLineNumbers w:val="0"/>
                    <w:jc w:val="center"/>
                    <w:textAlignment w:val="center"/>
                    <w:rPr>
                      <w:rFonts w:hint="default" w:ascii="Times New Roman" w:hAnsi="Times New Roman" w:cs="Times New Roman"/>
                      <w:b w:val="0"/>
                      <w:bCs w:val="0"/>
                      <w:color w:val="auto"/>
                      <w:szCs w:val="21"/>
                      <w:highlight w:val="none"/>
                    </w:rPr>
                  </w:pPr>
                  <w:r>
                    <w:rPr>
                      <w:rFonts w:hint="eastAsia" w:cs="Times New Roman"/>
                      <w:i w:val="0"/>
                      <w:iCs w:val="0"/>
                      <w:color w:val="auto"/>
                      <w:kern w:val="0"/>
                      <w:sz w:val="21"/>
                      <w:szCs w:val="21"/>
                      <w:u w:val="none"/>
                      <w:lang w:val="en-US" w:eastAsia="zh-CN" w:bidi="ar"/>
                    </w:rPr>
                    <w:t>864</w:t>
                  </w:r>
                  <w:r>
                    <w:rPr>
                      <w:rFonts w:hint="default" w:ascii="Times New Roman" w:hAnsi="Times New Roman" w:cs="Times New Roman"/>
                      <w:snapToGrid w:val="0"/>
                      <w:color w:val="auto"/>
                      <w:kern w:val="21"/>
                      <w:sz w:val="21"/>
                      <w:szCs w:val="21"/>
                      <w:highlight w:val="none"/>
                      <w:lang w:val="en-US" w:eastAsia="zh-CN"/>
                    </w:rPr>
                    <w:t>万</w:t>
                  </w:r>
                  <w:r>
                    <w:rPr>
                      <w:rFonts w:hint="default" w:ascii="Times New Roman" w:hAnsi="Times New Roman" w:cs="Times New Roman"/>
                      <w:snapToGrid w:val="0"/>
                      <w:color w:val="auto"/>
                      <w:kern w:val="21"/>
                      <w:sz w:val="21"/>
                      <w:szCs w:val="21"/>
                      <w:highlight w:val="none"/>
                    </w:rPr>
                    <w:t>m</w:t>
                  </w:r>
                  <w:r>
                    <w:rPr>
                      <w:rFonts w:hint="default" w:ascii="Times New Roman" w:hAnsi="Times New Roman" w:cs="Times New Roman"/>
                      <w:snapToGrid w:val="0"/>
                      <w:color w:val="auto"/>
                      <w:kern w:val="21"/>
                      <w:sz w:val="21"/>
                      <w:szCs w:val="21"/>
                      <w:highlight w:val="none"/>
                      <w:vertAlign w:val="superscript"/>
                    </w:rPr>
                    <w:t>3</w:t>
                  </w:r>
                  <w:r>
                    <w:rPr>
                      <w:rFonts w:hint="default" w:ascii="Times New Roman" w:hAnsi="Times New Roman" w:cs="Times New Roman"/>
                      <w:snapToGrid w:val="0"/>
                      <w:color w:val="auto"/>
                      <w:kern w:val="21"/>
                      <w:sz w:val="21"/>
                      <w:szCs w:val="21"/>
                      <w:highlight w:val="none"/>
                    </w:rPr>
                    <w:t>/a</w:t>
                  </w:r>
                </w:p>
              </w:tc>
              <w:tc>
                <w:tcPr>
                  <w:tcW w:w="524" w:type="pct"/>
                  <w:noWrap w:val="0"/>
                  <w:tcMar>
                    <w:top w:w="0" w:type="dxa"/>
                    <w:left w:w="57" w:type="dxa"/>
                    <w:bottom w:w="0" w:type="dxa"/>
                    <w:right w:w="57" w:type="dxa"/>
                  </w:tcMar>
                  <w:vAlign w:val="center"/>
                </w:tcPr>
                <w:p w14:paraId="3B261806">
                  <w:pPr>
                    <w:keepNext w:val="0"/>
                    <w:keepLines w:val="0"/>
                    <w:widowControl/>
                    <w:suppressLineNumbers w:val="0"/>
                    <w:jc w:val="center"/>
                    <w:textAlignment w:val="center"/>
                    <w:rPr>
                      <w:rFonts w:hint="default" w:ascii="Times New Roman" w:hAnsi="Times New Roman" w:cs="Times New Roman"/>
                      <w:b w:val="0"/>
                      <w:bCs w:val="0"/>
                      <w:color w:val="auto"/>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754.24</w:t>
                  </w:r>
                  <w:r>
                    <w:rPr>
                      <w:rFonts w:hint="default" w:ascii="Times New Roman" w:hAnsi="Times New Roman" w:cs="Times New Roman"/>
                      <w:snapToGrid w:val="0"/>
                      <w:color w:val="auto"/>
                      <w:kern w:val="21"/>
                      <w:sz w:val="21"/>
                      <w:szCs w:val="21"/>
                      <w:highlight w:val="none"/>
                      <w:lang w:val="en-US" w:eastAsia="zh-CN"/>
                    </w:rPr>
                    <w:t>万</w:t>
                  </w:r>
                  <w:r>
                    <w:rPr>
                      <w:rFonts w:hint="default" w:ascii="Times New Roman" w:hAnsi="Times New Roman" w:cs="Times New Roman"/>
                      <w:snapToGrid w:val="0"/>
                      <w:color w:val="auto"/>
                      <w:kern w:val="21"/>
                      <w:sz w:val="21"/>
                      <w:szCs w:val="21"/>
                      <w:highlight w:val="none"/>
                    </w:rPr>
                    <w:t>m</w:t>
                  </w:r>
                  <w:r>
                    <w:rPr>
                      <w:rFonts w:hint="default" w:ascii="Times New Roman" w:hAnsi="Times New Roman" w:cs="Times New Roman"/>
                      <w:snapToGrid w:val="0"/>
                      <w:color w:val="auto"/>
                      <w:kern w:val="21"/>
                      <w:sz w:val="21"/>
                      <w:szCs w:val="21"/>
                      <w:highlight w:val="none"/>
                      <w:vertAlign w:val="superscript"/>
                    </w:rPr>
                    <w:t>3</w:t>
                  </w:r>
                  <w:r>
                    <w:rPr>
                      <w:rFonts w:hint="default" w:ascii="Times New Roman" w:hAnsi="Times New Roman" w:cs="Times New Roman"/>
                      <w:snapToGrid w:val="0"/>
                      <w:color w:val="auto"/>
                      <w:kern w:val="21"/>
                      <w:sz w:val="21"/>
                      <w:szCs w:val="21"/>
                      <w:highlight w:val="none"/>
                    </w:rPr>
                    <w:t>/a</w:t>
                  </w:r>
                </w:p>
              </w:tc>
            </w:tr>
            <w:tr w14:paraId="2D18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61" w:type="pct"/>
                  <w:vMerge w:val="continue"/>
                  <w:noWrap w:val="0"/>
                  <w:tcMar>
                    <w:top w:w="0" w:type="dxa"/>
                    <w:left w:w="57" w:type="dxa"/>
                    <w:bottom w:w="0" w:type="dxa"/>
                    <w:right w:w="57" w:type="dxa"/>
                  </w:tcMar>
                  <w:vAlign w:val="center"/>
                </w:tcPr>
                <w:p w14:paraId="160A6AB1">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p>
              </w:tc>
              <w:tc>
                <w:tcPr>
                  <w:tcW w:w="724" w:type="pct"/>
                  <w:noWrap w:val="0"/>
                  <w:tcMar>
                    <w:top w:w="0" w:type="dxa"/>
                    <w:left w:w="57" w:type="dxa"/>
                    <w:bottom w:w="0" w:type="dxa"/>
                    <w:right w:w="57" w:type="dxa"/>
                  </w:tcMar>
                  <w:vAlign w:val="center"/>
                </w:tcPr>
                <w:p w14:paraId="3342724D">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颗粒物</w:t>
                  </w:r>
                </w:p>
              </w:tc>
              <w:tc>
                <w:tcPr>
                  <w:tcW w:w="1284" w:type="dxa"/>
                  <w:noWrap w:val="0"/>
                  <w:tcMar>
                    <w:top w:w="0" w:type="dxa"/>
                    <w:left w:w="57" w:type="dxa"/>
                    <w:bottom w:w="0" w:type="dxa"/>
                    <w:right w:w="57" w:type="dxa"/>
                  </w:tcMar>
                  <w:vAlign w:val="center"/>
                </w:tcPr>
                <w:p w14:paraId="20D9DA7E">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i w:val="0"/>
                      <w:iCs w:val="0"/>
                      <w:color w:val="auto"/>
                      <w:kern w:val="0"/>
                      <w:sz w:val="21"/>
                      <w:szCs w:val="21"/>
                      <w:u w:val="none"/>
                      <w:lang w:val="en-US" w:eastAsia="zh-CN" w:bidi="ar"/>
                    </w:rPr>
                    <w:t>0.016</w:t>
                  </w:r>
                </w:p>
              </w:tc>
              <w:tc>
                <w:tcPr>
                  <w:tcW w:w="1262" w:type="dxa"/>
                  <w:noWrap w:val="0"/>
                  <w:tcMar>
                    <w:top w:w="0" w:type="dxa"/>
                    <w:left w:w="57" w:type="dxa"/>
                    <w:bottom w:w="0" w:type="dxa"/>
                    <w:right w:w="57" w:type="dxa"/>
                  </w:tcMar>
                  <w:vAlign w:val="center"/>
                </w:tcPr>
                <w:p w14:paraId="42444704">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0.114 </w:t>
                  </w:r>
                </w:p>
              </w:tc>
              <w:tc>
                <w:tcPr>
                  <w:tcW w:w="1279" w:type="dxa"/>
                  <w:noWrap w:val="0"/>
                  <w:tcMar>
                    <w:top w:w="0" w:type="dxa"/>
                    <w:left w:w="57" w:type="dxa"/>
                    <w:bottom w:w="0" w:type="dxa"/>
                    <w:right w:w="57" w:type="dxa"/>
                  </w:tcMar>
                  <w:vAlign w:val="center"/>
                </w:tcPr>
                <w:p w14:paraId="2B8E4706">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i w:val="0"/>
                      <w:iCs w:val="0"/>
                      <w:color w:val="auto"/>
                      <w:kern w:val="0"/>
                      <w:sz w:val="21"/>
                      <w:szCs w:val="21"/>
                      <w:u w:val="none"/>
                      <w:lang w:val="en-US" w:eastAsia="zh-CN" w:bidi="ar"/>
                    </w:rPr>
                    <w:t>0.016</w:t>
                  </w:r>
                </w:p>
              </w:tc>
              <w:tc>
                <w:tcPr>
                  <w:tcW w:w="1455" w:type="dxa"/>
                  <w:noWrap w:val="0"/>
                  <w:tcMar>
                    <w:top w:w="0" w:type="dxa"/>
                    <w:left w:w="57" w:type="dxa"/>
                    <w:bottom w:w="0" w:type="dxa"/>
                    <w:right w:w="57" w:type="dxa"/>
                  </w:tcMar>
                  <w:vAlign w:val="center"/>
                </w:tcPr>
                <w:p w14:paraId="21083880">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0.114 </w:t>
                  </w:r>
                </w:p>
              </w:tc>
              <w:tc>
                <w:tcPr>
                  <w:tcW w:w="524" w:type="pct"/>
                  <w:noWrap w:val="0"/>
                  <w:tcMar>
                    <w:top w:w="0" w:type="dxa"/>
                    <w:left w:w="57" w:type="dxa"/>
                    <w:bottom w:w="0" w:type="dxa"/>
                    <w:right w:w="57" w:type="dxa"/>
                  </w:tcMar>
                  <w:vAlign w:val="center"/>
                </w:tcPr>
                <w:p w14:paraId="415CEB2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+0.098</w:t>
                  </w:r>
                </w:p>
              </w:tc>
            </w:tr>
            <w:tr w14:paraId="378A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0" w:hRule="atLeast"/>
                <w:jc w:val="center"/>
              </w:trPr>
              <w:tc>
                <w:tcPr>
                  <w:tcW w:w="561" w:type="pct"/>
                  <w:vMerge w:val="continue"/>
                  <w:noWrap w:val="0"/>
                  <w:tcMar>
                    <w:top w:w="0" w:type="dxa"/>
                    <w:left w:w="57" w:type="dxa"/>
                    <w:bottom w:w="0" w:type="dxa"/>
                    <w:right w:w="57" w:type="dxa"/>
                  </w:tcMar>
                  <w:vAlign w:val="center"/>
                </w:tcPr>
                <w:p w14:paraId="2852A3E7">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p>
              </w:tc>
              <w:tc>
                <w:tcPr>
                  <w:tcW w:w="724" w:type="pct"/>
                  <w:noWrap w:val="0"/>
                  <w:tcMar>
                    <w:top w:w="0" w:type="dxa"/>
                    <w:left w:w="57" w:type="dxa"/>
                    <w:bottom w:w="0" w:type="dxa"/>
                    <w:right w:w="57" w:type="dxa"/>
                  </w:tcMar>
                  <w:vAlign w:val="center"/>
                </w:tcPr>
                <w:p w14:paraId="57A4F88E">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SO</w:t>
                  </w:r>
                  <w:r>
                    <w:rPr>
                      <w:rFonts w:hint="default" w:ascii="Times New Roman" w:hAnsi="Times New Roman" w:cs="Times New Roman"/>
                      <w:b w:val="0"/>
                      <w:bCs w:val="0"/>
                      <w:color w:val="auto"/>
                      <w:szCs w:val="21"/>
                      <w:highlight w:val="none"/>
                      <w:vertAlign w:val="subscript"/>
                    </w:rPr>
                    <w:t>2</w:t>
                  </w:r>
                </w:p>
              </w:tc>
              <w:tc>
                <w:tcPr>
                  <w:tcW w:w="1284" w:type="dxa"/>
                  <w:noWrap w:val="0"/>
                  <w:tcMar>
                    <w:top w:w="0" w:type="dxa"/>
                    <w:left w:w="57" w:type="dxa"/>
                    <w:bottom w:w="0" w:type="dxa"/>
                    <w:right w:w="57" w:type="dxa"/>
                  </w:tcMar>
                  <w:vAlign w:val="center"/>
                </w:tcPr>
                <w:p w14:paraId="2476AB78">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i w:val="0"/>
                      <w:iCs w:val="0"/>
                      <w:color w:val="auto"/>
                      <w:kern w:val="0"/>
                      <w:sz w:val="21"/>
                      <w:szCs w:val="21"/>
                      <w:u w:val="none"/>
                      <w:lang w:val="en-US" w:eastAsia="zh-CN" w:bidi="ar"/>
                    </w:rPr>
                    <w:t>0.020</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262" w:type="dxa"/>
                  <w:noWrap w:val="0"/>
                  <w:tcMar>
                    <w:top w:w="0" w:type="dxa"/>
                    <w:left w:w="57" w:type="dxa"/>
                    <w:bottom w:w="0" w:type="dxa"/>
                    <w:right w:w="57" w:type="dxa"/>
                  </w:tcMar>
                  <w:vAlign w:val="center"/>
                </w:tcPr>
                <w:p w14:paraId="3069D944">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0.175 </w:t>
                  </w:r>
                </w:p>
              </w:tc>
              <w:tc>
                <w:tcPr>
                  <w:tcW w:w="1279" w:type="dxa"/>
                  <w:noWrap w:val="0"/>
                  <w:tcMar>
                    <w:top w:w="0" w:type="dxa"/>
                    <w:left w:w="57" w:type="dxa"/>
                    <w:bottom w:w="0" w:type="dxa"/>
                    <w:right w:w="57" w:type="dxa"/>
                  </w:tcMar>
                  <w:vAlign w:val="center"/>
                </w:tcPr>
                <w:p w14:paraId="77220E1B">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i w:val="0"/>
                      <w:iCs w:val="0"/>
                      <w:color w:val="auto"/>
                      <w:kern w:val="0"/>
                      <w:sz w:val="21"/>
                      <w:szCs w:val="21"/>
                      <w:u w:val="none"/>
                      <w:lang w:val="en-US" w:eastAsia="zh-CN" w:bidi="ar"/>
                    </w:rPr>
                    <w:t>0.020</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455" w:type="dxa"/>
                  <w:noWrap w:val="0"/>
                  <w:tcMar>
                    <w:top w:w="0" w:type="dxa"/>
                    <w:left w:w="57" w:type="dxa"/>
                    <w:bottom w:w="0" w:type="dxa"/>
                    <w:right w:w="57" w:type="dxa"/>
                  </w:tcMar>
                  <w:vAlign w:val="center"/>
                </w:tcPr>
                <w:p w14:paraId="723C936B">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0.175 </w:t>
                  </w:r>
                </w:p>
              </w:tc>
              <w:tc>
                <w:tcPr>
                  <w:tcW w:w="524" w:type="pct"/>
                  <w:noWrap w:val="0"/>
                  <w:tcMar>
                    <w:top w:w="0" w:type="dxa"/>
                    <w:left w:w="57" w:type="dxa"/>
                    <w:bottom w:w="0" w:type="dxa"/>
                    <w:right w:w="57" w:type="dxa"/>
                  </w:tcMar>
                  <w:vAlign w:val="center"/>
                </w:tcPr>
                <w:p w14:paraId="4043272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0.15</w:t>
                  </w:r>
                  <w:r>
                    <w:rPr>
                      <w:rFonts w:hint="default" w:ascii="Times New Roman" w:hAnsi="Times New Roman" w:eastAsia="宋体" w:cs="Times New Roman"/>
                      <w:i w:val="0"/>
                      <w:iCs w:val="0"/>
                      <w:color w:val="auto"/>
                      <w:kern w:val="0"/>
                      <w:sz w:val="21"/>
                      <w:szCs w:val="21"/>
                      <w:u w:val="none"/>
                      <w:lang w:val="en-US" w:eastAsia="zh-CN" w:bidi="ar"/>
                    </w:rPr>
                    <w:t>5</w:t>
                  </w:r>
                </w:p>
              </w:tc>
            </w:tr>
            <w:tr w14:paraId="18CF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61" w:type="pct"/>
                  <w:vMerge w:val="continue"/>
                  <w:noWrap w:val="0"/>
                  <w:tcMar>
                    <w:top w:w="0" w:type="dxa"/>
                    <w:left w:w="57" w:type="dxa"/>
                    <w:bottom w:w="0" w:type="dxa"/>
                    <w:right w:w="57" w:type="dxa"/>
                  </w:tcMar>
                  <w:vAlign w:val="center"/>
                </w:tcPr>
                <w:p w14:paraId="49CAB2F0">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p>
              </w:tc>
              <w:tc>
                <w:tcPr>
                  <w:tcW w:w="724" w:type="pct"/>
                  <w:noWrap w:val="0"/>
                  <w:tcMar>
                    <w:top w:w="0" w:type="dxa"/>
                    <w:left w:w="57" w:type="dxa"/>
                    <w:bottom w:w="0" w:type="dxa"/>
                    <w:right w:w="57" w:type="dxa"/>
                  </w:tcMar>
                  <w:vAlign w:val="center"/>
                </w:tcPr>
                <w:p w14:paraId="5A091EF5">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NOx</w:t>
                  </w:r>
                </w:p>
              </w:tc>
              <w:tc>
                <w:tcPr>
                  <w:tcW w:w="1284" w:type="dxa"/>
                  <w:noWrap w:val="0"/>
                  <w:tcMar>
                    <w:top w:w="0" w:type="dxa"/>
                    <w:left w:w="57" w:type="dxa"/>
                    <w:bottom w:w="0" w:type="dxa"/>
                    <w:right w:w="57" w:type="dxa"/>
                  </w:tcMar>
                  <w:vAlign w:val="center"/>
                </w:tcPr>
                <w:p w14:paraId="66100103">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i w:val="0"/>
                      <w:iCs w:val="0"/>
                      <w:color w:val="auto"/>
                      <w:kern w:val="0"/>
                      <w:sz w:val="21"/>
                      <w:szCs w:val="21"/>
                      <w:u w:val="none"/>
                      <w:lang w:val="en-US" w:eastAsia="zh-CN" w:bidi="ar"/>
                    </w:rPr>
                    <w:t>0.077</w:t>
                  </w:r>
                </w:p>
              </w:tc>
              <w:tc>
                <w:tcPr>
                  <w:tcW w:w="1262" w:type="dxa"/>
                  <w:noWrap w:val="0"/>
                  <w:tcMar>
                    <w:top w:w="0" w:type="dxa"/>
                    <w:left w:w="57" w:type="dxa"/>
                    <w:bottom w:w="0" w:type="dxa"/>
                    <w:right w:w="57" w:type="dxa"/>
                  </w:tcMar>
                  <w:vAlign w:val="center"/>
                </w:tcPr>
                <w:p w14:paraId="140F3F84">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1.728 </w:t>
                  </w:r>
                </w:p>
              </w:tc>
              <w:tc>
                <w:tcPr>
                  <w:tcW w:w="1279" w:type="dxa"/>
                  <w:noWrap w:val="0"/>
                  <w:tcMar>
                    <w:top w:w="0" w:type="dxa"/>
                    <w:left w:w="57" w:type="dxa"/>
                    <w:bottom w:w="0" w:type="dxa"/>
                    <w:right w:w="57" w:type="dxa"/>
                  </w:tcMar>
                  <w:vAlign w:val="center"/>
                </w:tcPr>
                <w:p w14:paraId="4B183404">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i w:val="0"/>
                      <w:iCs w:val="0"/>
                      <w:color w:val="auto"/>
                      <w:kern w:val="0"/>
                      <w:sz w:val="21"/>
                      <w:szCs w:val="21"/>
                      <w:u w:val="none"/>
                      <w:lang w:val="en-US" w:eastAsia="zh-CN" w:bidi="ar"/>
                    </w:rPr>
                    <w:t>0.077</w:t>
                  </w:r>
                </w:p>
              </w:tc>
              <w:tc>
                <w:tcPr>
                  <w:tcW w:w="1455" w:type="dxa"/>
                  <w:noWrap w:val="0"/>
                  <w:tcMar>
                    <w:top w:w="0" w:type="dxa"/>
                    <w:left w:w="57" w:type="dxa"/>
                    <w:bottom w:w="0" w:type="dxa"/>
                    <w:right w:w="57" w:type="dxa"/>
                  </w:tcMar>
                  <w:vAlign w:val="center"/>
                </w:tcPr>
                <w:p w14:paraId="6962BD57">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1.728 </w:t>
                  </w:r>
                </w:p>
              </w:tc>
              <w:tc>
                <w:tcPr>
                  <w:tcW w:w="524" w:type="pct"/>
                  <w:noWrap w:val="0"/>
                  <w:tcMar>
                    <w:top w:w="0" w:type="dxa"/>
                    <w:left w:w="57" w:type="dxa"/>
                    <w:bottom w:w="0" w:type="dxa"/>
                    <w:right w:w="57" w:type="dxa"/>
                  </w:tcMar>
                  <w:vAlign w:val="center"/>
                </w:tcPr>
                <w:p w14:paraId="13A5276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1.651</w:t>
                  </w:r>
                </w:p>
              </w:tc>
            </w:tr>
            <w:tr w14:paraId="05C4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4" w:hRule="atLeast"/>
                <w:jc w:val="center"/>
              </w:trPr>
              <w:tc>
                <w:tcPr>
                  <w:tcW w:w="561" w:type="pct"/>
                  <w:vMerge w:val="restart"/>
                  <w:noWrap w:val="0"/>
                  <w:tcMar>
                    <w:top w:w="0" w:type="dxa"/>
                    <w:left w:w="57" w:type="dxa"/>
                    <w:bottom w:w="0" w:type="dxa"/>
                    <w:right w:w="57" w:type="dxa"/>
                  </w:tcMar>
                  <w:vAlign w:val="center"/>
                </w:tcPr>
                <w:p w14:paraId="12090806">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水污染物</w:t>
                  </w:r>
                </w:p>
                <w:p w14:paraId="3134ABD7">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w:t>
                  </w:r>
                  <w:r>
                    <w:rPr>
                      <w:rFonts w:hint="eastAsia" w:cs="Times New Roman"/>
                      <w:b w:val="0"/>
                      <w:bCs w:val="0"/>
                      <w:color w:val="auto"/>
                      <w:szCs w:val="21"/>
                      <w:highlight w:val="none"/>
                      <w:lang w:val="en-US" w:eastAsia="zh-CN"/>
                    </w:rPr>
                    <w:t>t</w:t>
                  </w:r>
                  <w:r>
                    <w:rPr>
                      <w:rFonts w:hint="default" w:ascii="Times New Roman" w:hAnsi="Times New Roman" w:cs="Times New Roman"/>
                      <w:b w:val="0"/>
                      <w:bCs w:val="0"/>
                      <w:color w:val="auto"/>
                      <w:szCs w:val="21"/>
                      <w:highlight w:val="none"/>
                    </w:rPr>
                    <w:t>/a）</w:t>
                  </w:r>
                </w:p>
              </w:tc>
              <w:tc>
                <w:tcPr>
                  <w:tcW w:w="724" w:type="pct"/>
                  <w:noWrap w:val="0"/>
                  <w:tcMar>
                    <w:top w:w="0" w:type="dxa"/>
                    <w:left w:w="57" w:type="dxa"/>
                    <w:bottom w:w="0" w:type="dxa"/>
                    <w:right w:w="57" w:type="dxa"/>
                  </w:tcMar>
                  <w:vAlign w:val="center"/>
                </w:tcPr>
                <w:p w14:paraId="111C1985">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废水量</w:t>
                  </w:r>
                </w:p>
              </w:tc>
              <w:tc>
                <w:tcPr>
                  <w:tcW w:w="775" w:type="pct"/>
                  <w:noWrap w:val="0"/>
                  <w:tcMar>
                    <w:top w:w="0" w:type="dxa"/>
                    <w:left w:w="57" w:type="dxa"/>
                    <w:bottom w:w="0" w:type="dxa"/>
                    <w:right w:w="57" w:type="dxa"/>
                  </w:tcMar>
                  <w:vAlign w:val="center"/>
                </w:tcPr>
                <w:p w14:paraId="33E59FFF">
                  <w:pPr>
                    <w:keepNext w:val="0"/>
                    <w:keepLines w:val="0"/>
                    <w:widowControl/>
                    <w:suppressLineNumbers w:val="0"/>
                    <w:jc w:val="center"/>
                    <w:textAlignment w:val="center"/>
                    <w:rPr>
                      <w:rFonts w:hint="default" w:cs="Times New Roman"/>
                      <w:b w:val="0"/>
                      <w:bCs w:val="0"/>
                      <w:color w:val="auto"/>
                      <w:szCs w:val="21"/>
                      <w:highlight w:val="none"/>
                      <w:lang w:val="en-US" w:eastAsia="zh-CN"/>
                    </w:rPr>
                  </w:pPr>
                  <w:r>
                    <w:rPr>
                      <w:rFonts w:hint="eastAsia" w:ascii="Times New Roman" w:hAnsi="Times New Roman"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8673</w:t>
                  </w:r>
                  <w:r>
                    <w:rPr>
                      <w:rFonts w:hint="eastAsia" w:ascii="Times New Roman" w:hAnsi="Times New Roman" w:cs="Times New Roman"/>
                      <w:i w:val="0"/>
                      <w:iCs w:val="0"/>
                      <w:color w:val="auto"/>
                      <w:kern w:val="0"/>
                      <w:sz w:val="21"/>
                      <w:szCs w:val="21"/>
                      <w:u w:val="none"/>
                      <w:lang w:val="en-US" w:eastAsia="zh-CN" w:bidi="ar"/>
                    </w:rPr>
                    <w:t>万</w:t>
                  </w:r>
                  <w:r>
                    <w:rPr>
                      <w:rFonts w:hint="default" w:ascii="Times New Roman" w:hAnsi="Times New Roman" w:cs="Times New Roman"/>
                      <w:snapToGrid w:val="0"/>
                      <w:color w:val="auto"/>
                      <w:kern w:val="21"/>
                      <w:sz w:val="21"/>
                      <w:szCs w:val="21"/>
                      <w:highlight w:val="none"/>
                      <w:lang w:val="en-US" w:eastAsia="zh-CN"/>
                    </w:rPr>
                    <w:t>m</w:t>
                  </w:r>
                  <w:r>
                    <w:rPr>
                      <w:rFonts w:hint="default" w:ascii="Times New Roman" w:hAnsi="Times New Roman" w:cs="Times New Roman"/>
                      <w:snapToGrid w:val="0"/>
                      <w:color w:val="auto"/>
                      <w:kern w:val="21"/>
                      <w:sz w:val="21"/>
                      <w:szCs w:val="21"/>
                      <w:highlight w:val="none"/>
                      <w:vertAlign w:val="superscript"/>
                      <w:lang w:val="en-US" w:eastAsia="zh-CN"/>
                    </w:rPr>
                    <w:t>3</w:t>
                  </w:r>
                  <w:r>
                    <w:rPr>
                      <w:rFonts w:hint="default" w:ascii="Times New Roman" w:hAnsi="Times New Roman" w:cs="Times New Roman"/>
                      <w:snapToGrid w:val="0"/>
                      <w:color w:val="auto"/>
                      <w:kern w:val="21"/>
                      <w:sz w:val="21"/>
                      <w:szCs w:val="21"/>
                      <w:highlight w:val="none"/>
                      <w:lang w:val="en-US" w:eastAsia="zh-CN"/>
                    </w:rPr>
                    <w:t>/a</w:t>
                  </w:r>
                </w:p>
              </w:tc>
              <w:tc>
                <w:tcPr>
                  <w:tcW w:w="762" w:type="pct"/>
                  <w:noWrap w:val="0"/>
                  <w:tcMar>
                    <w:top w:w="0" w:type="dxa"/>
                    <w:left w:w="57" w:type="dxa"/>
                    <w:bottom w:w="0" w:type="dxa"/>
                    <w:right w:w="57" w:type="dxa"/>
                  </w:tcMar>
                  <w:vAlign w:val="center"/>
                </w:tcPr>
                <w:p w14:paraId="64818C8E">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i w:val="0"/>
                      <w:iCs w:val="0"/>
                      <w:color w:val="auto"/>
                      <w:kern w:val="0"/>
                      <w:sz w:val="21"/>
                      <w:szCs w:val="21"/>
                      <w:u w:val="none"/>
                      <w:lang w:val="en-US" w:eastAsia="zh-CN" w:bidi="ar"/>
                    </w:rPr>
                    <w:t>0.1309</w:t>
                  </w:r>
                  <w:r>
                    <w:rPr>
                      <w:rFonts w:hint="eastAsia" w:ascii="Times New Roman" w:hAnsi="Times New Roman" w:cs="Times New Roman"/>
                      <w:i w:val="0"/>
                      <w:iCs w:val="0"/>
                      <w:color w:val="auto"/>
                      <w:kern w:val="0"/>
                      <w:sz w:val="21"/>
                      <w:szCs w:val="21"/>
                      <w:u w:val="none"/>
                      <w:lang w:val="en-US" w:eastAsia="zh-CN" w:bidi="ar"/>
                    </w:rPr>
                    <w:t>万</w:t>
                  </w:r>
                  <w:r>
                    <w:rPr>
                      <w:rFonts w:hint="default" w:ascii="Times New Roman" w:hAnsi="Times New Roman" w:cs="Times New Roman"/>
                      <w:snapToGrid w:val="0"/>
                      <w:color w:val="auto"/>
                      <w:kern w:val="21"/>
                      <w:sz w:val="21"/>
                      <w:szCs w:val="21"/>
                      <w:highlight w:val="none"/>
                      <w:lang w:val="en-US" w:eastAsia="zh-CN"/>
                    </w:rPr>
                    <w:t>m</w:t>
                  </w:r>
                  <w:r>
                    <w:rPr>
                      <w:rFonts w:hint="default" w:ascii="Times New Roman" w:hAnsi="Times New Roman" w:cs="Times New Roman"/>
                      <w:snapToGrid w:val="0"/>
                      <w:color w:val="auto"/>
                      <w:kern w:val="21"/>
                      <w:sz w:val="21"/>
                      <w:szCs w:val="21"/>
                      <w:highlight w:val="none"/>
                      <w:vertAlign w:val="superscript"/>
                      <w:lang w:val="en-US" w:eastAsia="zh-CN"/>
                    </w:rPr>
                    <w:t>3</w:t>
                  </w:r>
                  <w:r>
                    <w:rPr>
                      <w:rFonts w:hint="default" w:ascii="Times New Roman" w:hAnsi="Times New Roman" w:cs="Times New Roman"/>
                      <w:snapToGrid w:val="0"/>
                      <w:color w:val="auto"/>
                      <w:kern w:val="21"/>
                      <w:sz w:val="21"/>
                      <w:szCs w:val="21"/>
                      <w:highlight w:val="none"/>
                      <w:lang w:val="en-US" w:eastAsia="zh-CN"/>
                    </w:rPr>
                    <w:t>/a</w:t>
                  </w:r>
                </w:p>
              </w:tc>
              <w:tc>
                <w:tcPr>
                  <w:tcW w:w="772" w:type="pct"/>
                  <w:noWrap w:val="0"/>
                  <w:tcMar>
                    <w:top w:w="0" w:type="dxa"/>
                    <w:left w:w="57" w:type="dxa"/>
                    <w:bottom w:w="0" w:type="dxa"/>
                    <w:right w:w="57" w:type="dxa"/>
                  </w:tcMar>
                  <w:vAlign w:val="center"/>
                </w:tcPr>
                <w:p w14:paraId="1014D809">
                  <w:pPr>
                    <w:keepNext w:val="0"/>
                    <w:keepLines w:val="0"/>
                    <w:widowControl/>
                    <w:suppressLineNumbers w:val="0"/>
                    <w:jc w:val="center"/>
                    <w:textAlignment w:val="center"/>
                    <w:rPr>
                      <w:rFonts w:hint="default" w:ascii="Times New Roman" w:hAnsi="Times New Roman"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8" w:type="pct"/>
                  <w:noWrap w:val="0"/>
                  <w:tcMar>
                    <w:top w:w="0" w:type="dxa"/>
                    <w:left w:w="57" w:type="dxa"/>
                    <w:bottom w:w="0" w:type="dxa"/>
                    <w:right w:w="57" w:type="dxa"/>
                  </w:tcMar>
                  <w:vAlign w:val="center"/>
                </w:tcPr>
                <w:p w14:paraId="44AB8D29">
                  <w:pPr>
                    <w:keepNext w:val="0"/>
                    <w:keepLines w:val="0"/>
                    <w:widowControl/>
                    <w:suppressLineNumbers w:val="0"/>
                    <w:jc w:val="center"/>
                    <w:textAlignment w:val="center"/>
                    <w:rPr>
                      <w:rFonts w:hint="default" w:ascii="Times New Roman" w:hAnsi="Times New Roman" w:cs="Times New Roman"/>
                      <w:b w:val="0"/>
                      <w:bCs w:val="0"/>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9982</w:t>
                  </w:r>
                  <w:r>
                    <w:rPr>
                      <w:rFonts w:hint="eastAsia" w:ascii="Times New Roman" w:hAnsi="Times New Roman" w:cs="Times New Roman"/>
                      <w:i w:val="0"/>
                      <w:iCs w:val="0"/>
                      <w:color w:val="auto"/>
                      <w:kern w:val="0"/>
                      <w:sz w:val="21"/>
                      <w:szCs w:val="21"/>
                      <w:u w:val="none"/>
                      <w:lang w:val="en-US" w:eastAsia="zh-CN" w:bidi="ar"/>
                    </w:rPr>
                    <w:t>万</w:t>
                  </w:r>
                  <w:r>
                    <w:rPr>
                      <w:rFonts w:hint="default" w:ascii="Times New Roman" w:hAnsi="Times New Roman" w:cs="Times New Roman"/>
                      <w:snapToGrid w:val="0"/>
                      <w:color w:val="auto"/>
                      <w:kern w:val="21"/>
                      <w:sz w:val="21"/>
                      <w:szCs w:val="21"/>
                      <w:highlight w:val="none"/>
                      <w:lang w:val="en-US" w:eastAsia="zh-CN"/>
                    </w:rPr>
                    <w:t>m</w:t>
                  </w:r>
                  <w:r>
                    <w:rPr>
                      <w:rFonts w:hint="default" w:ascii="Times New Roman" w:hAnsi="Times New Roman" w:cs="Times New Roman"/>
                      <w:snapToGrid w:val="0"/>
                      <w:color w:val="auto"/>
                      <w:kern w:val="21"/>
                      <w:sz w:val="21"/>
                      <w:szCs w:val="21"/>
                      <w:highlight w:val="none"/>
                      <w:vertAlign w:val="superscript"/>
                      <w:lang w:val="en-US" w:eastAsia="zh-CN"/>
                    </w:rPr>
                    <w:t>3</w:t>
                  </w:r>
                  <w:r>
                    <w:rPr>
                      <w:rFonts w:hint="default" w:ascii="Times New Roman" w:hAnsi="Times New Roman" w:cs="Times New Roman"/>
                      <w:snapToGrid w:val="0"/>
                      <w:color w:val="auto"/>
                      <w:kern w:val="21"/>
                      <w:sz w:val="21"/>
                      <w:szCs w:val="21"/>
                      <w:highlight w:val="none"/>
                      <w:lang w:val="en-US" w:eastAsia="zh-CN"/>
                    </w:rPr>
                    <w:t>/a</w:t>
                  </w:r>
                </w:p>
              </w:tc>
              <w:tc>
                <w:tcPr>
                  <w:tcW w:w="524" w:type="pct"/>
                  <w:noWrap w:val="0"/>
                  <w:tcMar>
                    <w:top w:w="0" w:type="dxa"/>
                    <w:left w:w="57" w:type="dxa"/>
                    <w:bottom w:w="0" w:type="dxa"/>
                    <w:right w:w="57" w:type="dxa"/>
                  </w:tcMar>
                  <w:vAlign w:val="center"/>
                </w:tcPr>
                <w:p w14:paraId="48978C1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1309</w:t>
                  </w:r>
                  <w:r>
                    <w:rPr>
                      <w:rFonts w:hint="eastAsia" w:ascii="Times New Roman" w:hAnsi="Times New Roman" w:cs="Times New Roman"/>
                      <w:i w:val="0"/>
                      <w:iCs w:val="0"/>
                      <w:color w:val="auto"/>
                      <w:kern w:val="0"/>
                      <w:sz w:val="21"/>
                      <w:szCs w:val="21"/>
                      <w:u w:val="none"/>
                      <w:lang w:val="en-US" w:eastAsia="zh-CN" w:bidi="ar"/>
                    </w:rPr>
                    <w:t>万</w:t>
                  </w:r>
                  <w:r>
                    <w:rPr>
                      <w:rFonts w:hint="default" w:ascii="Times New Roman" w:hAnsi="Times New Roman" w:cs="Times New Roman"/>
                      <w:snapToGrid w:val="0"/>
                      <w:color w:val="auto"/>
                      <w:kern w:val="21"/>
                      <w:sz w:val="21"/>
                      <w:szCs w:val="21"/>
                      <w:highlight w:val="none"/>
                      <w:lang w:val="en-US" w:eastAsia="zh-CN"/>
                    </w:rPr>
                    <w:t>m</w:t>
                  </w:r>
                  <w:r>
                    <w:rPr>
                      <w:rFonts w:hint="default" w:ascii="Times New Roman" w:hAnsi="Times New Roman" w:cs="Times New Roman"/>
                      <w:snapToGrid w:val="0"/>
                      <w:color w:val="auto"/>
                      <w:kern w:val="21"/>
                      <w:sz w:val="21"/>
                      <w:szCs w:val="21"/>
                      <w:highlight w:val="none"/>
                      <w:vertAlign w:val="superscript"/>
                      <w:lang w:val="en-US" w:eastAsia="zh-CN"/>
                    </w:rPr>
                    <w:t>3</w:t>
                  </w:r>
                  <w:r>
                    <w:rPr>
                      <w:rFonts w:hint="default" w:ascii="Times New Roman" w:hAnsi="Times New Roman" w:cs="Times New Roman"/>
                      <w:snapToGrid w:val="0"/>
                      <w:color w:val="auto"/>
                      <w:kern w:val="21"/>
                      <w:sz w:val="21"/>
                      <w:szCs w:val="21"/>
                      <w:highlight w:val="none"/>
                      <w:lang w:val="en-US" w:eastAsia="zh-CN"/>
                    </w:rPr>
                    <w:t>/a</w:t>
                  </w:r>
                </w:p>
              </w:tc>
            </w:tr>
            <w:tr w14:paraId="4515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4" w:hRule="atLeast"/>
                <w:jc w:val="center"/>
              </w:trPr>
              <w:tc>
                <w:tcPr>
                  <w:tcW w:w="561" w:type="pct"/>
                  <w:vMerge w:val="continue"/>
                  <w:noWrap w:val="0"/>
                  <w:tcMar>
                    <w:top w:w="0" w:type="dxa"/>
                    <w:left w:w="57" w:type="dxa"/>
                    <w:bottom w:w="0" w:type="dxa"/>
                    <w:right w:w="57" w:type="dxa"/>
                  </w:tcMar>
                  <w:vAlign w:val="center"/>
                </w:tcPr>
                <w:p w14:paraId="73888110">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p>
              </w:tc>
              <w:tc>
                <w:tcPr>
                  <w:tcW w:w="724" w:type="pct"/>
                  <w:noWrap w:val="0"/>
                  <w:tcMar>
                    <w:top w:w="0" w:type="dxa"/>
                    <w:left w:w="57" w:type="dxa"/>
                    <w:bottom w:w="0" w:type="dxa"/>
                    <w:right w:w="57" w:type="dxa"/>
                  </w:tcMar>
                  <w:vAlign w:val="center"/>
                </w:tcPr>
                <w:p w14:paraId="71E56FBA">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COD</w:t>
                  </w:r>
                </w:p>
              </w:tc>
              <w:tc>
                <w:tcPr>
                  <w:tcW w:w="1284" w:type="dxa"/>
                  <w:noWrap w:val="0"/>
                  <w:tcMar>
                    <w:top w:w="0" w:type="dxa"/>
                    <w:left w:w="57" w:type="dxa"/>
                    <w:bottom w:w="0" w:type="dxa"/>
                    <w:right w:w="57" w:type="dxa"/>
                  </w:tcMar>
                  <w:vAlign w:val="center"/>
                </w:tcPr>
                <w:p w14:paraId="406ECF20">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4.154 </w:t>
                  </w:r>
                </w:p>
              </w:tc>
              <w:tc>
                <w:tcPr>
                  <w:tcW w:w="1262" w:type="dxa"/>
                  <w:noWrap w:val="0"/>
                  <w:tcMar>
                    <w:top w:w="0" w:type="dxa"/>
                    <w:left w:w="57" w:type="dxa"/>
                    <w:bottom w:w="0" w:type="dxa"/>
                    <w:right w:w="57" w:type="dxa"/>
                  </w:tcMar>
                  <w:vAlign w:val="center"/>
                </w:tcPr>
                <w:p w14:paraId="5905D983">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color w:val="auto"/>
                      <w:sz w:val="21"/>
                      <w:szCs w:val="21"/>
                      <w:highlight w:val="none"/>
                      <w:lang w:val="en-US" w:eastAsia="zh-CN"/>
                    </w:rPr>
                    <w:t>0.088</w:t>
                  </w:r>
                </w:p>
              </w:tc>
              <w:tc>
                <w:tcPr>
                  <w:tcW w:w="772" w:type="pct"/>
                  <w:noWrap w:val="0"/>
                  <w:tcMar>
                    <w:top w:w="0" w:type="dxa"/>
                    <w:left w:w="57" w:type="dxa"/>
                    <w:bottom w:w="0" w:type="dxa"/>
                    <w:right w:w="57" w:type="dxa"/>
                  </w:tcMar>
                  <w:vAlign w:val="center"/>
                </w:tcPr>
                <w:p w14:paraId="6F72A131">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8" w:type="pct"/>
                  <w:noWrap w:val="0"/>
                  <w:tcMar>
                    <w:top w:w="0" w:type="dxa"/>
                    <w:left w:w="57" w:type="dxa"/>
                    <w:bottom w:w="0" w:type="dxa"/>
                    <w:right w:w="57" w:type="dxa"/>
                  </w:tcMar>
                  <w:vAlign w:val="center"/>
                </w:tcPr>
                <w:p w14:paraId="64EDA471">
                  <w:pPr>
                    <w:keepNext w:val="0"/>
                    <w:keepLines w:val="0"/>
                    <w:widowControl/>
                    <w:suppressLineNumbers w:val="0"/>
                    <w:jc w:val="center"/>
                    <w:textAlignment w:val="center"/>
                    <w:rPr>
                      <w:rFonts w:hint="default" w:ascii="Times New Roman" w:hAnsi="Times New Roman" w:cs="Times New Roman"/>
                      <w:b w:val="0"/>
                      <w:bCs w:val="0"/>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4.242 </w:t>
                  </w:r>
                </w:p>
              </w:tc>
              <w:tc>
                <w:tcPr>
                  <w:tcW w:w="869" w:type="dxa"/>
                  <w:noWrap w:val="0"/>
                  <w:tcMar>
                    <w:top w:w="0" w:type="dxa"/>
                    <w:left w:w="57" w:type="dxa"/>
                    <w:bottom w:w="0" w:type="dxa"/>
                    <w:right w:w="57" w:type="dxa"/>
                  </w:tcMar>
                  <w:vAlign w:val="center"/>
                </w:tcPr>
                <w:p w14:paraId="6A0ECD2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+0.088</w:t>
                  </w:r>
                </w:p>
              </w:tc>
            </w:tr>
            <w:tr w14:paraId="0041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61" w:type="pct"/>
                  <w:vMerge w:val="continue"/>
                  <w:noWrap w:val="0"/>
                  <w:tcMar>
                    <w:top w:w="0" w:type="dxa"/>
                    <w:left w:w="57" w:type="dxa"/>
                    <w:bottom w:w="0" w:type="dxa"/>
                    <w:right w:w="57" w:type="dxa"/>
                  </w:tcMar>
                  <w:vAlign w:val="center"/>
                </w:tcPr>
                <w:p w14:paraId="63D617AF">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p>
              </w:tc>
              <w:tc>
                <w:tcPr>
                  <w:tcW w:w="724" w:type="pct"/>
                  <w:noWrap w:val="0"/>
                  <w:tcMar>
                    <w:top w:w="0" w:type="dxa"/>
                    <w:left w:w="57" w:type="dxa"/>
                    <w:bottom w:w="0" w:type="dxa"/>
                    <w:right w:w="57" w:type="dxa"/>
                  </w:tcMar>
                  <w:vAlign w:val="center"/>
                </w:tcPr>
                <w:p w14:paraId="4B5D13F3">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NH</w:t>
                  </w:r>
                  <w:r>
                    <w:rPr>
                      <w:rFonts w:hint="eastAsia" w:cs="Times New Roman"/>
                      <w:b w:val="0"/>
                      <w:bCs w:val="0"/>
                      <w:color w:val="auto"/>
                      <w:szCs w:val="21"/>
                      <w:highlight w:val="none"/>
                      <w:vertAlign w:val="subscript"/>
                      <w:lang w:val="en-US" w:eastAsia="zh-CN"/>
                    </w:rPr>
                    <w:t>3</w:t>
                  </w:r>
                  <w:r>
                    <w:rPr>
                      <w:rFonts w:hint="eastAsia" w:cs="Times New Roman"/>
                      <w:b w:val="0"/>
                      <w:bCs w:val="0"/>
                      <w:color w:val="auto"/>
                      <w:szCs w:val="21"/>
                      <w:highlight w:val="none"/>
                      <w:lang w:val="en-US" w:eastAsia="zh-CN"/>
                    </w:rPr>
                    <w:t>-N</w:t>
                  </w:r>
                </w:p>
              </w:tc>
              <w:tc>
                <w:tcPr>
                  <w:tcW w:w="1284" w:type="dxa"/>
                  <w:noWrap w:val="0"/>
                  <w:tcMar>
                    <w:top w:w="0" w:type="dxa"/>
                    <w:left w:w="57" w:type="dxa"/>
                    <w:bottom w:w="0" w:type="dxa"/>
                    <w:right w:w="57" w:type="dxa"/>
                  </w:tcMar>
                  <w:vAlign w:val="center"/>
                </w:tcPr>
                <w:p w14:paraId="4C50BFBD">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0.020 </w:t>
                  </w:r>
                </w:p>
              </w:tc>
              <w:tc>
                <w:tcPr>
                  <w:tcW w:w="1262" w:type="dxa"/>
                  <w:noWrap w:val="0"/>
                  <w:tcMar>
                    <w:top w:w="0" w:type="dxa"/>
                    <w:left w:w="57" w:type="dxa"/>
                    <w:bottom w:w="0" w:type="dxa"/>
                    <w:right w:w="57" w:type="dxa"/>
                  </w:tcMar>
                  <w:vAlign w:val="center"/>
                </w:tcPr>
                <w:p w14:paraId="2C4296C2">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color w:val="auto"/>
                      <w:sz w:val="21"/>
                      <w:szCs w:val="21"/>
                      <w:highlight w:val="none"/>
                      <w:lang w:val="en-US" w:eastAsia="zh-CN"/>
                    </w:rPr>
                    <w:t>0.002</w:t>
                  </w:r>
                </w:p>
              </w:tc>
              <w:tc>
                <w:tcPr>
                  <w:tcW w:w="772" w:type="pct"/>
                  <w:noWrap w:val="0"/>
                  <w:tcMar>
                    <w:top w:w="0" w:type="dxa"/>
                    <w:left w:w="57" w:type="dxa"/>
                    <w:bottom w:w="0" w:type="dxa"/>
                    <w:right w:w="57" w:type="dxa"/>
                  </w:tcMar>
                  <w:vAlign w:val="center"/>
                </w:tcPr>
                <w:p w14:paraId="70AE6960">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8" w:type="pct"/>
                  <w:noWrap w:val="0"/>
                  <w:tcMar>
                    <w:top w:w="0" w:type="dxa"/>
                    <w:left w:w="57" w:type="dxa"/>
                    <w:bottom w:w="0" w:type="dxa"/>
                    <w:right w:w="57" w:type="dxa"/>
                  </w:tcMar>
                  <w:vAlign w:val="center"/>
                </w:tcPr>
                <w:p w14:paraId="4C0D1C43">
                  <w:pPr>
                    <w:keepNext w:val="0"/>
                    <w:keepLines w:val="0"/>
                    <w:widowControl/>
                    <w:suppressLineNumbers w:val="0"/>
                    <w:jc w:val="center"/>
                    <w:textAlignment w:val="center"/>
                    <w:rPr>
                      <w:rFonts w:hint="default" w:ascii="Times New Roman" w:hAnsi="Times New Roman" w:cs="Times New Roman"/>
                      <w:b w:val="0"/>
                      <w:bCs w:val="0"/>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0.02</w:t>
                  </w:r>
                  <w:r>
                    <w:rPr>
                      <w:rFonts w:hint="eastAsia" w:cs="Times New Roman"/>
                      <w:i w:val="0"/>
                      <w:iCs w:val="0"/>
                      <w:color w:val="auto"/>
                      <w:kern w:val="0"/>
                      <w:sz w:val="21"/>
                      <w:szCs w:val="21"/>
                      <w:u w:val="none"/>
                      <w:lang w:val="en-US" w:eastAsia="zh-CN" w:bidi="ar"/>
                    </w:rPr>
                    <w:t>2</w:t>
                  </w:r>
                </w:p>
              </w:tc>
              <w:tc>
                <w:tcPr>
                  <w:tcW w:w="869" w:type="dxa"/>
                  <w:noWrap w:val="0"/>
                  <w:tcMar>
                    <w:top w:w="0" w:type="dxa"/>
                    <w:left w:w="57" w:type="dxa"/>
                    <w:bottom w:w="0" w:type="dxa"/>
                    <w:right w:w="57" w:type="dxa"/>
                  </w:tcMar>
                  <w:vAlign w:val="center"/>
                </w:tcPr>
                <w:p w14:paraId="7521610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+0.002</w:t>
                  </w:r>
                </w:p>
              </w:tc>
            </w:tr>
            <w:tr w14:paraId="55FF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61" w:type="pct"/>
                  <w:vMerge w:val="continue"/>
                  <w:noWrap w:val="0"/>
                  <w:tcMar>
                    <w:top w:w="0" w:type="dxa"/>
                    <w:left w:w="57" w:type="dxa"/>
                    <w:bottom w:w="0" w:type="dxa"/>
                    <w:right w:w="57" w:type="dxa"/>
                  </w:tcMar>
                  <w:vAlign w:val="center"/>
                </w:tcPr>
                <w:p w14:paraId="2514695A">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p>
              </w:tc>
              <w:tc>
                <w:tcPr>
                  <w:tcW w:w="724" w:type="pct"/>
                  <w:noWrap w:val="0"/>
                  <w:tcMar>
                    <w:top w:w="0" w:type="dxa"/>
                    <w:left w:w="57" w:type="dxa"/>
                    <w:bottom w:w="0" w:type="dxa"/>
                    <w:right w:w="57" w:type="dxa"/>
                  </w:tcMar>
                  <w:vAlign w:val="center"/>
                </w:tcPr>
                <w:p w14:paraId="72216C9E">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TP</w:t>
                  </w:r>
                </w:p>
              </w:tc>
              <w:tc>
                <w:tcPr>
                  <w:tcW w:w="1284" w:type="dxa"/>
                  <w:noWrap w:val="0"/>
                  <w:tcMar>
                    <w:top w:w="0" w:type="dxa"/>
                    <w:left w:w="57" w:type="dxa"/>
                    <w:bottom w:w="0" w:type="dxa"/>
                    <w:right w:w="57" w:type="dxa"/>
                  </w:tcMar>
                  <w:vAlign w:val="center"/>
                </w:tcPr>
                <w:p w14:paraId="780222AB">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c>
                <w:tcPr>
                  <w:tcW w:w="1262" w:type="dxa"/>
                  <w:noWrap w:val="0"/>
                  <w:tcMar>
                    <w:top w:w="0" w:type="dxa"/>
                    <w:left w:w="57" w:type="dxa"/>
                    <w:bottom w:w="0" w:type="dxa"/>
                    <w:right w:w="57" w:type="dxa"/>
                  </w:tcMar>
                  <w:vAlign w:val="center"/>
                </w:tcPr>
                <w:p w14:paraId="7D9C2B62">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color w:val="auto"/>
                      <w:sz w:val="21"/>
                      <w:szCs w:val="21"/>
                      <w:highlight w:val="none"/>
                      <w:lang w:val="en-US" w:eastAsia="zh-CN"/>
                    </w:rPr>
                    <w:t>0.0005</w:t>
                  </w:r>
                </w:p>
              </w:tc>
              <w:tc>
                <w:tcPr>
                  <w:tcW w:w="772" w:type="pct"/>
                  <w:noWrap w:val="0"/>
                  <w:tcMar>
                    <w:top w:w="0" w:type="dxa"/>
                    <w:left w:w="57" w:type="dxa"/>
                    <w:bottom w:w="0" w:type="dxa"/>
                    <w:right w:w="57" w:type="dxa"/>
                  </w:tcMar>
                  <w:vAlign w:val="center"/>
                </w:tcPr>
                <w:p w14:paraId="675D8CA4">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8" w:type="pct"/>
                  <w:noWrap w:val="0"/>
                  <w:tcMar>
                    <w:top w:w="0" w:type="dxa"/>
                    <w:left w:w="57" w:type="dxa"/>
                    <w:bottom w:w="0" w:type="dxa"/>
                    <w:right w:w="57" w:type="dxa"/>
                  </w:tcMar>
                  <w:vAlign w:val="center"/>
                </w:tcPr>
                <w:p w14:paraId="397DB8F2">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i w:val="0"/>
                      <w:iCs w:val="0"/>
                      <w:color w:val="auto"/>
                      <w:kern w:val="0"/>
                      <w:sz w:val="21"/>
                      <w:szCs w:val="21"/>
                      <w:u w:val="none"/>
                      <w:lang w:val="en-US" w:eastAsia="zh-CN" w:bidi="ar"/>
                    </w:rPr>
                    <w:t>0.0025</w:t>
                  </w:r>
                </w:p>
              </w:tc>
              <w:tc>
                <w:tcPr>
                  <w:tcW w:w="869" w:type="dxa"/>
                  <w:noWrap w:val="0"/>
                  <w:tcMar>
                    <w:top w:w="0" w:type="dxa"/>
                    <w:left w:w="57" w:type="dxa"/>
                    <w:bottom w:w="0" w:type="dxa"/>
                    <w:right w:w="57" w:type="dxa"/>
                  </w:tcMar>
                  <w:vAlign w:val="center"/>
                </w:tcPr>
                <w:p w14:paraId="5DDA02B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+0.0005</w:t>
                  </w:r>
                </w:p>
              </w:tc>
            </w:tr>
            <w:tr w14:paraId="3201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4" w:hRule="atLeast"/>
                <w:jc w:val="center"/>
              </w:trPr>
              <w:tc>
                <w:tcPr>
                  <w:tcW w:w="561" w:type="pct"/>
                  <w:vMerge w:val="restart"/>
                  <w:noWrap w:val="0"/>
                  <w:tcMar>
                    <w:top w:w="0" w:type="dxa"/>
                    <w:left w:w="57" w:type="dxa"/>
                    <w:bottom w:w="0" w:type="dxa"/>
                    <w:right w:w="57" w:type="dxa"/>
                  </w:tcMar>
                  <w:vAlign w:val="center"/>
                </w:tcPr>
                <w:p w14:paraId="2D3019C4">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固体废物（t/a）</w:t>
                  </w:r>
                </w:p>
              </w:tc>
              <w:tc>
                <w:tcPr>
                  <w:tcW w:w="724" w:type="pct"/>
                  <w:noWrap w:val="0"/>
                  <w:tcMar>
                    <w:top w:w="0" w:type="dxa"/>
                    <w:left w:w="57" w:type="dxa"/>
                    <w:bottom w:w="0" w:type="dxa"/>
                    <w:right w:w="57" w:type="dxa"/>
                  </w:tcMar>
                  <w:vAlign w:val="center"/>
                </w:tcPr>
                <w:p w14:paraId="6A5877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Cs w:val="21"/>
                      <w:highlight w:val="none"/>
                      <w:lang w:val="en-US" w:eastAsia="zh-CN"/>
                    </w:rPr>
                  </w:pPr>
                  <w:r>
                    <w:rPr>
                      <w:rFonts w:hint="eastAsia" w:ascii="Times New Roman" w:hAnsi="Times New Roman" w:eastAsia="宋体" w:cs="宋体"/>
                      <w:color w:val="auto"/>
                      <w:sz w:val="21"/>
                      <w:szCs w:val="21"/>
                      <w:highlight w:val="none"/>
                      <w:lang w:val="en-US" w:eastAsia="zh-CN"/>
                    </w:rPr>
                    <w:t>废果、</w:t>
                  </w:r>
                  <w:r>
                    <w:rPr>
                      <w:rFonts w:hint="eastAsia" w:ascii="Times New Roman" w:hAnsi="Times New Roman" w:cs="Times New Roman"/>
                      <w:b w:val="0"/>
                      <w:bCs/>
                      <w:color w:val="auto"/>
                      <w:sz w:val="21"/>
                      <w:szCs w:val="21"/>
                      <w:highlight w:val="none"/>
                      <w:lang w:val="en-US" w:eastAsia="zh-CN"/>
                    </w:rPr>
                    <w:t>废果皮、废核及废果渣</w:t>
                  </w:r>
                </w:p>
              </w:tc>
              <w:tc>
                <w:tcPr>
                  <w:tcW w:w="775" w:type="pct"/>
                  <w:noWrap w:val="0"/>
                  <w:tcMar>
                    <w:top w:w="0" w:type="dxa"/>
                    <w:left w:w="57" w:type="dxa"/>
                    <w:bottom w:w="0" w:type="dxa"/>
                    <w:right w:w="57" w:type="dxa"/>
                  </w:tcMar>
                  <w:vAlign w:val="center"/>
                </w:tcPr>
                <w:p w14:paraId="7E0057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Cs w:val="21"/>
                      <w:highlight w:val="none"/>
                      <w:lang w:val="en-US" w:eastAsia="zh-CN"/>
                    </w:rPr>
                  </w:pPr>
                  <w:r>
                    <w:rPr>
                      <w:rFonts w:hint="eastAsia" w:cs="Times New Roman"/>
                      <w:b w:val="0"/>
                      <w:bCs/>
                      <w:color w:val="auto"/>
                      <w:sz w:val="21"/>
                      <w:szCs w:val="21"/>
                      <w:highlight w:val="none"/>
                      <w:lang w:val="en-US" w:eastAsia="zh-CN"/>
                    </w:rPr>
                    <w:t>11430</w:t>
                  </w:r>
                </w:p>
              </w:tc>
              <w:tc>
                <w:tcPr>
                  <w:tcW w:w="762" w:type="pct"/>
                  <w:noWrap w:val="0"/>
                  <w:tcMar>
                    <w:top w:w="0" w:type="dxa"/>
                    <w:left w:w="57" w:type="dxa"/>
                    <w:bottom w:w="0" w:type="dxa"/>
                    <w:right w:w="57" w:type="dxa"/>
                  </w:tcMar>
                  <w:vAlign w:val="center"/>
                </w:tcPr>
                <w:p w14:paraId="19AA4F1B">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72" w:type="pct"/>
                  <w:noWrap w:val="0"/>
                  <w:tcMar>
                    <w:top w:w="0" w:type="dxa"/>
                    <w:left w:w="57" w:type="dxa"/>
                    <w:bottom w:w="0" w:type="dxa"/>
                    <w:right w:w="57" w:type="dxa"/>
                  </w:tcMar>
                  <w:vAlign w:val="center"/>
                </w:tcPr>
                <w:p w14:paraId="1342326B">
                  <w:pPr>
                    <w:keepNext w:val="0"/>
                    <w:keepLines w:val="0"/>
                    <w:widowControl/>
                    <w:suppressLineNumbers w:val="0"/>
                    <w:jc w:val="center"/>
                    <w:textAlignment w:val="center"/>
                    <w:rPr>
                      <w:rFonts w:hint="default" w:ascii="Times New Roman" w:hAnsi="Times New Roman"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8" w:type="pct"/>
                  <w:noWrap w:val="0"/>
                  <w:tcMar>
                    <w:top w:w="0" w:type="dxa"/>
                    <w:left w:w="57" w:type="dxa"/>
                    <w:bottom w:w="0" w:type="dxa"/>
                    <w:right w:w="57" w:type="dxa"/>
                  </w:tcMar>
                  <w:vAlign w:val="center"/>
                </w:tcPr>
                <w:p w14:paraId="61DC87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11430</w:t>
                  </w:r>
                </w:p>
              </w:tc>
              <w:tc>
                <w:tcPr>
                  <w:tcW w:w="524" w:type="pct"/>
                  <w:noWrap w:val="0"/>
                  <w:tcMar>
                    <w:top w:w="0" w:type="dxa"/>
                    <w:left w:w="57" w:type="dxa"/>
                    <w:bottom w:w="0" w:type="dxa"/>
                    <w:right w:w="57" w:type="dxa"/>
                  </w:tcMar>
                  <w:vAlign w:val="center"/>
                </w:tcPr>
                <w:p w14:paraId="65AD19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4788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4" w:hRule="atLeast"/>
                <w:jc w:val="center"/>
              </w:trPr>
              <w:tc>
                <w:tcPr>
                  <w:tcW w:w="561" w:type="pct"/>
                  <w:vMerge w:val="continue"/>
                  <w:noWrap w:val="0"/>
                  <w:tcMar>
                    <w:top w:w="0" w:type="dxa"/>
                    <w:left w:w="57" w:type="dxa"/>
                    <w:bottom w:w="0" w:type="dxa"/>
                    <w:right w:w="57" w:type="dxa"/>
                  </w:tcMar>
                  <w:vAlign w:val="center"/>
                </w:tcPr>
                <w:p w14:paraId="5C74B1BC">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p>
              </w:tc>
              <w:tc>
                <w:tcPr>
                  <w:tcW w:w="724" w:type="pct"/>
                  <w:noWrap w:val="0"/>
                  <w:tcMar>
                    <w:top w:w="0" w:type="dxa"/>
                    <w:left w:w="57" w:type="dxa"/>
                    <w:bottom w:w="0" w:type="dxa"/>
                    <w:right w:w="57" w:type="dxa"/>
                  </w:tcMar>
                  <w:vAlign w:val="center"/>
                </w:tcPr>
                <w:p w14:paraId="0A8E45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Cs w:val="21"/>
                      <w:highlight w:val="none"/>
                      <w:lang w:val="en-US" w:eastAsia="zh-CN"/>
                    </w:rPr>
                  </w:pPr>
                  <w:r>
                    <w:rPr>
                      <w:rFonts w:hint="eastAsia" w:ascii="Times New Roman" w:hAnsi="Times New Roman" w:eastAsia="宋体" w:cs="宋体"/>
                      <w:color w:val="auto"/>
                      <w:sz w:val="21"/>
                      <w:szCs w:val="21"/>
                      <w:highlight w:val="none"/>
                      <w:lang w:val="en-US" w:eastAsia="zh-CN"/>
                    </w:rPr>
                    <w:t>炉渣</w:t>
                  </w:r>
                </w:p>
              </w:tc>
              <w:tc>
                <w:tcPr>
                  <w:tcW w:w="775" w:type="pct"/>
                  <w:noWrap w:val="0"/>
                  <w:tcMar>
                    <w:top w:w="0" w:type="dxa"/>
                    <w:left w:w="57" w:type="dxa"/>
                    <w:bottom w:w="0" w:type="dxa"/>
                    <w:right w:w="57" w:type="dxa"/>
                  </w:tcMar>
                  <w:vAlign w:val="center"/>
                </w:tcPr>
                <w:p w14:paraId="3E1D23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color w:val="auto"/>
                      <w:sz w:val="21"/>
                      <w:szCs w:val="21"/>
                      <w:highlight w:val="none"/>
                      <w:lang w:val="en-US" w:eastAsia="zh-CN"/>
                    </w:rPr>
                    <w:t>4.15</w:t>
                  </w:r>
                </w:p>
              </w:tc>
              <w:tc>
                <w:tcPr>
                  <w:tcW w:w="762" w:type="pct"/>
                  <w:noWrap w:val="0"/>
                  <w:tcMar>
                    <w:top w:w="0" w:type="dxa"/>
                    <w:left w:w="57" w:type="dxa"/>
                    <w:bottom w:w="0" w:type="dxa"/>
                    <w:right w:w="57" w:type="dxa"/>
                  </w:tcMar>
                  <w:vAlign w:val="center"/>
                </w:tcPr>
                <w:p w14:paraId="3E993F04">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35.59</w:t>
                  </w:r>
                </w:p>
              </w:tc>
              <w:tc>
                <w:tcPr>
                  <w:tcW w:w="772" w:type="pct"/>
                  <w:noWrap w:val="0"/>
                  <w:tcMar>
                    <w:top w:w="0" w:type="dxa"/>
                    <w:left w:w="57" w:type="dxa"/>
                    <w:bottom w:w="0" w:type="dxa"/>
                    <w:right w:w="57" w:type="dxa"/>
                  </w:tcMar>
                  <w:vAlign w:val="center"/>
                </w:tcPr>
                <w:p w14:paraId="623FBB39">
                  <w:pPr>
                    <w:keepNext w:val="0"/>
                    <w:keepLines w:val="0"/>
                    <w:widowControl/>
                    <w:suppressLineNumbers w:val="0"/>
                    <w:jc w:val="center"/>
                    <w:textAlignment w:val="center"/>
                    <w:rPr>
                      <w:rFonts w:hint="default" w:ascii="Times New Roman" w:hAnsi="Times New Roman"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4.15</w:t>
                  </w:r>
                </w:p>
              </w:tc>
              <w:tc>
                <w:tcPr>
                  <w:tcW w:w="1455" w:type="dxa"/>
                  <w:noWrap w:val="0"/>
                  <w:tcMar>
                    <w:top w:w="0" w:type="dxa"/>
                    <w:left w:w="57" w:type="dxa"/>
                    <w:bottom w:w="0" w:type="dxa"/>
                    <w:right w:w="57" w:type="dxa"/>
                  </w:tcMar>
                  <w:vAlign w:val="center"/>
                </w:tcPr>
                <w:p w14:paraId="00AC6E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35.59</w:t>
                  </w:r>
                </w:p>
              </w:tc>
              <w:tc>
                <w:tcPr>
                  <w:tcW w:w="524" w:type="pct"/>
                  <w:noWrap w:val="0"/>
                  <w:tcMar>
                    <w:top w:w="0" w:type="dxa"/>
                    <w:left w:w="57" w:type="dxa"/>
                    <w:bottom w:w="0" w:type="dxa"/>
                    <w:right w:w="57" w:type="dxa"/>
                  </w:tcMar>
                  <w:vAlign w:val="center"/>
                </w:tcPr>
                <w:p w14:paraId="592543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31.44</w:t>
                  </w:r>
                </w:p>
              </w:tc>
            </w:tr>
            <w:tr w14:paraId="724D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61" w:type="pct"/>
                  <w:vMerge w:val="continue"/>
                  <w:noWrap w:val="0"/>
                  <w:tcMar>
                    <w:top w:w="0" w:type="dxa"/>
                    <w:left w:w="57" w:type="dxa"/>
                    <w:bottom w:w="0" w:type="dxa"/>
                    <w:right w:w="57" w:type="dxa"/>
                  </w:tcMar>
                  <w:vAlign w:val="center"/>
                </w:tcPr>
                <w:p w14:paraId="39E9C148">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p>
              </w:tc>
              <w:tc>
                <w:tcPr>
                  <w:tcW w:w="724" w:type="pct"/>
                  <w:noWrap w:val="0"/>
                  <w:tcMar>
                    <w:top w:w="0" w:type="dxa"/>
                    <w:left w:w="57" w:type="dxa"/>
                    <w:bottom w:w="0" w:type="dxa"/>
                    <w:right w:w="57" w:type="dxa"/>
                  </w:tcMar>
                  <w:vAlign w:val="center"/>
                </w:tcPr>
                <w:p w14:paraId="20AB3F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Cs w:val="21"/>
                      <w:highlight w:val="none"/>
                      <w:lang w:val="en-US" w:eastAsia="zh-CN"/>
                    </w:rPr>
                  </w:pPr>
                  <w:r>
                    <w:rPr>
                      <w:rFonts w:hint="eastAsia" w:ascii="Times New Roman" w:hAnsi="Times New Roman" w:cs="宋体"/>
                      <w:color w:val="auto"/>
                      <w:sz w:val="21"/>
                      <w:szCs w:val="21"/>
                      <w:highlight w:val="none"/>
                      <w:lang w:val="en-US" w:eastAsia="zh-CN"/>
                    </w:rPr>
                    <w:t>除尘灰</w:t>
                  </w:r>
                </w:p>
              </w:tc>
              <w:tc>
                <w:tcPr>
                  <w:tcW w:w="775" w:type="pct"/>
                  <w:noWrap w:val="0"/>
                  <w:tcMar>
                    <w:top w:w="0" w:type="dxa"/>
                    <w:left w:w="57" w:type="dxa"/>
                    <w:bottom w:w="0" w:type="dxa"/>
                    <w:right w:w="57" w:type="dxa"/>
                  </w:tcMar>
                  <w:vAlign w:val="center"/>
                </w:tcPr>
                <w:p w14:paraId="44ADDA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color w:val="auto"/>
                      <w:sz w:val="21"/>
                      <w:szCs w:val="21"/>
                      <w:highlight w:val="none"/>
                      <w:lang w:val="en-US" w:eastAsia="zh-CN"/>
                    </w:rPr>
                    <w:t>0.053</w:t>
                  </w:r>
                </w:p>
              </w:tc>
              <w:tc>
                <w:tcPr>
                  <w:tcW w:w="762" w:type="pct"/>
                  <w:noWrap w:val="0"/>
                  <w:tcMar>
                    <w:top w:w="0" w:type="dxa"/>
                    <w:left w:w="57" w:type="dxa"/>
                    <w:bottom w:w="0" w:type="dxa"/>
                    <w:right w:w="57" w:type="dxa"/>
                  </w:tcMar>
                  <w:vAlign w:val="center"/>
                </w:tcPr>
                <w:p w14:paraId="4F94E4DC">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i w:val="0"/>
                      <w:iCs w:val="0"/>
                      <w:color w:val="auto"/>
                      <w:kern w:val="0"/>
                      <w:sz w:val="21"/>
                      <w:szCs w:val="21"/>
                      <w:u w:val="none"/>
                      <w:lang w:val="en-US" w:eastAsia="zh-CN" w:bidi="ar"/>
                    </w:rPr>
                    <w:t>11.286</w:t>
                  </w:r>
                </w:p>
              </w:tc>
              <w:tc>
                <w:tcPr>
                  <w:tcW w:w="772" w:type="pct"/>
                  <w:noWrap w:val="0"/>
                  <w:tcMar>
                    <w:top w:w="0" w:type="dxa"/>
                    <w:left w:w="57" w:type="dxa"/>
                    <w:bottom w:w="0" w:type="dxa"/>
                    <w:right w:w="57" w:type="dxa"/>
                  </w:tcMar>
                  <w:vAlign w:val="center"/>
                </w:tcPr>
                <w:p w14:paraId="54926804">
                  <w:pPr>
                    <w:keepNext w:val="0"/>
                    <w:keepLines w:val="0"/>
                    <w:widowControl/>
                    <w:suppressLineNumbers w:val="0"/>
                    <w:jc w:val="center"/>
                    <w:textAlignment w:val="center"/>
                    <w:rPr>
                      <w:rFonts w:hint="default" w:ascii="Times New Roman" w:hAnsi="Times New Roman" w:cs="Times New Roman"/>
                      <w:b w:val="0"/>
                      <w:bCs w:val="0"/>
                      <w:color w:val="auto"/>
                      <w:szCs w:val="21"/>
                      <w:highlight w:val="none"/>
                      <w:lang w:val="en-US" w:eastAsia="zh-CN"/>
                    </w:rPr>
                  </w:pPr>
                  <w:r>
                    <w:rPr>
                      <w:rFonts w:hint="eastAsia" w:ascii="Times New Roman" w:hAnsi="Times New Roman"/>
                      <w:color w:val="auto"/>
                      <w:sz w:val="21"/>
                      <w:szCs w:val="21"/>
                      <w:highlight w:val="none"/>
                      <w:lang w:val="en-US" w:eastAsia="zh-CN"/>
                    </w:rPr>
                    <w:t>0.053</w:t>
                  </w:r>
                </w:p>
              </w:tc>
              <w:tc>
                <w:tcPr>
                  <w:tcW w:w="1455" w:type="dxa"/>
                  <w:noWrap w:val="0"/>
                  <w:tcMar>
                    <w:top w:w="0" w:type="dxa"/>
                    <w:left w:w="57" w:type="dxa"/>
                    <w:bottom w:w="0" w:type="dxa"/>
                    <w:right w:w="57" w:type="dxa"/>
                  </w:tcMar>
                  <w:vAlign w:val="center"/>
                </w:tcPr>
                <w:p w14:paraId="7CF86D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11.286</w:t>
                  </w:r>
                </w:p>
              </w:tc>
              <w:tc>
                <w:tcPr>
                  <w:tcW w:w="524" w:type="pct"/>
                  <w:noWrap w:val="0"/>
                  <w:tcMar>
                    <w:top w:w="0" w:type="dxa"/>
                    <w:left w:w="57" w:type="dxa"/>
                    <w:bottom w:w="0" w:type="dxa"/>
                    <w:right w:w="57" w:type="dxa"/>
                  </w:tcMar>
                  <w:vAlign w:val="center"/>
                </w:tcPr>
                <w:p w14:paraId="485FA9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11.233</w:t>
                  </w:r>
                </w:p>
              </w:tc>
            </w:tr>
            <w:tr w14:paraId="4709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4" w:hRule="atLeast"/>
                <w:jc w:val="center"/>
              </w:trPr>
              <w:tc>
                <w:tcPr>
                  <w:tcW w:w="561" w:type="pct"/>
                  <w:vMerge w:val="continue"/>
                  <w:noWrap w:val="0"/>
                  <w:tcMar>
                    <w:top w:w="0" w:type="dxa"/>
                    <w:left w:w="57" w:type="dxa"/>
                    <w:bottom w:w="0" w:type="dxa"/>
                    <w:right w:w="57" w:type="dxa"/>
                  </w:tcMar>
                  <w:vAlign w:val="center"/>
                </w:tcPr>
                <w:p w14:paraId="71E0CE87">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p>
              </w:tc>
              <w:tc>
                <w:tcPr>
                  <w:tcW w:w="724" w:type="pct"/>
                  <w:noWrap w:val="0"/>
                  <w:tcMar>
                    <w:top w:w="0" w:type="dxa"/>
                    <w:left w:w="57" w:type="dxa"/>
                    <w:bottom w:w="0" w:type="dxa"/>
                    <w:right w:w="57" w:type="dxa"/>
                  </w:tcMar>
                  <w:vAlign w:val="center"/>
                </w:tcPr>
                <w:p w14:paraId="005966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Cs w:val="21"/>
                      <w:highlight w:val="none"/>
                      <w:lang w:val="en-US" w:eastAsia="zh-CN"/>
                    </w:rPr>
                  </w:pPr>
                  <w:r>
                    <w:rPr>
                      <w:rFonts w:hint="eastAsia" w:ascii="Times New Roman" w:hAnsi="Times New Roman" w:cs="宋体"/>
                      <w:color w:val="auto"/>
                      <w:sz w:val="21"/>
                      <w:szCs w:val="21"/>
                      <w:highlight w:val="none"/>
                      <w:lang w:val="en-US" w:eastAsia="zh-CN"/>
                    </w:rPr>
                    <w:t>废培养基</w:t>
                  </w:r>
                </w:p>
              </w:tc>
              <w:tc>
                <w:tcPr>
                  <w:tcW w:w="775" w:type="pct"/>
                  <w:noWrap w:val="0"/>
                  <w:tcMar>
                    <w:top w:w="0" w:type="dxa"/>
                    <w:left w:w="57" w:type="dxa"/>
                    <w:bottom w:w="0" w:type="dxa"/>
                    <w:right w:w="57" w:type="dxa"/>
                  </w:tcMar>
                  <w:vAlign w:val="center"/>
                </w:tcPr>
                <w:p w14:paraId="38BADC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color w:val="auto"/>
                      <w:sz w:val="21"/>
                      <w:szCs w:val="21"/>
                      <w:highlight w:val="none"/>
                      <w:lang w:val="en-US" w:eastAsia="zh-CN"/>
                    </w:rPr>
                    <w:t>0.003</w:t>
                  </w:r>
                </w:p>
              </w:tc>
              <w:tc>
                <w:tcPr>
                  <w:tcW w:w="762" w:type="pct"/>
                  <w:noWrap w:val="0"/>
                  <w:tcMar>
                    <w:top w:w="0" w:type="dxa"/>
                    <w:left w:w="57" w:type="dxa"/>
                    <w:bottom w:w="0" w:type="dxa"/>
                    <w:right w:w="57" w:type="dxa"/>
                  </w:tcMar>
                  <w:vAlign w:val="center"/>
                </w:tcPr>
                <w:p w14:paraId="4DCC1FBF">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72" w:type="pct"/>
                  <w:noWrap w:val="0"/>
                  <w:tcMar>
                    <w:top w:w="0" w:type="dxa"/>
                    <w:left w:w="57" w:type="dxa"/>
                    <w:bottom w:w="0" w:type="dxa"/>
                    <w:right w:w="57" w:type="dxa"/>
                  </w:tcMar>
                  <w:vAlign w:val="center"/>
                </w:tcPr>
                <w:p w14:paraId="7757C6CE">
                  <w:pPr>
                    <w:keepNext w:val="0"/>
                    <w:keepLines w:val="0"/>
                    <w:widowControl/>
                    <w:suppressLineNumbers w:val="0"/>
                    <w:jc w:val="center"/>
                    <w:textAlignment w:val="center"/>
                    <w:rPr>
                      <w:rFonts w:hint="default" w:ascii="Times New Roman" w:hAnsi="Times New Roman"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8" w:type="pct"/>
                  <w:noWrap w:val="0"/>
                  <w:tcMar>
                    <w:top w:w="0" w:type="dxa"/>
                    <w:left w:w="57" w:type="dxa"/>
                    <w:bottom w:w="0" w:type="dxa"/>
                    <w:right w:w="57" w:type="dxa"/>
                  </w:tcMar>
                  <w:vAlign w:val="center"/>
                </w:tcPr>
                <w:p w14:paraId="2C2B86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524" w:type="pct"/>
                  <w:noWrap w:val="0"/>
                  <w:tcMar>
                    <w:top w:w="0" w:type="dxa"/>
                    <w:left w:w="57" w:type="dxa"/>
                    <w:bottom w:w="0" w:type="dxa"/>
                    <w:right w:w="57" w:type="dxa"/>
                  </w:tcMar>
                  <w:vAlign w:val="center"/>
                </w:tcPr>
                <w:p w14:paraId="01160C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56EC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4" w:hRule="atLeast"/>
                <w:jc w:val="center"/>
              </w:trPr>
              <w:tc>
                <w:tcPr>
                  <w:tcW w:w="561" w:type="pct"/>
                  <w:vMerge w:val="continue"/>
                  <w:noWrap w:val="0"/>
                  <w:tcMar>
                    <w:top w:w="0" w:type="dxa"/>
                    <w:left w:w="57" w:type="dxa"/>
                    <w:bottom w:w="0" w:type="dxa"/>
                    <w:right w:w="57" w:type="dxa"/>
                  </w:tcMar>
                  <w:vAlign w:val="center"/>
                </w:tcPr>
                <w:p w14:paraId="7E20CD9D">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p>
              </w:tc>
              <w:tc>
                <w:tcPr>
                  <w:tcW w:w="724" w:type="pct"/>
                  <w:noWrap w:val="0"/>
                  <w:tcMar>
                    <w:top w:w="0" w:type="dxa"/>
                    <w:left w:w="57" w:type="dxa"/>
                    <w:bottom w:w="0" w:type="dxa"/>
                    <w:right w:w="57" w:type="dxa"/>
                  </w:tcMar>
                  <w:vAlign w:val="center"/>
                </w:tcPr>
                <w:p w14:paraId="4CCF76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Cs w:val="21"/>
                      <w:highlight w:val="none"/>
                      <w:lang w:val="en-US" w:eastAsia="zh-CN"/>
                    </w:rPr>
                  </w:pPr>
                  <w:r>
                    <w:rPr>
                      <w:rFonts w:hint="eastAsia" w:ascii="Times New Roman" w:hAnsi="Times New Roman" w:cs="Times New Roman"/>
                      <w:b w:val="0"/>
                      <w:bCs/>
                      <w:color w:val="auto"/>
                      <w:sz w:val="21"/>
                      <w:szCs w:val="21"/>
                      <w:highlight w:val="none"/>
                      <w:lang w:val="en-US" w:eastAsia="zh-CN"/>
                    </w:rPr>
                    <w:t>废反渗透膜</w:t>
                  </w:r>
                </w:p>
              </w:tc>
              <w:tc>
                <w:tcPr>
                  <w:tcW w:w="775" w:type="pct"/>
                  <w:noWrap w:val="0"/>
                  <w:tcMar>
                    <w:top w:w="0" w:type="dxa"/>
                    <w:left w:w="57" w:type="dxa"/>
                    <w:bottom w:w="0" w:type="dxa"/>
                    <w:right w:w="57" w:type="dxa"/>
                  </w:tcMar>
                  <w:vAlign w:val="center"/>
                </w:tcPr>
                <w:p w14:paraId="5A6968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cs="Times New Roman"/>
                      <w:b w:val="0"/>
                      <w:bCs/>
                      <w:color w:val="auto"/>
                      <w:sz w:val="21"/>
                      <w:szCs w:val="21"/>
                      <w:highlight w:val="none"/>
                      <w:lang w:val="en-US" w:eastAsia="zh-CN"/>
                    </w:rPr>
                    <w:t>0.05</w:t>
                  </w:r>
                </w:p>
              </w:tc>
              <w:tc>
                <w:tcPr>
                  <w:tcW w:w="762" w:type="pct"/>
                  <w:noWrap w:val="0"/>
                  <w:tcMar>
                    <w:top w:w="0" w:type="dxa"/>
                    <w:left w:w="57" w:type="dxa"/>
                    <w:bottom w:w="0" w:type="dxa"/>
                    <w:right w:w="57" w:type="dxa"/>
                  </w:tcMar>
                  <w:vAlign w:val="center"/>
                </w:tcPr>
                <w:p w14:paraId="644998F7">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72" w:type="pct"/>
                  <w:noWrap w:val="0"/>
                  <w:tcMar>
                    <w:top w:w="0" w:type="dxa"/>
                    <w:left w:w="57" w:type="dxa"/>
                    <w:bottom w:w="0" w:type="dxa"/>
                    <w:right w:w="57" w:type="dxa"/>
                  </w:tcMar>
                  <w:vAlign w:val="center"/>
                </w:tcPr>
                <w:p w14:paraId="1A8B33C4">
                  <w:pPr>
                    <w:keepNext w:val="0"/>
                    <w:keepLines w:val="0"/>
                    <w:widowControl/>
                    <w:suppressLineNumbers w:val="0"/>
                    <w:jc w:val="center"/>
                    <w:textAlignment w:val="center"/>
                    <w:rPr>
                      <w:rFonts w:hint="default" w:ascii="Times New Roman" w:hAnsi="Times New Roman"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8" w:type="pct"/>
                  <w:noWrap w:val="0"/>
                  <w:tcMar>
                    <w:top w:w="0" w:type="dxa"/>
                    <w:left w:w="57" w:type="dxa"/>
                    <w:bottom w:w="0" w:type="dxa"/>
                    <w:right w:w="57" w:type="dxa"/>
                  </w:tcMar>
                  <w:vAlign w:val="center"/>
                </w:tcPr>
                <w:p w14:paraId="160F5A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524" w:type="pct"/>
                  <w:noWrap w:val="0"/>
                  <w:tcMar>
                    <w:top w:w="0" w:type="dxa"/>
                    <w:left w:w="57" w:type="dxa"/>
                    <w:bottom w:w="0" w:type="dxa"/>
                    <w:right w:w="57" w:type="dxa"/>
                  </w:tcMar>
                  <w:vAlign w:val="center"/>
                </w:tcPr>
                <w:p w14:paraId="053ECE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7426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4" w:hRule="atLeast"/>
                <w:jc w:val="center"/>
              </w:trPr>
              <w:tc>
                <w:tcPr>
                  <w:tcW w:w="561" w:type="pct"/>
                  <w:vMerge w:val="continue"/>
                  <w:noWrap w:val="0"/>
                  <w:tcMar>
                    <w:top w:w="0" w:type="dxa"/>
                    <w:left w:w="57" w:type="dxa"/>
                    <w:bottom w:w="0" w:type="dxa"/>
                    <w:right w:w="57" w:type="dxa"/>
                  </w:tcMar>
                  <w:vAlign w:val="center"/>
                </w:tcPr>
                <w:p w14:paraId="45C3EC55">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p>
              </w:tc>
              <w:tc>
                <w:tcPr>
                  <w:tcW w:w="724" w:type="pct"/>
                  <w:noWrap w:val="0"/>
                  <w:tcMar>
                    <w:top w:w="0" w:type="dxa"/>
                    <w:left w:w="57" w:type="dxa"/>
                    <w:bottom w:w="0" w:type="dxa"/>
                    <w:right w:w="57" w:type="dxa"/>
                  </w:tcMar>
                  <w:vAlign w:val="center"/>
                </w:tcPr>
                <w:p w14:paraId="2D8B07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Cs w:val="21"/>
                      <w:highlight w:val="none"/>
                      <w:lang w:val="en-US" w:eastAsia="zh-CN"/>
                    </w:rPr>
                  </w:pPr>
                  <w:r>
                    <w:rPr>
                      <w:rFonts w:hint="eastAsia" w:ascii="Times New Roman" w:hAnsi="Times New Roman" w:cs="宋体"/>
                      <w:color w:val="auto"/>
                      <w:sz w:val="21"/>
                      <w:szCs w:val="21"/>
                      <w:highlight w:val="none"/>
                      <w:lang w:val="en-US" w:eastAsia="zh-CN"/>
                    </w:rPr>
                    <w:t>废包装材料</w:t>
                  </w:r>
                </w:p>
              </w:tc>
              <w:tc>
                <w:tcPr>
                  <w:tcW w:w="775" w:type="pct"/>
                  <w:noWrap w:val="0"/>
                  <w:tcMar>
                    <w:top w:w="0" w:type="dxa"/>
                    <w:left w:w="57" w:type="dxa"/>
                    <w:bottom w:w="0" w:type="dxa"/>
                    <w:right w:w="57" w:type="dxa"/>
                  </w:tcMar>
                  <w:vAlign w:val="center"/>
                </w:tcPr>
                <w:p w14:paraId="660DD7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cs="Times New Roman"/>
                      <w:b w:val="0"/>
                      <w:bCs/>
                      <w:color w:val="auto"/>
                      <w:sz w:val="21"/>
                      <w:szCs w:val="21"/>
                      <w:highlight w:val="none"/>
                      <w:lang w:val="en-US" w:eastAsia="zh-CN"/>
                    </w:rPr>
                    <w:t>0.1</w:t>
                  </w:r>
                </w:p>
              </w:tc>
              <w:tc>
                <w:tcPr>
                  <w:tcW w:w="762" w:type="pct"/>
                  <w:noWrap w:val="0"/>
                  <w:tcMar>
                    <w:top w:w="0" w:type="dxa"/>
                    <w:left w:w="57" w:type="dxa"/>
                    <w:bottom w:w="0" w:type="dxa"/>
                    <w:right w:w="57" w:type="dxa"/>
                  </w:tcMar>
                  <w:vAlign w:val="center"/>
                </w:tcPr>
                <w:p w14:paraId="16BB3619">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72" w:type="pct"/>
                  <w:noWrap w:val="0"/>
                  <w:tcMar>
                    <w:top w:w="0" w:type="dxa"/>
                    <w:left w:w="57" w:type="dxa"/>
                    <w:bottom w:w="0" w:type="dxa"/>
                    <w:right w:w="57" w:type="dxa"/>
                  </w:tcMar>
                  <w:vAlign w:val="center"/>
                </w:tcPr>
                <w:p w14:paraId="395FD85C">
                  <w:pPr>
                    <w:keepNext w:val="0"/>
                    <w:keepLines w:val="0"/>
                    <w:widowControl/>
                    <w:suppressLineNumbers w:val="0"/>
                    <w:jc w:val="center"/>
                    <w:textAlignment w:val="center"/>
                    <w:rPr>
                      <w:rFonts w:hint="default" w:ascii="Times New Roman" w:hAnsi="Times New Roman"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8" w:type="pct"/>
                  <w:noWrap w:val="0"/>
                  <w:tcMar>
                    <w:top w:w="0" w:type="dxa"/>
                    <w:left w:w="57" w:type="dxa"/>
                    <w:bottom w:w="0" w:type="dxa"/>
                    <w:right w:w="57" w:type="dxa"/>
                  </w:tcMar>
                  <w:vAlign w:val="center"/>
                </w:tcPr>
                <w:p w14:paraId="6AF3D8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w:t>
                  </w:r>
                </w:p>
              </w:tc>
              <w:tc>
                <w:tcPr>
                  <w:tcW w:w="524" w:type="pct"/>
                  <w:noWrap w:val="0"/>
                  <w:tcMar>
                    <w:top w:w="0" w:type="dxa"/>
                    <w:left w:w="57" w:type="dxa"/>
                    <w:bottom w:w="0" w:type="dxa"/>
                    <w:right w:w="57" w:type="dxa"/>
                  </w:tcMar>
                  <w:vAlign w:val="center"/>
                </w:tcPr>
                <w:p w14:paraId="5F5E81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608A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4" w:hRule="atLeast"/>
                <w:jc w:val="center"/>
              </w:trPr>
              <w:tc>
                <w:tcPr>
                  <w:tcW w:w="561" w:type="pct"/>
                  <w:vMerge w:val="continue"/>
                  <w:noWrap w:val="0"/>
                  <w:tcMar>
                    <w:top w:w="0" w:type="dxa"/>
                    <w:left w:w="57" w:type="dxa"/>
                    <w:bottom w:w="0" w:type="dxa"/>
                    <w:right w:w="57" w:type="dxa"/>
                  </w:tcMar>
                  <w:vAlign w:val="center"/>
                </w:tcPr>
                <w:p w14:paraId="542CD992">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p>
              </w:tc>
              <w:tc>
                <w:tcPr>
                  <w:tcW w:w="724" w:type="pct"/>
                  <w:noWrap w:val="0"/>
                  <w:tcMar>
                    <w:top w:w="0" w:type="dxa"/>
                    <w:left w:w="57" w:type="dxa"/>
                    <w:bottom w:w="0" w:type="dxa"/>
                    <w:right w:w="57" w:type="dxa"/>
                  </w:tcMar>
                  <w:vAlign w:val="center"/>
                </w:tcPr>
                <w:p w14:paraId="7231F6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污水处理设施污泥</w:t>
                  </w:r>
                </w:p>
              </w:tc>
              <w:tc>
                <w:tcPr>
                  <w:tcW w:w="775" w:type="pct"/>
                  <w:noWrap w:val="0"/>
                  <w:tcMar>
                    <w:top w:w="0" w:type="dxa"/>
                    <w:left w:w="57" w:type="dxa"/>
                    <w:bottom w:w="0" w:type="dxa"/>
                    <w:right w:w="57" w:type="dxa"/>
                  </w:tcMar>
                  <w:vAlign w:val="center"/>
                </w:tcPr>
                <w:p w14:paraId="11DDAA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762" w:type="pct"/>
                  <w:noWrap w:val="0"/>
                  <w:tcMar>
                    <w:top w:w="0" w:type="dxa"/>
                    <w:left w:w="57" w:type="dxa"/>
                    <w:bottom w:w="0" w:type="dxa"/>
                    <w:right w:w="57" w:type="dxa"/>
                  </w:tcMar>
                  <w:vAlign w:val="center"/>
                </w:tcPr>
                <w:p w14:paraId="39186A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13.56</w:t>
                  </w:r>
                </w:p>
              </w:tc>
              <w:tc>
                <w:tcPr>
                  <w:tcW w:w="772" w:type="pct"/>
                  <w:noWrap w:val="0"/>
                  <w:tcMar>
                    <w:top w:w="0" w:type="dxa"/>
                    <w:left w:w="57" w:type="dxa"/>
                    <w:bottom w:w="0" w:type="dxa"/>
                    <w:right w:w="57" w:type="dxa"/>
                  </w:tcMar>
                  <w:vAlign w:val="center"/>
                </w:tcPr>
                <w:p w14:paraId="0F90F1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878" w:type="pct"/>
                  <w:noWrap w:val="0"/>
                  <w:tcMar>
                    <w:top w:w="0" w:type="dxa"/>
                    <w:left w:w="57" w:type="dxa"/>
                    <w:bottom w:w="0" w:type="dxa"/>
                    <w:right w:w="57" w:type="dxa"/>
                  </w:tcMar>
                  <w:vAlign w:val="center"/>
                </w:tcPr>
                <w:p w14:paraId="0D9AE7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13.56</w:t>
                  </w:r>
                </w:p>
              </w:tc>
              <w:tc>
                <w:tcPr>
                  <w:tcW w:w="524" w:type="pct"/>
                  <w:noWrap w:val="0"/>
                  <w:tcMar>
                    <w:top w:w="0" w:type="dxa"/>
                    <w:left w:w="57" w:type="dxa"/>
                    <w:bottom w:w="0" w:type="dxa"/>
                    <w:right w:w="57" w:type="dxa"/>
                  </w:tcMar>
                  <w:vAlign w:val="center"/>
                </w:tcPr>
                <w:p w14:paraId="550A79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5A22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4" w:hRule="atLeast"/>
                <w:jc w:val="center"/>
              </w:trPr>
              <w:tc>
                <w:tcPr>
                  <w:tcW w:w="561" w:type="pct"/>
                  <w:vMerge w:val="continue"/>
                  <w:noWrap w:val="0"/>
                  <w:tcMar>
                    <w:top w:w="0" w:type="dxa"/>
                    <w:left w:w="57" w:type="dxa"/>
                    <w:bottom w:w="0" w:type="dxa"/>
                    <w:right w:w="57" w:type="dxa"/>
                  </w:tcMar>
                  <w:vAlign w:val="center"/>
                </w:tcPr>
                <w:p w14:paraId="5C829EA9">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p>
              </w:tc>
              <w:tc>
                <w:tcPr>
                  <w:tcW w:w="724" w:type="pct"/>
                  <w:noWrap w:val="0"/>
                  <w:tcMar>
                    <w:top w:w="0" w:type="dxa"/>
                    <w:left w:w="57" w:type="dxa"/>
                    <w:bottom w:w="0" w:type="dxa"/>
                    <w:right w:w="57" w:type="dxa"/>
                  </w:tcMar>
                  <w:vAlign w:val="center"/>
                </w:tcPr>
                <w:p w14:paraId="78992F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Cs w:val="21"/>
                      <w:highlight w:val="none"/>
                      <w:lang w:val="en-US" w:eastAsia="zh-CN"/>
                    </w:rPr>
                  </w:pPr>
                  <w:r>
                    <w:rPr>
                      <w:rFonts w:hint="eastAsia" w:ascii="Times New Roman" w:hAnsi="Times New Roman" w:cs="Times New Roman"/>
                      <w:b w:val="0"/>
                      <w:bCs/>
                      <w:color w:val="auto"/>
                      <w:sz w:val="21"/>
                      <w:szCs w:val="21"/>
                      <w:highlight w:val="none"/>
                      <w:lang w:val="en-US" w:eastAsia="zh-CN"/>
                    </w:rPr>
                    <w:t>生活垃圾</w:t>
                  </w:r>
                </w:p>
              </w:tc>
              <w:tc>
                <w:tcPr>
                  <w:tcW w:w="775" w:type="pct"/>
                  <w:noWrap w:val="0"/>
                  <w:tcMar>
                    <w:top w:w="0" w:type="dxa"/>
                    <w:left w:w="57" w:type="dxa"/>
                    <w:bottom w:w="0" w:type="dxa"/>
                    <w:right w:w="57" w:type="dxa"/>
                  </w:tcMar>
                  <w:vAlign w:val="center"/>
                </w:tcPr>
                <w:p w14:paraId="2BA1A8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Cs w:val="21"/>
                      <w:highlight w:val="none"/>
                      <w:lang w:val="en-US" w:eastAsia="zh-CN"/>
                    </w:rPr>
                  </w:pPr>
                  <w:r>
                    <w:rPr>
                      <w:rFonts w:ascii="Times New Roman" w:hAnsi="Times New Roman"/>
                      <w:color w:val="auto"/>
                      <w:sz w:val="21"/>
                      <w:szCs w:val="21"/>
                      <w:highlight w:val="none"/>
                    </w:rPr>
                    <w:t>3.75</w:t>
                  </w:r>
                </w:p>
              </w:tc>
              <w:tc>
                <w:tcPr>
                  <w:tcW w:w="762" w:type="pct"/>
                  <w:noWrap w:val="0"/>
                  <w:tcMar>
                    <w:top w:w="0" w:type="dxa"/>
                    <w:left w:w="57" w:type="dxa"/>
                    <w:bottom w:w="0" w:type="dxa"/>
                    <w:right w:w="57" w:type="dxa"/>
                  </w:tcMar>
                  <w:vAlign w:val="center"/>
                </w:tcPr>
                <w:p w14:paraId="4A3E8AF0">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72" w:type="pct"/>
                  <w:noWrap w:val="0"/>
                  <w:tcMar>
                    <w:top w:w="0" w:type="dxa"/>
                    <w:left w:w="57" w:type="dxa"/>
                    <w:bottom w:w="0" w:type="dxa"/>
                    <w:right w:w="57" w:type="dxa"/>
                  </w:tcMar>
                  <w:vAlign w:val="center"/>
                </w:tcPr>
                <w:p w14:paraId="2362E1BE">
                  <w:pPr>
                    <w:keepNext w:val="0"/>
                    <w:keepLines w:val="0"/>
                    <w:widowControl/>
                    <w:suppressLineNumbers w:val="0"/>
                    <w:jc w:val="center"/>
                    <w:textAlignment w:val="center"/>
                    <w:rPr>
                      <w:rFonts w:hint="default" w:ascii="Times New Roman" w:hAnsi="Times New Roman"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8" w:type="pct"/>
                  <w:noWrap w:val="0"/>
                  <w:tcMar>
                    <w:top w:w="0" w:type="dxa"/>
                    <w:left w:w="57" w:type="dxa"/>
                    <w:bottom w:w="0" w:type="dxa"/>
                    <w:right w:w="57" w:type="dxa"/>
                  </w:tcMar>
                  <w:vAlign w:val="center"/>
                </w:tcPr>
                <w:p w14:paraId="6794A2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3.75</w:t>
                  </w:r>
                </w:p>
              </w:tc>
              <w:tc>
                <w:tcPr>
                  <w:tcW w:w="524" w:type="pct"/>
                  <w:noWrap w:val="0"/>
                  <w:tcMar>
                    <w:top w:w="0" w:type="dxa"/>
                    <w:left w:w="57" w:type="dxa"/>
                    <w:bottom w:w="0" w:type="dxa"/>
                    <w:right w:w="57" w:type="dxa"/>
                  </w:tcMar>
                  <w:vAlign w:val="center"/>
                </w:tcPr>
                <w:p w14:paraId="4ECFE9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05C2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4" w:hRule="atLeast"/>
                <w:jc w:val="center"/>
              </w:trPr>
              <w:tc>
                <w:tcPr>
                  <w:tcW w:w="561" w:type="pct"/>
                  <w:vMerge w:val="continue"/>
                  <w:noWrap w:val="0"/>
                  <w:tcMar>
                    <w:top w:w="0" w:type="dxa"/>
                    <w:left w:w="57" w:type="dxa"/>
                    <w:bottom w:w="0" w:type="dxa"/>
                    <w:right w:w="57" w:type="dxa"/>
                  </w:tcMar>
                  <w:vAlign w:val="center"/>
                </w:tcPr>
                <w:p w14:paraId="6BA75EE3">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p>
              </w:tc>
              <w:tc>
                <w:tcPr>
                  <w:tcW w:w="724" w:type="pct"/>
                  <w:noWrap w:val="0"/>
                  <w:tcMar>
                    <w:top w:w="0" w:type="dxa"/>
                    <w:left w:w="57" w:type="dxa"/>
                    <w:bottom w:w="0" w:type="dxa"/>
                    <w:right w:w="57" w:type="dxa"/>
                  </w:tcMar>
                  <w:vAlign w:val="center"/>
                </w:tcPr>
                <w:p w14:paraId="4520C0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Cs w:val="21"/>
                      <w:highlight w:val="none"/>
                      <w:lang w:val="en-US" w:eastAsia="zh-CN"/>
                    </w:rPr>
                  </w:pPr>
                  <w:r>
                    <w:rPr>
                      <w:rFonts w:hint="eastAsia" w:ascii="Times New Roman" w:hAnsi="Times New Roman"/>
                      <w:color w:val="auto"/>
                      <w:sz w:val="21"/>
                      <w:szCs w:val="21"/>
                      <w:highlight w:val="none"/>
                      <w:lang w:val="en-US" w:eastAsia="zh-CN"/>
                    </w:rPr>
                    <w:t>废冷冻油</w:t>
                  </w:r>
                </w:p>
              </w:tc>
              <w:tc>
                <w:tcPr>
                  <w:tcW w:w="775" w:type="pct"/>
                  <w:noWrap w:val="0"/>
                  <w:tcMar>
                    <w:top w:w="0" w:type="dxa"/>
                    <w:left w:w="57" w:type="dxa"/>
                    <w:bottom w:w="0" w:type="dxa"/>
                    <w:right w:w="57" w:type="dxa"/>
                  </w:tcMar>
                  <w:vAlign w:val="center"/>
                </w:tcPr>
                <w:p w14:paraId="32A77A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Cs w:val="21"/>
                      <w:highlight w:val="none"/>
                      <w:lang w:val="en-US" w:eastAsia="zh-CN"/>
                    </w:rPr>
                  </w:pPr>
                  <w:r>
                    <w:rPr>
                      <w:rFonts w:hint="eastAsia" w:cs="Times New Roman"/>
                      <w:b w:val="0"/>
                      <w:bCs/>
                      <w:color w:val="auto"/>
                      <w:sz w:val="21"/>
                      <w:szCs w:val="21"/>
                      <w:highlight w:val="none"/>
                      <w:lang w:val="en-US" w:eastAsia="zh-CN"/>
                    </w:rPr>
                    <w:t>0.1</w:t>
                  </w:r>
                </w:p>
              </w:tc>
              <w:tc>
                <w:tcPr>
                  <w:tcW w:w="762" w:type="pct"/>
                  <w:noWrap w:val="0"/>
                  <w:tcMar>
                    <w:top w:w="0" w:type="dxa"/>
                    <w:left w:w="57" w:type="dxa"/>
                    <w:bottom w:w="0" w:type="dxa"/>
                    <w:right w:w="57" w:type="dxa"/>
                  </w:tcMar>
                  <w:vAlign w:val="center"/>
                </w:tcPr>
                <w:p w14:paraId="45BAC0CD">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72" w:type="pct"/>
                  <w:noWrap w:val="0"/>
                  <w:tcMar>
                    <w:top w:w="0" w:type="dxa"/>
                    <w:left w:w="57" w:type="dxa"/>
                    <w:bottom w:w="0" w:type="dxa"/>
                    <w:right w:w="57" w:type="dxa"/>
                  </w:tcMar>
                  <w:vAlign w:val="center"/>
                </w:tcPr>
                <w:p w14:paraId="17111014">
                  <w:pPr>
                    <w:keepNext w:val="0"/>
                    <w:keepLines w:val="0"/>
                    <w:widowControl/>
                    <w:suppressLineNumbers w:val="0"/>
                    <w:jc w:val="center"/>
                    <w:textAlignment w:val="center"/>
                    <w:rPr>
                      <w:rFonts w:hint="default" w:ascii="Times New Roman" w:hAnsi="Times New Roman"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8" w:type="pct"/>
                  <w:noWrap w:val="0"/>
                  <w:tcMar>
                    <w:top w:w="0" w:type="dxa"/>
                    <w:left w:w="57" w:type="dxa"/>
                    <w:bottom w:w="0" w:type="dxa"/>
                    <w:right w:w="57" w:type="dxa"/>
                  </w:tcMar>
                  <w:vAlign w:val="center"/>
                </w:tcPr>
                <w:p w14:paraId="04FDB2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w:t>
                  </w:r>
                </w:p>
              </w:tc>
              <w:tc>
                <w:tcPr>
                  <w:tcW w:w="524" w:type="pct"/>
                  <w:noWrap w:val="0"/>
                  <w:tcMar>
                    <w:top w:w="0" w:type="dxa"/>
                    <w:left w:w="57" w:type="dxa"/>
                    <w:bottom w:w="0" w:type="dxa"/>
                    <w:right w:w="57" w:type="dxa"/>
                  </w:tcMar>
                  <w:vAlign w:val="center"/>
                </w:tcPr>
                <w:p w14:paraId="363D06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4F3A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4" w:hRule="atLeast"/>
                <w:jc w:val="center"/>
              </w:trPr>
              <w:tc>
                <w:tcPr>
                  <w:tcW w:w="561" w:type="pct"/>
                  <w:vMerge w:val="continue"/>
                  <w:noWrap w:val="0"/>
                  <w:tcMar>
                    <w:top w:w="0" w:type="dxa"/>
                    <w:left w:w="57" w:type="dxa"/>
                    <w:bottom w:w="0" w:type="dxa"/>
                    <w:right w:w="57" w:type="dxa"/>
                  </w:tcMar>
                  <w:vAlign w:val="center"/>
                </w:tcPr>
                <w:p w14:paraId="727DE10A">
                  <w:pPr>
                    <w:keepNext w:val="0"/>
                    <w:keepLines w:val="0"/>
                    <w:pageBreakBefore w:val="0"/>
                    <w:widowControl w:val="0"/>
                    <w:suppressLineNumbers w:val="0"/>
                    <w:kinsoku/>
                    <w:wordWrap/>
                    <w:overflowPunct/>
                    <w:topLinePunct w:val="0"/>
                    <w:bidi w:val="0"/>
                    <w:adjustRightInd/>
                    <w:snapToGrid/>
                    <w:spacing w:before="0" w:beforeAutospacing="0" w:after="0" w:afterAutospacing="0" w:line="288" w:lineRule="auto"/>
                    <w:ind w:left="0" w:leftChars="0" w:right="0" w:rightChars="0"/>
                    <w:jc w:val="center"/>
                    <w:textAlignment w:val="auto"/>
                    <w:rPr>
                      <w:rFonts w:hint="default" w:ascii="Times New Roman" w:hAnsi="Times New Roman" w:cs="Times New Roman"/>
                      <w:b w:val="0"/>
                      <w:bCs w:val="0"/>
                      <w:color w:val="auto"/>
                      <w:szCs w:val="21"/>
                      <w:highlight w:val="none"/>
                    </w:rPr>
                  </w:pPr>
                </w:p>
              </w:tc>
              <w:tc>
                <w:tcPr>
                  <w:tcW w:w="724" w:type="pct"/>
                  <w:noWrap w:val="0"/>
                  <w:tcMar>
                    <w:top w:w="0" w:type="dxa"/>
                    <w:left w:w="57" w:type="dxa"/>
                    <w:bottom w:w="0" w:type="dxa"/>
                    <w:right w:w="57" w:type="dxa"/>
                  </w:tcMar>
                  <w:vAlign w:val="center"/>
                </w:tcPr>
                <w:p w14:paraId="3D9AB5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废包装桶</w:t>
                  </w:r>
                </w:p>
              </w:tc>
              <w:tc>
                <w:tcPr>
                  <w:tcW w:w="775" w:type="pct"/>
                  <w:noWrap w:val="0"/>
                  <w:tcMar>
                    <w:top w:w="0" w:type="dxa"/>
                    <w:left w:w="57" w:type="dxa"/>
                    <w:bottom w:w="0" w:type="dxa"/>
                    <w:right w:w="57" w:type="dxa"/>
                  </w:tcMar>
                  <w:vAlign w:val="center"/>
                </w:tcPr>
                <w:p w14:paraId="48F018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baseline"/>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smallCaps w:val="0"/>
                      <w:color w:val="auto"/>
                      <w:kern w:val="2"/>
                      <w:sz w:val="21"/>
                      <w:szCs w:val="21"/>
                      <w:highlight w:val="none"/>
                      <w:vertAlign w:val="baseline"/>
                      <w:lang w:val="en-US" w:eastAsia="zh-CN" w:bidi="ar"/>
                    </w:rPr>
                    <w:t>1.5</w:t>
                  </w:r>
                </w:p>
              </w:tc>
              <w:tc>
                <w:tcPr>
                  <w:tcW w:w="762" w:type="pct"/>
                  <w:noWrap w:val="0"/>
                  <w:tcMar>
                    <w:top w:w="0" w:type="dxa"/>
                    <w:left w:w="57" w:type="dxa"/>
                    <w:bottom w:w="0" w:type="dxa"/>
                    <w:right w:w="57" w:type="dxa"/>
                  </w:tcMar>
                  <w:vAlign w:val="center"/>
                </w:tcPr>
                <w:p w14:paraId="072265EB">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72" w:type="pct"/>
                  <w:noWrap w:val="0"/>
                  <w:tcMar>
                    <w:top w:w="0" w:type="dxa"/>
                    <w:left w:w="57" w:type="dxa"/>
                    <w:bottom w:w="0" w:type="dxa"/>
                    <w:right w:w="57" w:type="dxa"/>
                  </w:tcMar>
                  <w:vAlign w:val="center"/>
                </w:tcPr>
                <w:p w14:paraId="653C7995">
                  <w:pPr>
                    <w:keepNext w:val="0"/>
                    <w:keepLines w:val="0"/>
                    <w:widowControl/>
                    <w:suppressLineNumbers w:val="0"/>
                    <w:jc w:val="center"/>
                    <w:textAlignment w:val="center"/>
                    <w:rPr>
                      <w:rFonts w:hint="default" w:ascii="Times New Roman" w:hAnsi="Times New Roman"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8" w:type="pct"/>
                  <w:noWrap w:val="0"/>
                  <w:tcMar>
                    <w:top w:w="0" w:type="dxa"/>
                    <w:left w:w="57" w:type="dxa"/>
                    <w:bottom w:w="0" w:type="dxa"/>
                    <w:right w:w="57" w:type="dxa"/>
                  </w:tcMar>
                  <w:vAlign w:val="center"/>
                </w:tcPr>
                <w:p w14:paraId="610AD0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24" w:type="pct"/>
                  <w:noWrap w:val="0"/>
                  <w:tcMar>
                    <w:top w:w="0" w:type="dxa"/>
                    <w:left w:w="57" w:type="dxa"/>
                    <w:bottom w:w="0" w:type="dxa"/>
                    <w:right w:w="57" w:type="dxa"/>
                  </w:tcMar>
                  <w:vAlign w:val="center"/>
                </w:tcPr>
                <w:p w14:paraId="339BE3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bl>
          <w:p w14:paraId="1313006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rPr>
            </w:pPr>
            <w:r>
              <w:rPr>
                <w:rFonts w:hint="eastAsia"/>
                <w:b/>
                <w:bCs/>
                <w:color w:val="auto"/>
                <w:sz w:val="24"/>
                <w:lang w:val="en-US" w:eastAsia="zh-CN"/>
              </w:rPr>
              <w:t>九、</w:t>
            </w:r>
            <w:r>
              <w:rPr>
                <w:b/>
                <w:bCs/>
                <w:color w:val="auto"/>
                <w:sz w:val="24"/>
              </w:rPr>
              <w:t>环保投资</w:t>
            </w:r>
          </w:p>
          <w:p w14:paraId="5ECE3558">
            <w:pPr>
              <w:spacing w:line="360" w:lineRule="auto"/>
              <w:ind w:firstLine="480" w:firstLineChars="200"/>
              <w:rPr>
                <w:color w:val="auto"/>
                <w:sz w:val="24"/>
                <w:highlight w:val="none"/>
              </w:rPr>
            </w:pPr>
            <w:r>
              <w:rPr>
                <w:rFonts w:hint="eastAsia"/>
                <w:color w:val="auto"/>
                <w:sz w:val="24"/>
                <w:highlight w:val="none"/>
                <w:lang w:val="en-US" w:eastAsia="zh-CN"/>
              </w:rPr>
              <w:t>本次技改项目</w:t>
            </w:r>
            <w:r>
              <w:rPr>
                <w:color w:val="auto"/>
                <w:sz w:val="24"/>
                <w:highlight w:val="none"/>
              </w:rPr>
              <w:t>总投资</w:t>
            </w:r>
            <w:r>
              <w:rPr>
                <w:rFonts w:hint="eastAsia"/>
                <w:color w:val="auto"/>
                <w:sz w:val="24"/>
                <w:highlight w:val="none"/>
                <w:lang w:val="en-US" w:eastAsia="zh-CN"/>
              </w:rPr>
              <w:t>50</w:t>
            </w:r>
            <w:r>
              <w:rPr>
                <w:color w:val="auto"/>
                <w:sz w:val="24"/>
                <w:highlight w:val="none"/>
              </w:rPr>
              <w:t>万元，其中环保投资</w:t>
            </w:r>
            <w:r>
              <w:rPr>
                <w:rFonts w:hint="eastAsia"/>
                <w:color w:val="auto"/>
                <w:sz w:val="24"/>
                <w:highlight w:val="none"/>
                <w:lang w:val="en-US" w:eastAsia="zh-CN"/>
              </w:rPr>
              <w:t>23.5</w:t>
            </w:r>
            <w:r>
              <w:rPr>
                <w:color w:val="auto"/>
                <w:sz w:val="24"/>
                <w:highlight w:val="none"/>
              </w:rPr>
              <w:t>万元，占总投资的</w:t>
            </w:r>
            <w:r>
              <w:rPr>
                <w:rFonts w:hint="eastAsia"/>
                <w:color w:val="auto"/>
                <w:sz w:val="24"/>
                <w:highlight w:val="none"/>
                <w:lang w:val="en-US" w:eastAsia="zh-CN"/>
              </w:rPr>
              <w:t>47</w:t>
            </w:r>
            <w:r>
              <w:rPr>
                <w:color w:val="auto"/>
                <w:sz w:val="24"/>
                <w:highlight w:val="none"/>
              </w:rPr>
              <w:t>%。项目环保投资</w:t>
            </w:r>
            <w:r>
              <w:rPr>
                <w:rFonts w:hint="eastAsia"/>
                <w:color w:val="auto"/>
                <w:sz w:val="24"/>
                <w:highlight w:val="none"/>
                <w:lang w:val="en-US" w:eastAsia="zh-CN"/>
              </w:rPr>
              <w:t>情况详</w:t>
            </w:r>
            <w:r>
              <w:rPr>
                <w:color w:val="auto"/>
                <w:sz w:val="24"/>
                <w:highlight w:val="none"/>
              </w:rPr>
              <w:t>见下表。</w:t>
            </w:r>
          </w:p>
          <w:p w14:paraId="6CECCE77">
            <w:pPr>
              <w:adjustRightInd w:val="0"/>
              <w:snapToGrid w:val="0"/>
              <w:spacing w:line="276" w:lineRule="auto"/>
              <w:jc w:val="center"/>
              <w:rPr>
                <w:color w:val="auto"/>
              </w:rPr>
            </w:pPr>
            <w:r>
              <w:rPr>
                <w:b/>
                <w:bCs/>
                <w:color w:val="auto"/>
                <w:szCs w:val="21"/>
              </w:rPr>
              <w:t>表4-</w:t>
            </w:r>
            <w:r>
              <w:rPr>
                <w:rFonts w:hint="eastAsia"/>
                <w:b/>
                <w:bCs/>
                <w:color w:val="auto"/>
                <w:szCs w:val="21"/>
                <w:lang w:val="en-US" w:eastAsia="zh-CN"/>
              </w:rPr>
              <w:t xml:space="preserve">25 </w:t>
            </w:r>
            <w:r>
              <w:rPr>
                <w:b/>
                <w:bCs/>
                <w:color w:val="auto"/>
                <w:szCs w:val="21"/>
              </w:rPr>
              <w:t xml:space="preserve"> </w:t>
            </w:r>
            <w:r>
              <w:rPr>
                <w:rFonts w:hint="eastAsia"/>
                <w:b/>
                <w:color w:val="auto"/>
                <w:szCs w:val="21"/>
              </w:rPr>
              <w:t>环保投资情况一览表</w:t>
            </w:r>
          </w:p>
          <w:tbl>
            <w:tblPr>
              <w:tblStyle w:val="2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660"/>
              <w:gridCol w:w="2238"/>
              <w:gridCol w:w="1875"/>
              <w:gridCol w:w="837"/>
              <w:gridCol w:w="1920"/>
            </w:tblGrid>
            <w:tr w14:paraId="233F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90" w:type="dxa"/>
                  <w:tcBorders>
                    <w:bottom w:val="single" w:color="auto" w:sz="4" w:space="0"/>
                  </w:tcBorders>
                  <w:vAlign w:val="center"/>
                </w:tcPr>
                <w:p w14:paraId="5F8E871F">
                  <w:pPr>
                    <w:adjustRightInd w:val="0"/>
                    <w:snapToGrid w:val="0"/>
                    <w:spacing w:line="320" w:lineRule="exact"/>
                    <w:jc w:val="center"/>
                    <w:outlineLvl w:val="0"/>
                    <w:rPr>
                      <w:b/>
                      <w:color w:val="auto"/>
                    </w:rPr>
                  </w:pPr>
                  <w:bookmarkStart w:id="9" w:name="_Toc179"/>
                  <w:bookmarkStart w:id="10" w:name="_Toc25591"/>
                  <w:r>
                    <w:rPr>
                      <w:b/>
                      <w:color w:val="auto"/>
                    </w:rPr>
                    <w:t>时段</w:t>
                  </w:r>
                  <w:bookmarkEnd w:id="9"/>
                  <w:bookmarkEnd w:id="10"/>
                </w:p>
              </w:tc>
              <w:tc>
                <w:tcPr>
                  <w:tcW w:w="660" w:type="dxa"/>
                  <w:vAlign w:val="center"/>
                </w:tcPr>
                <w:p w14:paraId="1A5D50C2">
                  <w:pPr>
                    <w:autoSpaceDE w:val="0"/>
                    <w:autoSpaceDN w:val="0"/>
                    <w:adjustRightInd w:val="0"/>
                    <w:snapToGrid w:val="0"/>
                    <w:spacing w:line="320" w:lineRule="exact"/>
                    <w:jc w:val="center"/>
                    <w:outlineLvl w:val="0"/>
                    <w:rPr>
                      <w:b/>
                      <w:bCs/>
                      <w:color w:val="auto"/>
                      <w:kern w:val="0"/>
                    </w:rPr>
                  </w:pPr>
                  <w:bookmarkStart w:id="11" w:name="_Toc30919"/>
                  <w:bookmarkStart w:id="12" w:name="_Toc31961"/>
                  <w:r>
                    <w:rPr>
                      <w:b/>
                      <w:bCs/>
                      <w:color w:val="auto"/>
                      <w:kern w:val="0"/>
                    </w:rPr>
                    <w:t>项目</w:t>
                  </w:r>
                  <w:bookmarkEnd w:id="11"/>
                  <w:bookmarkEnd w:id="12"/>
                </w:p>
              </w:tc>
              <w:tc>
                <w:tcPr>
                  <w:tcW w:w="2238" w:type="dxa"/>
                  <w:vAlign w:val="center"/>
                </w:tcPr>
                <w:p w14:paraId="048B5E46">
                  <w:pPr>
                    <w:autoSpaceDE w:val="0"/>
                    <w:autoSpaceDN w:val="0"/>
                    <w:adjustRightInd w:val="0"/>
                    <w:snapToGrid w:val="0"/>
                    <w:spacing w:line="320" w:lineRule="exact"/>
                    <w:jc w:val="center"/>
                    <w:outlineLvl w:val="0"/>
                    <w:rPr>
                      <w:b/>
                      <w:bCs/>
                      <w:color w:val="auto"/>
                      <w:kern w:val="0"/>
                    </w:rPr>
                  </w:pPr>
                  <w:bookmarkStart w:id="13" w:name="_Toc2639"/>
                  <w:bookmarkStart w:id="14" w:name="_Toc29104"/>
                  <w:r>
                    <w:rPr>
                      <w:b/>
                      <w:bCs/>
                      <w:color w:val="auto"/>
                      <w:kern w:val="0"/>
                    </w:rPr>
                    <w:t>治理措施</w:t>
                  </w:r>
                  <w:bookmarkEnd w:id="13"/>
                  <w:bookmarkEnd w:id="14"/>
                </w:p>
              </w:tc>
              <w:tc>
                <w:tcPr>
                  <w:tcW w:w="1875" w:type="dxa"/>
                  <w:vAlign w:val="center"/>
                </w:tcPr>
                <w:p w14:paraId="01151EE4">
                  <w:pPr>
                    <w:autoSpaceDE w:val="0"/>
                    <w:autoSpaceDN w:val="0"/>
                    <w:adjustRightInd w:val="0"/>
                    <w:snapToGrid w:val="0"/>
                    <w:spacing w:line="320" w:lineRule="exact"/>
                    <w:jc w:val="center"/>
                    <w:outlineLvl w:val="0"/>
                    <w:rPr>
                      <w:b/>
                      <w:bCs/>
                      <w:color w:val="auto"/>
                      <w:kern w:val="0"/>
                    </w:rPr>
                  </w:pPr>
                  <w:bookmarkStart w:id="15" w:name="_Toc28965"/>
                  <w:bookmarkStart w:id="16" w:name="_Toc14752"/>
                  <w:r>
                    <w:rPr>
                      <w:b/>
                      <w:bCs/>
                      <w:color w:val="auto"/>
                      <w:kern w:val="0"/>
                    </w:rPr>
                    <w:t>数量</w:t>
                  </w:r>
                  <w:bookmarkEnd w:id="15"/>
                  <w:bookmarkEnd w:id="16"/>
                </w:p>
              </w:tc>
              <w:tc>
                <w:tcPr>
                  <w:tcW w:w="837" w:type="dxa"/>
                  <w:vAlign w:val="center"/>
                </w:tcPr>
                <w:p w14:paraId="29CF3238">
                  <w:pPr>
                    <w:autoSpaceDE w:val="0"/>
                    <w:autoSpaceDN w:val="0"/>
                    <w:adjustRightInd w:val="0"/>
                    <w:snapToGrid w:val="0"/>
                    <w:spacing w:line="320" w:lineRule="exact"/>
                    <w:jc w:val="center"/>
                    <w:outlineLvl w:val="0"/>
                    <w:rPr>
                      <w:b/>
                      <w:bCs/>
                      <w:color w:val="auto"/>
                      <w:kern w:val="0"/>
                    </w:rPr>
                  </w:pPr>
                  <w:bookmarkStart w:id="17" w:name="_Toc19556"/>
                  <w:bookmarkStart w:id="18" w:name="_Toc17287"/>
                  <w:r>
                    <w:rPr>
                      <w:b/>
                      <w:bCs/>
                      <w:color w:val="auto"/>
                      <w:kern w:val="0"/>
                    </w:rPr>
                    <w:t>投资金额（万元）</w:t>
                  </w:r>
                  <w:bookmarkEnd w:id="17"/>
                  <w:bookmarkEnd w:id="18"/>
                </w:p>
              </w:tc>
              <w:tc>
                <w:tcPr>
                  <w:tcW w:w="1920" w:type="dxa"/>
                  <w:vAlign w:val="center"/>
                </w:tcPr>
                <w:p w14:paraId="37D8BC8B">
                  <w:pPr>
                    <w:autoSpaceDE w:val="0"/>
                    <w:autoSpaceDN w:val="0"/>
                    <w:adjustRightInd w:val="0"/>
                    <w:snapToGrid w:val="0"/>
                    <w:spacing w:line="320" w:lineRule="exact"/>
                    <w:jc w:val="center"/>
                    <w:outlineLvl w:val="0"/>
                    <w:rPr>
                      <w:rFonts w:hint="eastAsia" w:eastAsia="宋体"/>
                      <w:b/>
                      <w:bCs/>
                      <w:color w:val="auto"/>
                      <w:kern w:val="0"/>
                      <w:lang w:eastAsia="zh-CN"/>
                    </w:rPr>
                  </w:pPr>
                  <w:bookmarkStart w:id="19" w:name="_Toc3235"/>
                  <w:r>
                    <w:rPr>
                      <w:rFonts w:hint="eastAsia"/>
                      <w:b/>
                      <w:bCs/>
                      <w:color w:val="auto"/>
                      <w:kern w:val="0"/>
                      <w:lang w:val="en-US" w:eastAsia="zh-CN"/>
                    </w:rPr>
                    <w:t>备注</w:t>
                  </w:r>
                  <w:bookmarkEnd w:id="19"/>
                </w:p>
              </w:tc>
            </w:tr>
            <w:tr w14:paraId="2861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90" w:type="dxa"/>
                  <w:vMerge w:val="restart"/>
                  <w:vAlign w:val="center"/>
                </w:tcPr>
                <w:p w14:paraId="56D228C0">
                  <w:pPr>
                    <w:adjustRightInd w:val="0"/>
                    <w:snapToGrid w:val="0"/>
                    <w:spacing w:line="320" w:lineRule="exact"/>
                    <w:jc w:val="center"/>
                    <w:outlineLvl w:val="0"/>
                    <w:rPr>
                      <w:color w:val="auto"/>
                    </w:rPr>
                  </w:pPr>
                  <w:bookmarkStart w:id="20" w:name="_Toc4658"/>
                  <w:bookmarkStart w:id="21" w:name="_Toc11657"/>
                  <w:r>
                    <w:rPr>
                      <w:rFonts w:hint="eastAsia"/>
                      <w:color w:val="auto"/>
                    </w:rPr>
                    <w:t>运营期</w:t>
                  </w:r>
                  <w:bookmarkEnd w:id="20"/>
                  <w:bookmarkEnd w:id="21"/>
                </w:p>
              </w:tc>
              <w:tc>
                <w:tcPr>
                  <w:tcW w:w="660" w:type="dxa"/>
                  <w:vMerge w:val="restart"/>
                  <w:vAlign w:val="center"/>
                </w:tcPr>
                <w:p w14:paraId="40596F15">
                  <w:pPr>
                    <w:adjustRightInd w:val="0"/>
                    <w:snapToGrid w:val="0"/>
                    <w:spacing w:line="320" w:lineRule="exact"/>
                    <w:jc w:val="center"/>
                    <w:outlineLvl w:val="0"/>
                    <w:rPr>
                      <w:color w:val="auto"/>
                    </w:rPr>
                  </w:pPr>
                  <w:bookmarkStart w:id="22" w:name="_Toc24267"/>
                  <w:bookmarkStart w:id="23" w:name="_Toc27977"/>
                  <w:r>
                    <w:rPr>
                      <w:rFonts w:hint="eastAsia"/>
                      <w:color w:val="auto"/>
                    </w:rPr>
                    <w:t>废水</w:t>
                  </w:r>
                  <w:bookmarkEnd w:id="22"/>
                  <w:bookmarkEnd w:id="23"/>
                </w:p>
              </w:tc>
              <w:tc>
                <w:tcPr>
                  <w:tcW w:w="2238" w:type="dxa"/>
                  <w:vAlign w:val="center"/>
                </w:tcPr>
                <w:p w14:paraId="7FDCFBD6">
                  <w:pPr>
                    <w:adjustRightInd w:val="0"/>
                    <w:snapToGrid w:val="0"/>
                    <w:spacing w:line="320" w:lineRule="exact"/>
                    <w:jc w:val="center"/>
                    <w:outlineLvl w:val="0"/>
                    <w:rPr>
                      <w:color w:val="auto"/>
                    </w:rPr>
                  </w:pPr>
                  <w:bookmarkStart w:id="24" w:name="_Toc16716"/>
                  <w:bookmarkStart w:id="25" w:name="_Toc4259"/>
                  <w:r>
                    <w:rPr>
                      <w:color w:val="auto"/>
                    </w:rPr>
                    <w:t>沉淀池</w:t>
                  </w:r>
                  <w:bookmarkEnd w:id="24"/>
                  <w:bookmarkEnd w:id="25"/>
                </w:p>
              </w:tc>
              <w:tc>
                <w:tcPr>
                  <w:tcW w:w="1875" w:type="dxa"/>
                  <w:vAlign w:val="center"/>
                </w:tcPr>
                <w:p w14:paraId="4D598313">
                  <w:pPr>
                    <w:adjustRightInd w:val="0"/>
                    <w:snapToGrid w:val="0"/>
                    <w:spacing w:line="320" w:lineRule="exact"/>
                    <w:outlineLvl w:val="0"/>
                    <w:rPr>
                      <w:color w:val="auto"/>
                    </w:rPr>
                  </w:pPr>
                  <w:bookmarkStart w:id="26" w:name="_Toc26089"/>
                  <w:bookmarkStart w:id="27" w:name="_Toc1644"/>
                  <w:r>
                    <w:rPr>
                      <w:color w:val="auto"/>
                    </w:rPr>
                    <w:t>1个，容积为</w:t>
                  </w:r>
                  <w:r>
                    <w:rPr>
                      <w:rFonts w:hint="eastAsia"/>
                      <w:color w:val="auto"/>
                    </w:rPr>
                    <w:t>7</w:t>
                  </w:r>
                  <w:r>
                    <w:rPr>
                      <w:color w:val="auto"/>
                    </w:rPr>
                    <w:t>0m</w:t>
                  </w:r>
                  <w:r>
                    <w:rPr>
                      <w:color w:val="auto"/>
                      <w:vertAlign w:val="superscript"/>
                    </w:rPr>
                    <w:t>3</w:t>
                  </w:r>
                  <w:bookmarkEnd w:id="26"/>
                  <w:bookmarkEnd w:id="27"/>
                </w:p>
              </w:tc>
              <w:tc>
                <w:tcPr>
                  <w:tcW w:w="837" w:type="dxa"/>
                  <w:tcBorders>
                    <w:bottom w:val="single" w:color="auto" w:sz="4" w:space="0"/>
                  </w:tcBorders>
                  <w:vAlign w:val="center"/>
                </w:tcPr>
                <w:p w14:paraId="3B751AE4">
                  <w:pPr>
                    <w:adjustRightInd w:val="0"/>
                    <w:snapToGrid w:val="0"/>
                    <w:spacing w:line="320" w:lineRule="exact"/>
                    <w:jc w:val="center"/>
                    <w:outlineLvl w:val="0"/>
                    <w:rPr>
                      <w:rFonts w:hint="eastAsia" w:eastAsia="宋体"/>
                      <w:color w:val="auto"/>
                      <w:lang w:val="en-US" w:eastAsia="zh-CN"/>
                    </w:rPr>
                  </w:pPr>
                  <w:bookmarkStart w:id="28" w:name="_Toc20637"/>
                  <w:r>
                    <w:rPr>
                      <w:rFonts w:hint="eastAsia"/>
                      <w:color w:val="auto"/>
                      <w:lang w:val="en-US" w:eastAsia="zh-CN"/>
                    </w:rPr>
                    <w:t>0</w:t>
                  </w:r>
                  <w:bookmarkEnd w:id="28"/>
                </w:p>
              </w:tc>
              <w:tc>
                <w:tcPr>
                  <w:tcW w:w="1920" w:type="dxa"/>
                  <w:vAlign w:val="center"/>
                </w:tcPr>
                <w:p w14:paraId="50844546">
                  <w:pPr>
                    <w:adjustRightInd w:val="0"/>
                    <w:snapToGrid w:val="0"/>
                    <w:spacing w:line="320" w:lineRule="exact"/>
                    <w:jc w:val="center"/>
                    <w:outlineLvl w:val="0"/>
                    <w:rPr>
                      <w:rFonts w:hint="default" w:eastAsia="宋体"/>
                      <w:color w:val="auto"/>
                      <w:lang w:val="en-US" w:eastAsia="zh-CN"/>
                    </w:rPr>
                  </w:pPr>
                  <w:bookmarkStart w:id="29" w:name="_Toc4126"/>
                  <w:r>
                    <w:rPr>
                      <w:rFonts w:hint="eastAsia"/>
                      <w:color w:val="auto"/>
                      <w:lang w:val="en-US" w:eastAsia="zh-CN"/>
                    </w:rPr>
                    <w:t>沿用现有项目</w:t>
                  </w:r>
                  <w:bookmarkEnd w:id="29"/>
                </w:p>
              </w:tc>
            </w:tr>
            <w:tr w14:paraId="02C6E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90" w:type="dxa"/>
                  <w:vMerge w:val="continue"/>
                  <w:vAlign w:val="center"/>
                </w:tcPr>
                <w:p w14:paraId="4C5E71F6">
                  <w:pPr>
                    <w:adjustRightInd w:val="0"/>
                    <w:snapToGrid w:val="0"/>
                    <w:spacing w:line="320" w:lineRule="exact"/>
                    <w:jc w:val="center"/>
                    <w:outlineLvl w:val="9"/>
                    <w:rPr>
                      <w:color w:val="auto"/>
                    </w:rPr>
                  </w:pPr>
                </w:p>
              </w:tc>
              <w:tc>
                <w:tcPr>
                  <w:tcW w:w="660" w:type="dxa"/>
                  <w:vMerge w:val="continue"/>
                  <w:vAlign w:val="center"/>
                </w:tcPr>
                <w:p w14:paraId="1EBF0E7C">
                  <w:pPr>
                    <w:adjustRightInd w:val="0"/>
                    <w:snapToGrid w:val="0"/>
                    <w:spacing w:line="320" w:lineRule="exact"/>
                    <w:jc w:val="center"/>
                    <w:outlineLvl w:val="9"/>
                    <w:rPr>
                      <w:color w:val="auto"/>
                    </w:rPr>
                  </w:pPr>
                </w:p>
              </w:tc>
              <w:tc>
                <w:tcPr>
                  <w:tcW w:w="2238" w:type="dxa"/>
                  <w:vAlign w:val="center"/>
                </w:tcPr>
                <w:p w14:paraId="32AD9F52">
                  <w:pPr>
                    <w:adjustRightInd w:val="0"/>
                    <w:snapToGrid w:val="0"/>
                    <w:spacing w:line="320" w:lineRule="exact"/>
                    <w:jc w:val="center"/>
                    <w:outlineLvl w:val="0"/>
                    <w:rPr>
                      <w:color w:val="auto"/>
                    </w:rPr>
                  </w:pPr>
                  <w:bookmarkStart w:id="30" w:name="_Toc21809"/>
                  <w:bookmarkStart w:id="31" w:name="_Toc2194"/>
                  <w:r>
                    <w:rPr>
                      <w:color w:val="auto"/>
                    </w:rPr>
                    <w:t>一体化污水处理站</w:t>
                  </w:r>
                  <w:bookmarkEnd w:id="30"/>
                  <w:bookmarkEnd w:id="31"/>
                </w:p>
              </w:tc>
              <w:tc>
                <w:tcPr>
                  <w:tcW w:w="1875" w:type="dxa"/>
                  <w:vAlign w:val="center"/>
                </w:tcPr>
                <w:p w14:paraId="63ECCFB9">
                  <w:pPr>
                    <w:adjustRightInd w:val="0"/>
                    <w:snapToGrid w:val="0"/>
                    <w:spacing w:line="320" w:lineRule="exact"/>
                    <w:outlineLvl w:val="0"/>
                    <w:rPr>
                      <w:color w:val="auto"/>
                    </w:rPr>
                  </w:pPr>
                  <w:bookmarkStart w:id="32" w:name="_Toc23639"/>
                  <w:bookmarkStart w:id="33" w:name="_Toc13285"/>
                  <w:r>
                    <w:rPr>
                      <w:color w:val="auto"/>
                    </w:rPr>
                    <w:t>1座，处理能力为15m</w:t>
                  </w:r>
                  <w:r>
                    <w:rPr>
                      <w:color w:val="auto"/>
                      <w:vertAlign w:val="superscript"/>
                    </w:rPr>
                    <w:t>3</w:t>
                  </w:r>
                  <w:r>
                    <w:rPr>
                      <w:color w:val="auto"/>
                    </w:rPr>
                    <w:t>/d</w:t>
                  </w:r>
                  <w:bookmarkEnd w:id="32"/>
                  <w:bookmarkEnd w:id="33"/>
                </w:p>
              </w:tc>
              <w:tc>
                <w:tcPr>
                  <w:tcW w:w="837" w:type="dxa"/>
                  <w:tcBorders>
                    <w:bottom w:val="single" w:color="auto" w:sz="4" w:space="0"/>
                  </w:tcBorders>
                  <w:vAlign w:val="center"/>
                </w:tcPr>
                <w:p w14:paraId="4A951F70">
                  <w:pPr>
                    <w:adjustRightInd w:val="0"/>
                    <w:snapToGrid w:val="0"/>
                    <w:spacing w:line="320" w:lineRule="exact"/>
                    <w:jc w:val="center"/>
                    <w:outlineLvl w:val="0"/>
                    <w:rPr>
                      <w:rFonts w:hint="default" w:eastAsia="宋体"/>
                      <w:color w:val="auto"/>
                      <w:lang w:val="en-US" w:eastAsia="zh-CN"/>
                    </w:rPr>
                  </w:pPr>
                  <w:bookmarkStart w:id="34" w:name="_Toc9201"/>
                  <w:r>
                    <w:rPr>
                      <w:rFonts w:hint="eastAsia"/>
                      <w:color w:val="auto"/>
                      <w:lang w:val="en-US" w:eastAsia="zh-CN"/>
                    </w:rPr>
                    <w:t>0</w:t>
                  </w:r>
                  <w:bookmarkEnd w:id="34"/>
                </w:p>
              </w:tc>
              <w:tc>
                <w:tcPr>
                  <w:tcW w:w="1920" w:type="dxa"/>
                  <w:vAlign w:val="center"/>
                </w:tcPr>
                <w:p w14:paraId="497CB10F">
                  <w:pPr>
                    <w:adjustRightInd w:val="0"/>
                    <w:snapToGrid w:val="0"/>
                    <w:spacing w:line="320" w:lineRule="exact"/>
                    <w:jc w:val="center"/>
                    <w:outlineLvl w:val="0"/>
                    <w:rPr>
                      <w:color w:val="auto"/>
                    </w:rPr>
                  </w:pPr>
                  <w:bookmarkStart w:id="35" w:name="_Toc11647"/>
                  <w:r>
                    <w:rPr>
                      <w:rFonts w:hint="eastAsia"/>
                      <w:color w:val="auto"/>
                      <w:lang w:val="en-US" w:eastAsia="zh-CN"/>
                    </w:rPr>
                    <w:t>沿用现有项目</w:t>
                  </w:r>
                  <w:bookmarkEnd w:id="35"/>
                </w:p>
              </w:tc>
            </w:tr>
            <w:tr w14:paraId="7CBD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90" w:type="dxa"/>
                  <w:vMerge w:val="continue"/>
                  <w:vAlign w:val="center"/>
                </w:tcPr>
                <w:p w14:paraId="4CA0FA09">
                  <w:pPr>
                    <w:adjustRightInd w:val="0"/>
                    <w:snapToGrid w:val="0"/>
                    <w:spacing w:line="320" w:lineRule="exact"/>
                    <w:jc w:val="center"/>
                    <w:outlineLvl w:val="9"/>
                    <w:rPr>
                      <w:color w:val="auto"/>
                    </w:rPr>
                  </w:pPr>
                </w:p>
              </w:tc>
              <w:tc>
                <w:tcPr>
                  <w:tcW w:w="660" w:type="dxa"/>
                  <w:vMerge w:val="continue"/>
                  <w:vAlign w:val="center"/>
                </w:tcPr>
                <w:p w14:paraId="4B667879">
                  <w:pPr>
                    <w:adjustRightInd w:val="0"/>
                    <w:snapToGrid w:val="0"/>
                    <w:spacing w:line="320" w:lineRule="exact"/>
                    <w:jc w:val="center"/>
                    <w:outlineLvl w:val="9"/>
                    <w:rPr>
                      <w:color w:val="auto"/>
                    </w:rPr>
                  </w:pPr>
                </w:p>
              </w:tc>
              <w:tc>
                <w:tcPr>
                  <w:tcW w:w="2238" w:type="dxa"/>
                  <w:vAlign w:val="center"/>
                </w:tcPr>
                <w:p w14:paraId="5803E578">
                  <w:pPr>
                    <w:adjustRightInd w:val="0"/>
                    <w:snapToGrid w:val="0"/>
                    <w:spacing w:line="320" w:lineRule="exact"/>
                    <w:jc w:val="center"/>
                    <w:outlineLvl w:val="0"/>
                    <w:rPr>
                      <w:rFonts w:hint="default" w:eastAsia="宋体"/>
                      <w:color w:val="auto"/>
                      <w:lang w:val="en-US" w:eastAsia="zh-CN"/>
                    </w:rPr>
                  </w:pPr>
                  <w:bookmarkStart w:id="36" w:name="_Toc23109"/>
                  <w:bookmarkStart w:id="37" w:name="_Toc18734"/>
                  <w:r>
                    <w:rPr>
                      <w:rFonts w:hint="eastAsia"/>
                      <w:color w:val="auto"/>
                      <w:lang w:val="en-US" w:eastAsia="zh-CN"/>
                    </w:rPr>
                    <w:t>一体化油水分离器</w:t>
                  </w:r>
                  <w:bookmarkEnd w:id="36"/>
                  <w:bookmarkEnd w:id="37"/>
                </w:p>
              </w:tc>
              <w:tc>
                <w:tcPr>
                  <w:tcW w:w="1875" w:type="dxa"/>
                  <w:vAlign w:val="center"/>
                </w:tcPr>
                <w:p w14:paraId="05E883B6">
                  <w:pPr>
                    <w:adjustRightInd w:val="0"/>
                    <w:snapToGrid w:val="0"/>
                    <w:spacing w:line="320" w:lineRule="exact"/>
                    <w:outlineLvl w:val="0"/>
                    <w:rPr>
                      <w:rFonts w:hint="default" w:eastAsia="宋体"/>
                      <w:color w:val="auto"/>
                      <w:lang w:val="en-US" w:eastAsia="zh-CN"/>
                    </w:rPr>
                  </w:pPr>
                  <w:bookmarkStart w:id="38" w:name="_Toc20058"/>
                  <w:bookmarkStart w:id="39" w:name="_Toc15563"/>
                  <w:r>
                    <w:rPr>
                      <w:rFonts w:hint="eastAsia"/>
                      <w:color w:val="auto"/>
                      <w:lang w:val="en-US" w:eastAsia="zh-CN"/>
                    </w:rPr>
                    <w:t>1座，容积为5m</w:t>
                  </w:r>
                  <w:r>
                    <w:rPr>
                      <w:rFonts w:hint="eastAsia"/>
                      <w:color w:val="auto"/>
                      <w:vertAlign w:val="superscript"/>
                      <w:lang w:val="en-US" w:eastAsia="zh-CN"/>
                    </w:rPr>
                    <w:t>3</w:t>
                  </w:r>
                  <w:bookmarkEnd w:id="38"/>
                  <w:bookmarkEnd w:id="39"/>
                </w:p>
              </w:tc>
              <w:tc>
                <w:tcPr>
                  <w:tcW w:w="837" w:type="dxa"/>
                  <w:tcBorders>
                    <w:bottom w:val="single" w:color="auto" w:sz="4" w:space="0"/>
                  </w:tcBorders>
                  <w:vAlign w:val="center"/>
                </w:tcPr>
                <w:p w14:paraId="72AF2078">
                  <w:pPr>
                    <w:adjustRightInd w:val="0"/>
                    <w:snapToGrid w:val="0"/>
                    <w:spacing w:line="320" w:lineRule="exact"/>
                    <w:jc w:val="center"/>
                    <w:outlineLvl w:val="0"/>
                    <w:rPr>
                      <w:rFonts w:hint="default" w:eastAsia="宋体"/>
                      <w:color w:val="auto"/>
                      <w:lang w:val="en-US" w:eastAsia="zh-CN"/>
                    </w:rPr>
                  </w:pPr>
                  <w:bookmarkStart w:id="40" w:name="_Toc32493"/>
                  <w:r>
                    <w:rPr>
                      <w:rFonts w:hint="eastAsia"/>
                      <w:color w:val="auto"/>
                      <w:lang w:val="en-US" w:eastAsia="zh-CN"/>
                    </w:rPr>
                    <w:t>0</w:t>
                  </w:r>
                  <w:bookmarkEnd w:id="40"/>
                </w:p>
              </w:tc>
              <w:tc>
                <w:tcPr>
                  <w:tcW w:w="1920" w:type="dxa"/>
                  <w:vAlign w:val="center"/>
                </w:tcPr>
                <w:p w14:paraId="2F850EF4">
                  <w:pPr>
                    <w:adjustRightInd w:val="0"/>
                    <w:snapToGrid w:val="0"/>
                    <w:spacing w:line="320" w:lineRule="exact"/>
                    <w:jc w:val="center"/>
                    <w:outlineLvl w:val="0"/>
                    <w:rPr>
                      <w:rFonts w:hint="default" w:eastAsia="宋体"/>
                      <w:color w:val="auto"/>
                      <w:lang w:val="en-US" w:eastAsia="zh-CN"/>
                    </w:rPr>
                  </w:pPr>
                  <w:bookmarkStart w:id="41" w:name="_Toc20169"/>
                  <w:r>
                    <w:rPr>
                      <w:rFonts w:hint="eastAsia"/>
                      <w:color w:val="auto"/>
                      <w:lang w:val="en-US" w:eastAsia="zh-CN"/>
                    </w:rPr>
                    <w:t>沿用现有项目</w:t>
                  </w:r>
                  <w:bookmarkEnd w:id="41"/>
                </w:p>
              </w:tc>
            </w:tr>
            <w:tr w14:paraId="6FEE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90" w:type="dxa"/>
                  <w:vMerge w:val="continue"/>
                  <w:vAlign w:val="center"/>
                </w:tcPr>
                <w:p w14:paraId="34BA9D5A">
                  <w:pPr>
                    <w:adjustRightInd w:val="0"/>
                    <w:snapToGrid w:val="0"/>
                    <w:spacing w:line="320" w:lineRule="exact"/>
                    <w:jc w:val="center"/>
                    <w:outlineLvl w:val="9"/>
                    <w:rPr>
                      <w:color w:val="auto"/>
                    </w:rPr>
                  </w:pPr>
                </w:p>
              </w:tc>
              <w:tc>
                <w:tcPr>
                  <w:tcW w:w="660" w:type="dxa"/>
                  <w:vMerge w:val="continue"/>
                  <w:vAlign w:val="center"/>
                </w:tcPr>
                <w:p w14:paraId="4ECAA34A">
                  <w:pPr>
                    <w:adjustRightInd w:val="0"/>
                    <w:snapToGrid w:val="0"/>
                    <w:spacing w:line="320" w:lineRule="exact"/>
                    <w:jc w:val="center"/>
                    <w:outlineLvl w:val="9"/>
                    <w:rPr>
                      <w:color w:val="auto"/>
                    </w:rPr>
                  </w:pPr>
                </w:p>
              </w:tc>
              <w:tc>
                <w:tcPr>
                  <w:tcW w:w="2238" w:type="dxa"/>
                  <w:vAlign w:val="center"/>
                </w:tcPr>
                <w:p w14:paraId="5858C3D7">
                  <w:pPr>
                    <w:adjustRightInd w:val="0"/>
                    <w:snapToGrid w:val="0"/>
                    <w:spacing w:line="320" w:lineRule="exact"/>
                    <w:jc w:val="center"/>
                    <w:outlineLvl w:val="0"/>
                    <w:rPr>
                      <w:rFonts w:hint="eastAsia" w:eastAsia="宋体"/>
                      <w:color w:val="auto"/>
                      <w:lang w:val="en-US" w:eastAsia="zh-CN"/>
                    </w:rPr>
                  </w:pPr>
                  <w:bookmarkStart w:id="42" w:name="_Toc5340"/>
                  <w:bookmarkStart w:id="43" w:name="_Toc17320"/>
                  <w:r>
                    <w:rPr>
                      <w:rFonts w:hint="eastAsia"/>
                      <w:color w:val="auto"/>
                      <w:lang w:val="en-US" w:eastAsia="zh-CN"/>
                    </w:rPr>
                    <w:t>化粪池</w:t>
                  </w:r>
                  <w:bookmarkEnd w:id="42"/>
                  <w:bookmarkEnd w:id="43"/>
                </w:p>
              </w:tc>
              <w:tc>
                <w:tcPr>
                  <w:tcW w:w="1875" w:type="dxa"/>
                  <w:vAlign w:val="center"/>
                </w:tcPr>
                <w:p w14:paraId="1641BDE4">
                  <w:pPr>
                    <w:adjustRightInd w:val="0"/>
                    <w:snapToGrid w:val="0"/>
                    <w:spacing w:line="320" w:lineRule="exact"/>
                    <w:outlineLvl w:val="0"/>
                    <w:rPr>
                      <w:rFonts w:hint="default" w:eastAsia="宋体"/>
                      <w:color w:val="auto"/>
                      <w:lang w:val="en-US" w:eastAsia="zh-CN"/>
                    </w:rPr>
                  </w:pPr>
                  <w:bookmarkStart w:id="44" w:name="_Toc30816"/>
                  <w:bookmarkStart w:id="45" w:name="_Toc4859"/>
                  <w:r>
                    <w:rPr>
                      <w:rFonts w:hint="eastAsia"/>
                      <w:color w:val="auto"/>
                      <w:lang w:val="en-US" w:eastAsia="zh-CN"/>
                    </w:rPr>
                    <w:t>1座，容积为30m</w:t>
                  </w:r>
                  <w:r>
                    <w:rPr>
                      <w:rFonts w:hint="eastAsia"/>
                      <w:color w:val="auto"/>
                      <w:vertAlign w:val="superscript"/>
                      <w:lang w:val="en-US" w:eastAsia="zh-CN"/>
                    </w:rPr>
                    <w:t>3</w:t>
                  </w:r>
                  <w:bookmarkEnd w:id="44"/>
                  <w:bookmarkEnd w:id="45"/>
                </w:p>
              </w:tc>
              <w:tc>
                <w:tcPr>
                  <w:tcW w:w="837" w:type="dxa"/>
                  <w:tcBorders>
                    <w:bottom w:val="single" w:color="auto" w:sz="4" w:space="0"/>
                  </w:tcBorders>
                  <w:vAlign w:val="center"/>
                </w:tcPr>
                <w:p w14:paraId="6671D413">
                  <w:pPr>
                    <w:adjustRightInd w:val="0"/>
                    <w:snapToGrid w:val="0"/>
                    <w:spacing w:line="320" w:lineRule="exact"/>
                    <w:jc w:val="center"/>
                    <w:outlineLvl w:val="0"/>
                    <w:rPr>
                      <w:rFonts w:hint="default" w:eastAsia="宋体"/>
                      <w:color w:val="auto"/>
                      <w:lang w:val="en-US" w:eastAsia="zh-CN"/>
                    </w:rPr>
                  </w:pPr>
                  <w:bookmarkStart w:id="46" w:name="_Toc26762"/>
                  <w:r>
                    <w:rPr>
                      <w:rFonts w:hint="eastAsia"/>
                      <w:color w:val="auto"/>
                      <w:lang w:val="en-US" w:eastAsia="zh-CN"/>
                    </w:rPr>
                    <w:t>0</w:t>
                  </w:r>
                  <w:bookmarkEnd w:id="46"/>
                </w:p>
              </w:tc>
              <w:tc>
                <w:tcPr>
                  <w:tcW w:w="1920" w:type="dxa"/>
                  <w:vAlign w:val="center"/>
                </w:tcPr>
                <w:p w14:paraId="5ABA755F">
                  <w:pPr>
                    <w:adjustRightInd w:val="0"/>
                    <w:snapToGrid w:val="0"/>
                    <w:spacing w:line="320" w:lineRule="exact"/>
                    <w:jc w:val="center"/>
                    <w:outlineLvl w:val="0"/>
                    <w:rPr>
                      <w:rFonts w:hint="default" w:eastAsia="宋体"/>
                      <w:color w:val="auto"/>
                      <w:lang w:val="en-US" w:eastAsia="zh-CN"/>
                    </w:rPr>
                  </w:pPr>
                  <w:bookmarkStart w:id="47" w:name="_Toc21532"/>
                  <w:r>
                    <w:rPr>
                      <w:rFonts w:hint="eastAsia"/>
                      <w:color w:val="auto"/>
                      <w:lang w:val="en-US" w:eastAsia="zh-CN"/>
                    </w:rPr>
                    <w:t>沿用现有项目</w:t>
                  </w:r>
                  <w:bookmarkEnd w:id="47"/>
                </w:p>
              </w:tc>
            </w:tr>
            <w:tr w14:paraId="743DD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90" w:type="dxa"/>
                  <w:vMerge w:val="continue"/>
                  <w:vAlign w:val="center"/>
                </w:tcPr>
                <w:p w14:paraId="6E05FB32">
                  <w:pPr>
                    <w:adjustRightInd w:val="0"/>
                    <w:snapToGrid w:val="0"/>
                    <w:spacing w:line="320" w:lineRule="exact"/>
                    <w:jc w:val="center"/>
                    <w:outlineLvl w:val="9"/>
                    <w:rPr>
                      <w:color w:val="auto"/>
                    </w:rPr>
                  </w:pPr>
                </w:p>
              </w:tc>
              <w:tc>
                <w:tcPr>
                  <w:tcW w:w="660" w:type="dxa"/>
                  <w:vAlign w:val="center"/>
                </w:tcPr>
                <w:p w14:paraId="58833490">
                  <w:pPr>
                    <w:adjustRightInd w:val="0"/>
                    <w:snapToGrid w:val="0"/>
                    <w:spacing w:line="320" w:lineRule="exact"/>
                    <w:jc w:val="center"/>
                    <w:outlineLvl w:val="0"/>
                    <w:rPr>
                      <w:rFonts w:hint="eastAsia" w:eastAsia="宋体"/>
                      <w:color w:val="auto"/>
                      <w:lang w:val="en-US" w:eastAsia="zh-CN"/>
                    </w:rPr>
                  </w:pPr>
                  <w:bookmarkStart w:id="48" w:name="_Toc11594"/>
                  <w:bookmarkStart w:id="49" w:name="_Toc30887"/>
                  <w:r>
                    <w:rPr>
                      <w:rFonts w:hint="eastAsia"/>
                      <w:color w:val="auto"/>
                      <w:lang w:val="en-US" w:eastAsia="zh-CN"/>
                    </w:rPr>
                    <w:t>废气</w:t>
                  </w:r>
                  <w:bookmarkEnd w:id="48"/>
                  <w:bookmarkEnd w:id="49"/>
                </w:p>
              </w:tc>
              <w:tc>
                <w:tcPr>
                  <w:tcW w:w="2238" w:type="dxa"/>
                  <w:tcBorders>
                    <w:top w:val="single" w:color="auto" w:sz="4" w:space="0"/>
                  </w:tcBorders>
                  <w:vAlign w:val="center"/>
                </w:tcPr>
                <w:p w14:paraId="5DBE6B36">
                  <w:pPr>
                    <w:adjustRightInd w:val="0"/>
                    <w:snapToGrid w:val="0"/>
                    <w:spacing w:line="320" w:lineRule="exact"/>
                    <w:jc w:val="center"/>
                    <w:outlineLvl w:val="0"/>
                    <w:rPr>
                      <w:rFonts w:hint="default" w:eastAsia="宋体"/>
                      <w:color w:val="auto"/>
                      <w:lang w:val="en-US" w:eastAsia="zh-CN"/>
                    </w:rPr>
                  </w:pPr>
                  <w:bookmarkStart w:id="50" w:name="_Toc18403"/>
                  <w:bookmarkStart w:id="51" w:name="_Toc17143"/>
                  <w:r>
                    <w:rPr>
                      <w:rFonts w:hint="eastAsia" w:cs="Times New Roman"/>
                      <w:color w:val="auto"/>
                      <w:szCs w:val="21"/>
                      <w:lang w:val="en-US" w:eastAsia="zh-CN"/>
                    </w:rPr>
                    <w:t>采用低氮燃烧技术，颗粒物采用多</w:t>
                  </w:r>
                  <w:r>
                    <w:rPr>
                      <w:rFonts w:hint="default" w:ascii="Times New Roman" w:hAnsi="Times New Roman" w:cs="Times New Roman"/>
                      <w:color w:val="auto"/>
                      <w:szCs w:val="21"/>
                      <w:lang w:val="en-US" w:eastAsia="zh-CN"/>
                    </w:rPr>
                    <w:t>管旋风除尘器+</w:t>
                  </w:r>
                  <w:r>
                    <w:rPr>
                      <w:rFonts w:hint="eastAsia" w:cs="Times New Roman"/>
                      <w:color w:val="auto"/>
                      <w:szCs w:val="21"/>
                      <w:lang w:val="en-US" w:eastAsia="zh-CN"/>
                    </w:rPr>
                    <w:t>布袋</w:t>
                  </w:r>
                  <w:r>
                    <w:rPr>
                      <w:rFonts w:hint="default" w:ascii="Times New Roman" w:hAnsi="Times New Roman" w:cs="Times New Roman"/>
                      <w:color w:val="auto"/>
                      <w:szCs w:val="21"/>
                      <w:lang w:val="en-US" w:eastAsia="zh-CN"/>
                    </w:rPr>
                    <w:t>除尘器</w:t>
                  </w:r>
                  <w:r>
                    <w:rPr>
                      <w:rFonts w:hint="eastAsia"/>
                      <w:color w:val="auto"/>
                      <w:lang w:val="en-US" w:eastAsia="zh-CN"/>
                    </w:rPr>
                    <w:t>+30m高排气筒</w:t>
                  </w:r>
                  <w:bookmarkEnd w:id="50"/>
                  <w:bookmarkEnd w:id="51"/>
                </w:p>
              </w:tc>
              <w:tc>
                <w:tcPr>
                  <w:tcW w:w="1875" w:type="dxa"/>
                  <w:vAlign w:val="center"/>
                </w:tcPr>
                <w:p w14:paraId="4B5F73EE">
                  <w:pPr>
                    <w:adjustRightInd w:val="0"/>
                    <w:snapToGrid w:val="0"/>
                    <w:spacing w:line="320" w:lineRule="exact"/>
                    <w:jc w:val="center"/>
                    <w:outlineLvl w:val="0"/>
                    <w:rPr>
                      <w:rFonts w:hint="default" w:eastAsia="宋体"/>
                      <w:color w:val="auto"/>
                      <w:lang w:val="en-US" w:eastAsia="zh-CN"/>
                    </w:rPr>
                  </w:pPr>
                  <w:bookmarkStart w:id="52" w:name="_Toc17158"/>
                  <w:bookmarkStart w:id="53" w:name="_Toc13091"/>
                  <w:r>
                    <w:rPr>
                      <w:rFonts w:hint="eastAsia"/>
                      <w:color w:val="auto"/>
                      <w:lang w:val="en-US" w:eastAsia="zh-CN"/>
                    </w:rPr>
                    <w:t>1套</w:t>
                  </w:r>
                  <w:bookmarkEnd w:id="52"/>
                  <w:bookmarkEnd w:id="53"/>
                </w:p>
              </w:tc>
              <w:tc>
                <w:tcPr>
                  <w:tcW w:w="837" w:type="dxa"/>
                  <w:vAlign w:val="center"/>
                </w:tcPr>
                <w:p w14:paraId="52208F45">
                  <w:pPr>
                    <w:adjustRightInd w:val="0"/>
                    <w:snapToGrid w:val="0"/>
                    <w:spacing w:line="320" w:lineRule="exact"/>
                    <w:jc w:val="center"/>
                    <w:outlineLvl w:val="0"/>
                    <w:rPr>
                      <w:rFonts w:hint="default" w:eastAsia="宋体"/>
                      <w:color w:val="auto"/>
                      <w:lang w:val="en-US" w:eastAsia="zh-CN"/>
                    </w:rPr>
                  </w:pPr>
                  <w:bookmarkStart w:id="54" w:name="_Toc20599"/>
                  <w:r>
                    <w:rPr>
                      <w:rFonts w:hint="eastAsia"/>
                      <w:color w:val="auto"/>
                      <w:lang w:val="en-US" w:eastAsia="zh-CN"/>
                    </w:rPr>
                    <w:t>23</w:t>
                  </w:r>
                  <w:bookmarkEnd w:id="54"/>
                </w:p>
              </w:tc>
              <w:tc>
                <w:tcPr>
                  <w:tcW w:w="1920" w:type="dxa"/>
                  <w:vAlign w:val="center"/>
                </w:tcPr>
                <w:p w14:paraId="25C21E92">
                  <w:pPr>
                    <w:adjustRightInd w:val="0"/>
                    <w:snapToGrid w:val="0"/>
                    <w:spacing w:line="320" w:lineRule="exact"/>
                    <w:jc w:val="center"/>
                    <w:outlineLvl w:val="0"/>
                    <w:rPr>
                      <w:rFonts w:hint="default" w:eastAsia="宋体"/>
                      <w:color w:val="auto"/>
                      <w:lang w:val="en-US" w:eastAsia="zh-CN"/>
                    </w:rPr>
                  </w:pPr>
                  <w:bookmarkStart w:id="55" w:name="_Toc23906"/>
                  <w:r>
                    <w:rPr>
                      <w:rFonts w:hint="eastAsia"/>
                      <w:color w:val="auto"/>
                      <w:lang w:val="en-US" w:eastAsia="zh-CN"/>
                    </w:rPr>
                    <w:t>本次技改新增</w:t>
                  </w:r>
                  <w:bookmarkEnd w:id="55"/>
                </w:p>
              </w:tc>
            </w:tr>
            <w:tr w14:paraId="0D27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90" w:type="dxa"/>
                  <w:vMerge w:val="continue"/>
                  <w:vAlign w:val="center"/>
                </w:tcPr>
                <w:p w14:paraId="5A8C2D70">
                  <w:pPr>
                    <w:adjustRightInd w:val="0"/>
                    <w:snapToGrid w:val="0"/>
                    <w:spacing w:line="320" w:lineRule="exact"/>
                    <w:jc w:val="center"/>
                    <w:outlineLvl w:val="9"/>
                    <w:rPr>
                      <w:color w:val="auto"/>
                    </w:rPr>
                  </w:pPr>
                </w:p>
              </w:tc>
              <w:tc>
                <w:tcPr>
                  <w:tcW w:w="660" w:type="dxa"/>
                  <w:vMerge w:val="restart"/>
                  <w:vAlign w:val="center"/>
                </w:tcPr>
                <w:p w14:paraId="2363CB1D">
                  <w:pPr>
                    <w:adjustRightInd w:val="0"/>
                    <w:snapToGrid w:val="0"/>
                    <w:spacing w:line="320" w:lineRule="exact"/>
                    <w:jc w:val="center"/>
                    <w:outlineLvl w:val="0"/>
                    <w:rPr>
                      <w:color w:val="auto"/>
                    </w:rPr>
                  </w:pPr>
                  <w:bookmarkStart w:id="56" w:name="_Toc15519"/>
                  <w:bookmarkStart w:id="57" w:name="_Toc29281"/>
                  <w:r>
                    <w:rPr>
                      <w:color w:val="auto"/>
                    </w:rPr>
                    <w:t>固废</w:t>
                  </w:r>
                  <w:bookmarkEnd w:id="56"/>
                  <w:bookmarkEnd w:id="57"/>
                </w:p>
              </w:tc>
              <w:tc>
                <w:tcPr>
                  <w:tcW w:w="2238" w:type="dxa"/>
                  <w:tcBorders>
                    <w:top w:val="single" w:color="auto" w:sz="4" w:space="0"/>
                  </w:tcBorders>
                  <w:vAlign w:val="center"/>
                </w:tcPr>
                <w:p w14:paraId="7FE8C8D8">
                  <w:pPr>
                    <w:adjustRightInd w:val="0"/>
                    <w:snapToGrid w:val="0"/>
                    <w:spacing w:line="320" w:lineRule="exact"/>
                    <w:jc w:val="center"/>
                    <w:outlineLvl w:val="0"/>
                    <w:rPr>
                      <w:color w:val="auto"/>
                    </w:rPr>
                  </w:pPr>
                  <w:bookmarkStart w:id="58" w:name="_Toc11993"/>
                  <w:bookmarkStart w:id="59" w:name="_Toc21362"/>
                  <w:r>
                    <w:rPr>
                      <w:color w:val="auto"/>
                    </w:rPr>
                    <w:t>生活垃圾箱</w:t>
                  </w:r>
                  <w:bookmarkEnd w:id="58"/>
                  <w:bookmarkEnd w:id="59"/>
                </w:p>
              </w:tc>
              <w:tc>
                <w:tcPr>
                  <w:tcW w:w="1875" w:type="dxa"/>
                  <w:vAlign w:val="center"/>
                </w:tcPr>
                <w:p w14:paraId="62857FE8">
                  <w:pPr>
                    <w:adjustRightInd w:val="0"/>
                    <w:snapToGrid w:val="0"/>
                    <w:spacing w:line="320" w:lineRule="exact"/>
                    <w:jc w:val="center"/>
                    <w:outlineLvl w:val="0"/>
                    <w:rPr>
                      <w:color w:val="auto"/>
                    </w:rPr>
                  </w:pPr>
                  <w:bookmarkStart w:id="60" w:name="_Toc648"/>
                  <w:bookmarkStart w:id="61" w:name="_Toc1751"/>
                  <w:r>
                    <w:rPr>
                      <w:rFonts w:hint="eastAsia"/>
                      <w:color w:val="auto"/>
                      <w:lang w:val="en-US" w:eastAsia="zh-CN"/>
                    </w:rPr>
                    <w:t>3</w:t>
                  </w:r>
                  <w:r>
                    <w:rPr>
                      <w:color w:val="auto"/>
                    </w:rPr>
                    <w:t>个</w:t>
                  </w:r>
                  <w:bookmarkEnd w:id="60"/>
                  <w:bookmarkEnd w:id="61"/>
                </w:p>
              </w:tc>
              <w:tc>
                <w:tcPr>
                  <w:tcW w:w="837" w:type="dxa"/>
                  <w:vAlign w:val="center"/>
                </w:tcPr>
                <w:p w14:paraId="4D186759">
                  <w:pPr>
                    <w:adjustRightInd w:val="0"/>
                    <w:snapToGrid w:val="0"/>
                    <w:spacing w:line="320" w:lineRule="exact"/>
                    <w:jc w:val="center"/>
                    <w:outlineLvl w:val="0"/>
                    <w:rPr>
                      <w:color w:val="auto"/>
                    </w:rPr>
                  </w:pPr>
                  <w:bookmarkStart w:id="62" w:name="_Toc14804"/>
                  <w:r>
                    <w:rPr>
                      <w:rFonts w:hint="eastAsia"/>
                      <w:color w:val="auto"/>
                      <w:lang w:val="en-US" w:eastAsia="zh-CN"/>
                    </w:rPr>
                    <w:t>0</w:t>
                  </w:r>
                  <w:bookmarkEnd w:id="62"/>
                </w:p>
              </w:tc>
              <w:tc>
                <w:tcPr>
                  <w:tcW w:w="1920" w:type="dxa"/>
                  <w:vAlign w:val="center"/>
                </w:tcPr>
                <w:p w14:paraId="7E7B8448">
                  <w:pPr>
                    <w:adjustRightInd w:val="0"/>
                    <w:snapToGrid w:val="0"/>
                    <w:spacing w:line="320" w:lineRule="exact"/>
                    <w:jc w:val="center"/>
                    <w:outlineLvl w:val="0"/>
                    <w:rPr>
                      <w:color w:val="auto"/>
                    </w:rPr>
                  </w:pPr>
                  <w:bookmarkStart w:id="63" w:name="_Toc10395"/>
                  <w:r>
                    <w:rPr>
                      <w:rFonts w:hint="eastAsia"/>
                      <w:color w:val="auto"/>
                      <w:lang w:val="en-US" w:eastAsia="zh-CN"/>
                    </w:rPr>
                    <w:t>沿用现有项目</w:t>
                  </w:r>
                  <w:bookmarkEnd w:id="63"/>
                </w:p>
              </w:tc>
            </w:tr>
            <w:tr w14:paraId="1D22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90" w:type="dxa"/>
                  <w:vMerge w:val="continue"/>
                  <w:vAlign w:val="center"/>
                </w:tcPr>
                <w:p w14:paraId="7CFECD98">
                  <w:pPr>
                    <w:adjustRightInd w:val="0"/>
                    <w:snapToGrid w:val="0"/>
                    <w:spacing w:line="320" w:lineRule="exact"/>
                    <w:jc w:val="center"/>
                    <w:outlineLvl w:val="9"/>
                    <w:rPr>
                      <w:color w:val="auto"/>
                    </w:rPr>
                  </w:pPr>
                </w:p>
              </w:tc>
              <w:tc>
                <w:tcPr>
                  <w:tcW w:w="660" w:type="dxa"/>
                  <w:vMerge w:val="continue"/>
                  <w:vAlign w:val="center"/>
                </w:tcPr>
                <w:p w14:paraId="56FA8DC7">
                  <w:pPr>
                    <w:adjustRightInd w:val="0"/>
                    <w:snapToGrid w:val="0"/>
                    <w:spacing w:line="320" w:lineRule="exact"/>
                    <w:jc w:val="center"/>
                    <w:outlineLvl w:val="9"/>
                    <w:rPr>
                      <w:color w:val="auto"/>
                    </w:rPr>
                  </w:pPr>
                </w:p>
              </w:tc>
              <w:tc>
                <w:tcPr>
                  <w:tcW w:w="2238" w:type="dxa"/>
                  <w:vAlign w:val="center"/>
                </w:tcPr>
                <w:p w14:paraId="405811BE">
                  <w:pPr>
                    <w:adjustRightInd w:val="0"/>
                    <w:snapToGrid w:val="0"/>
                    <w:spacing w:line="320" w:lineRule="exact"/>
                    <w:jc w:val="center"/>
                    <w:outlineLvl w:val="0"/>
                    <w:rPr>
                      <w:color w:val="auto"/>
                    </w:rPr>
                  </w:pPr>
                  <w:bookmarkStart w:id="64" w:name="_Toc30644"/>
                  <w:bookmarkStart w:id="65" w:name="_Toc23350"/>
                  <w:r>
                    <w:rPr>
                      <w:color w:val="auto"/>
                    </w:rPr>
                    <w:t>危废</w:t>
                  </w:r>
                  <w:r>
                    <w:rPr>
                      <w:rFonts w:hint="eastAsia"/>
                      <w:color w:val="auto"/>
                      <w:lang w:val="en-US" w:eastAsia="zh-CN"/>
                    </w:rPr>
                    <w:t>贮存</w:t>
                  </w:r>
                  <w:r>
                    <w:rPr>
                      <w:color w:val="auto"/>
                    </w:rPr>
                    <w:t>间</w:t>
                  </w:r>
                  <w:bookmarkEnd w:id="64"/>
                  <w:bookmarkEnd w:id="65"/>
                </w:p>
              </w:tc>
              <w:tc>
                <w:tcPr>
                  <w:tcW w:w="1875" w:type="dxa"/>
                  <w:vAlign w:val="center"/>
                </w:tcPr>
                <w:p w14:paraId="11BEBF21">
                  <w:pPr>
                    <w:adjustRightInd w:val="0"/>
                    <w:snapToGrid w:val="0"/>
                    <w:spacing w:line="320" w:lineRule="exact"/>
                    <w:jc w:val="center"/>
                    <w:outlineLvl w:val="0"/>
                    <w:rPr>
                      <w:color w:val="auto"/>
                    </w:rPr>
                  </w:pPr>
                  <w:bookmarkStart w:id="66" w:name="_Toc16071"/>
                  <w:bookmarkStart w:id="67" w:name="_Toc20418"/>
                  <w:r>
                    <w:rPr>
                      <w:rFonts w:hint="eastAsia"/>
                      <w:color w:val="auto"/>
                      <w:lang w:val="en-US" w:eastAsia="zh-CN"/>
                    </w:rPr>
                    <w:t>2</w:t>
                  </w:r>
                  <w:r>
                    <w:rPr>
                      <w:color w:val="auto"/>
                    </w:rPr>
                    <w:t>间</w:t>
                  </w:r>
                  <w:r>
                    <w:rPr>
                      <w:rFonts w:hint="eastAsia"/>
                      <w:color w:val="auto"/>
                      <w:lang w:eastAsia="zh-CN"/>
                    </w:rPr>
                    <w:t>，</w:t>
                  </w:r>
                  <w:r>
                    <w:rPr>
                      <w:rFonts w:hint="eastAsia"/>
                      <w:color w:val="auto"/>
                      <w:lang w:val="en-US" w:eastAsia="zh-CN"/>
                    </w:rPr>
                    <w:t>总建筑面积为10</w:t>
                  </w:r>
                  <w:r>
                    <w:rPr>
                      <w:color w:val="auto"/>
                    </w:rPr>
                    <w:t>m</w:t>
                  </w:r>
                  <w:r>
                    <w:rPr>
                      <w:color w:val="auto"/>
                      <w:vertAlign w:val="superscript"/>
                    </w:rPr>
                    <w:t>2</w:t>
                  </w:r>
                  <w:bookmarkEnd w:id="66"/>
                  <w:bookmarkEnd w:id="67"/>
                </w:p>
              </w:tc>
              <w:tc>
                <w:tcPr>
                  <w:tcW w:w="837" w:type="dxa"/>
                  <w:vAlign w:val="center"/>
                </w:tcPr>
                <w:p w14:paraId="6666F47D">
                  <w:pPr>
                    <w:adjustRightInd w:val="0"/>
                    <w:snapToGrid w:val="0"/>
                    <w:spacing w:line="320" w:lineRule="exact"/>
                    <w:jc w:val="center"/>
                    <w:outlineLvl w:val="0"/>
                    <w:rPr>
                      <w:rFonts w:hint="eastAsia" w:eastAsia="宋体"/>
                      <w:color w:val="auto"/>
                      <w:lang w:eastAsia="zh-CN"/>
                    </w:rPr>
                  </w:pPr>
                  <w:bookmarkStart w:id="68" w:name="_Toc29043"/>
                  <w:r>
                    <w:rPr>
                      <w:rFonts w:hint="eastAsia"/>
                      <w:color w:val="auto"/>
                      <w:lang w:val="en-US" w:eastAsia="zh-CN"/>
                    </w:rPr>
                    <w:t>0</w:t>
                  </w:r>
                  <w:bookmarkEnd w:id="68"/>
                </w:p>
              </w:tc>
              <w:tc>
                <w:tcPr>
                  <w:tcW w:w="1920" w:type="dxa"/>
                  <w:vAlign w:val="center"/>
                </w:tcPr>
                <w:p w14:paraId="7F3EE1D2">
                  <w:pPr>
                    <w:adjustRightInd w:val="0"/>
                    <w:snapToGrid w:val="0"/>
                    <w:spacing w:line="320" w:lineRule="exact"/>
                    <w:jc w:val="center"/>
                    <w:outlineLvl w:val="0"/>
                    <w:rPr>
                      <w:color w:val="auto"/>
                    </w:rPr>
                  </w:pPr>
                  <w:bookmarkStart w:id="69" w:name="_Toc24850"/>
                  <w:r>
                    <w:rPr>
                      <w:rFonts w:hint="eastAsia"/>
                      <w:color w:val="auto"/>
                      <w:lang w:val="en-US" w:eastAsia="zh-CN"/>
                    </w:rPr>
                    <w:t>沿用现有项目</w:t>
                  </w:r>
                  <w:bookmarkEnd w:id="69"/>
                </w:p>
              </w:tc>
            </w:tr>
            <w:tr w14:paraId="5380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90" w:type="dxa"/>
                  <w:vMerge w:val="continue"/>
                  <w:vAlign w:val="center"/>
                </w:tcPr>
                <w:p w14:paraId="473320EB">
                  <w:pPr>
                    <w:adjustRightInd w:val="0"/>
                    <w:snapToGrid w:val="0"/>
                    <w:spacing w:line="320" w:lineRule="exact"/>
                    <w:jc w:val="center"/>
                    <w:outlineLvl w:val="9"/>
                    <w:rPr>
                      <w:color w:val="auto"/>
                    </w:rPr>
                  </w:pPr>
                </w:p>
              </w:tc>
              <w:tc>
                <w:tcPr>
                  <w:tcW w:w="660" w:type="dxa"/>
                  <w:vAlign w:val="center"/>
                </w:tcPr>
                <w:p w14:paraId="754EBD65">
                  <w:pPr>
                    <w:adjustRightInd w:val="0"/>
                    <w:snapToGrid w:val="0"/>
                    <w:spacing w:line="320" w:lineRule="exact"/>
                    <w:jc w:val="center"/>
                    <w:outlineLvl w:val="0"/>
                    <w:rPr>
                      <w:color w:val="auto"/>
                    </w:rPr>
                  </w:pPr>
                  <w:bookmarkStart w:id="70" w:name="_Toc30453"/>
                  <w:bookmarkStart w:id="71" w:name="_Toc23569"/>
                  <w:r>
                    <w:rPr>
                      <w:color w:val="auto"/>
                    </w:rPr>
                    <w:t>噪声</w:t>
                  </w:r>
                  <w:bookmarkEnd w:id="70"/>
                  <w:bookmarkEnd w:id="71"/>
                </w:p>
              </w:tc>
              <w:tc>
                <w:tcPr>
                  <w:tcW w:w="2238" w:type="dxa"/>
                  <w:vAlign w:val="center"/>
                </w:tcPr>
                <w:p w14:paraId="5764EE4B">
                  <w:pPr>
                    <w:adjustRightInd w:val="0"/>
                    <w:snapToGrid w:val="0"/>
                    <w:spacing w:line="320" w:lineRule="exact"/>
                    <w:jc w:val="center"/>
                    <w:outlineLvl w:val="0"/>
                    <w:rPr>
                      <w:rFonts w:hint="default" w:eastAsia="宋体"/>
                      <w:color w:val="auto"/>
                      <w:lang w:val="en-US" w:eastAsia="zh-CN"/>
                    </w:rPr>
                  </w:pPr>
                  <w:bookmarkStart w:id="72" w:name="_Toc30129"/>
                  <w:bookmarkStart w:id="73" w:name="_Toc22533"/>
                  <w:r>
                    <w:rPr>
                      <w:color w:val="auto"/>
                    </w:rPr>
                    <w:t>隔声降噪</w:t>
                  </w:r>
                  <w:r>
                    <w:rPr>
                      <w:rFonts w:hint="eastAsia"/>
                      <w:color w:val="auto"/>
                      <w:lang w:eastAsia="zh-CN"/>
                    </w:rPr>
                    <w:t>、</w:t>
                  </w:r>
                  <w:r>
                    <w:rPr>
                      <w:rFonts w:hint="eastAsia"/>
                      <w:color w:val="auto"/>
                      <w:lang w:val="en-US" w:eastAsia="zh-CN"/>
                    </w:rPr>
                    <w:t>风机消声</w:t>
                  </w:r>
                  <w:r>
                    <w:rPr>
                      <w:color w:val="auto"/>
                    </w:rPr>
                    <w:t>措施</w:t>
                  </w:r>
                  <w:bookmarkEnd w:id="72"/>
                  <w:bookmarkEnd w:id="73"/>
                </w:p>
              </w:tc>
              <w:tc>
                <w:tcPr>
                  <w:tcW w:w="1875" w:type="dxa"/>
                  <w:vAlign w:val="center"/>
                </w:tcPr>
                <w:p w14:paraId="559901A9">
                  <w:pPr>
                    <w:adjustRightInd w:val="0"/>
                    <w:snapToGrid w:val="0"/>
                    <w:spacing w:line="320" w:lineRule="exact"/>
                    <w:jc w:val="center"/>
                    <w:outlineLvl w:val="0"/>
                    <w:rPr>
                      <w:color w:val="auto"/>
                    </w:rPr>
                  </w:pPr>
                  <w:bookmarkStart w:id="74" w:name="_Toc19292"/>
                  <w:bookmarkStart w:id="75" w:name="_Toc4207"/>
                  <w:r>
                    <w:rPr>
                      <w:color w:val="auto"/>
                    </w:rPr>
                    <w:t>/</w:t>
                  </w:r>
                  <w:bookmarkEnd w:id="74"/>
                  <w:bookmarkEnd w:id="75"/>
                </w:p>
              </w:tc>
              <w:tc>
                <w:tcPr>
                  <w:tcW w:w="837" w:type="dxa"/>
                  <w:vAlign w:val="center"/>
                </w:tcPr>
                <w:p w14:paraId="6009AF71">
                  <w:pPr>
                    <w:adjustRightInd w:val="0"/>
                    <w:snapToGrid w:val="0"/>
                    <w:spacing w:line="320" w:lineRule="exact"/>
                    <w:jc w:val="center"/>
                    <w:outlineLvl w:val="0"/>
                    <w:rPr>
                      <w:rFonts w:hint="eastAsia" w:eastAsia="宋体"/>
                      <w:color w:val="auto"/>
                      <w:lang w:val="en-US" w:eastAsia="zh-CN"/>
                    </w:rPr>
                  </w:pPr>
                  <w:bookmarkStart w:id="76" w:name="_Toc11188"/>
                  <w:bookmarkStart w:id="77" w:name="_Toc13064"/>
                  <w:r>
                    <w:rPr>
                      <w:color w:val="auto"/>
                    </w:rPr>
                    <w:t>0.</w:t>
                  </w:r>
                  <w:bookmarkEnd w:id="76"/>
                  <w:r>
                    <w:rPr>
                      <w:rFonts w:hint="eastAsia"/>
                      <w:color w:val="auto"/>
                      <w:lang w:val="en-US" w:eastAsia="zh-CN"/>
                    </w:rPr>
                    <w:t>4</w:t>
                  </w:r>
                  <w:bookmarkEnd w:id="77"/>
                </w:p>
              </w:tc>
              <w:tc>
                <w:tcPr>
                  <w:tcW w:w="1920" w:type="dxa"/>
                  <w:vAlign w:val="center"/>
                </w:tcPr>
                <w:p w14:paraId="0B115121">
                  <w:pPr>
                    <w:adjustRightInd w:val="0"/>
                    <w:snapToGrid w:val="0"/>
                    <w:spacing w:line="320" w:lineRule="exact"/>
                    <w:jc w:val="center"/>
                    <w:outlineLvl w:val="0"/>
                    <w:rPr>
                      <w:color w:val="auto"/>
                    </w:rPr>
                  </w:pPr>
                  <w:bookmarkStart w:id="78" w:name="_Toc13745"/>
                  <w:r>
                    <w:rPr>
                      <w:rFonts w:hint="eastAsia"/>
                      <w:color w:val="auto"/>
                      <w:lang w:val="en-US" w:eastAsia="zh-CN"/>
                    </w:rPr>
                    <w:t>本次技改新增</w:t>
                  </w:r>
                  <w:bookmarkEnd w:id="78"/>
                </w:p>
              </w:tc>
            </w:tr>
            <w:tr w14:paraId="4CED9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90" w:type="dxa"/>
                  <w:vMerge w:val="continue"/>
                  <w:tcBorders>
                    <w:bottom w:val="single" w:color="auto" w:sz="4" w:space="0"/>
                  </w:tcBorders>
                  <w:vAlign w:val="center"/>
                </w:tcPr>
                <w:p w14:paraId="56120CEF">
                  <w:pPr>
                    <w:adjustRightInd w:val="0"/>
                    <w:snapToGrid w:val="0"/>
                    <w:spacing w:line="320" w:lineRule="exact"/>
                    <w:jc w:val="center"/>
                    <w:outlineLvl w:val="9"/>
                    <w:rPr>
                      <w:color w:val="auto"/>
                    </w:rPr>
                  </w:pPr>
                  <w:bookmarkStart w:id="79" w:name="_Toc26536"/>
                </w:p>
              </w:tc>
              <w:tc>
                <w:tcPr>
                  <w:tcW w:w="660" w:type="dxa"/>
                  <w:vAlign w:val="center"/>
                </w:tcPr>
                <w:p w14:paraId="5C7595C9">
                  <w:pPr>
                    <w:adjustRightInd w:val="0"/>
                    <w:snapToGrid w:val="0"/>
                    <w:spacing w:line="320" w:lineRule="exact"/>
                    <w:jc w:val="center"/>
                    <w:outlineLvl w:val="0"/>
                    <w:rPr>
                      <w:rFonts w:hint="default" w:eastAsia="宋体"/>
                      <w:color w:val="auto"/>
                      <w:lang w:val="en-US" w:eastAsia="zh-CN"/>
                    </w:rPr>
                  </w:pPr>
                  <w:bookmarkStart w:id="80" w:name="_Toc25994"/>
                  <w:r>
                    <w:rPr>
                      <w:rFonts w:hint="eastAsia"/>
                      <w:color w:val="auto"/>
                      <w:lang w:val="en-US" w:eastAsia="zh-CN"/>
                    </w:rPr>
                    <w:t>其他</w:t>
                  </w:r>
                  <w:bookmarkEnd w:id="80"/>
                </w:p>
              </w:tc>
              <w:tc>
                <w:tcPr>
                  <w:tcW w:w="2238" w:type="dxa"/>
                  <w:vAlign w:val="center"/>
                </w:tcPr>
                <w:p w14:paraId="62B0B56B">
                  <w:pPr>
                    <w:adjustRightInd w:val="0"/>
                    <w:snapToGrid w:val="0"/>
                    <w:spacing w:line="320" w:lineRule="exact"/>
                    <w:jc w:val="center"/>
                    <w:outlineLvl w:val="0"/>
                    <w:rPr>
                      <w:rFonts w:hint="default" w:eastAsia="宋体"/>
                      <w:color w:val="auto"/>
                      <w:lang w:val="en-US" w:eastAsia="zh-CN"/>
                    </w:rPr>
                  </w:pPr>
                  <w:bookmarkStart w:id="81" w:name="_Toc2290"/>
                  <w:r>
                    <w:rPr>
                      <w:rFonts w:hint="eastAsia"/>
                      <w:color w:val="auto"/>
                      <w:lang w:val="en-US" w:eastAsia="zh-CN"/>
                    </w:rPr>
                    <w:t>废水治理设施易损零件备用件</w:t>
                  </w:r>
                  <w:bookmarkEnd w:id="81"/>
                </w:p>
              </w:tc>
              <w:tc>
                <w:tcPr>
                  <w:tcW w:w="1875" w:type="dxa"/>
                  <w:vAlign w:val="center"/>
                </w:tcPr>
                <w:p w14:paraId="6F7F9ABB">
                  <w:pPr>
                    <w:adjustRightInd w:val="0"/>
                    <w:snapToGrid w:val="0"/>
                    <w:spacing w:line="320" w:lineRule="exact"/>
                    <w:jc w:val="center"/>
                    <w:outlineLvl w:val="0"/>
                    <w:rPr>
                      <w:rFonts w:hint="eastAsia" w:eastAsia="宋体"/>
                      <w:color w:val="auto"/>
                      <w:lang w:val="en-US" w:eastAsia="zh-CN"/>
                    </w:rPr>
                  </w:pPr>
                  <w:bookmarkStart w:id="82" w:name="_Toc13965"/>
                  <w:r>
                    <w:rPr>
                      <w:rFonts w:hint="eastAsia"/>
                      <w:color w:val="auto"/>
                      <w:lang w:val="en-US" w:eastAsia="zh-CN"/>
                    </w:rPr>
                    <w:t>/</w:t>
                  </w:r>
                  <w:bookmarkEnd w:id="82"/>
                </w:p>
              </w:tc>
              <w:tc>
                <w:tcPr>
                  <w:tcW w:w="837" w:type="dxa"/>
                  <w:vAlign w:val="center"/>
                </w:tcPr>
                <w:p w14:paraId="6C79C434">
                  <w:pPr>
                    <w:adjustRightInd w:val="0"/>
                    <w:snapToGrid w:val="0"/>
                    <w:spacing w:line="320" w:lineRule="exact"/>
                    <w:jc w:val="center"/>
                    <w:outlineLvl w:val="0"/>
                    <w:rPr>
                      <w:rFonts w:hint="default" w:eastAsia="宋体"/>
                      <w:color w:val="auto"/>
                      <w:lang w:val="en-US" w:eastAsia="zh-CN"/>
                    </w:rPr>
                  </w:pPr>
                  <w:bookmarkStart w:id="83" w:name="_Toc5173"/>
                  <w:r>
                    <w:rPr>
                      <w:rFonts w:hint="eastAsia"/>
                      <w:color w:val="auto"/>
                      <w:lang w:val="en-US" w:eastAsia="zh-CN"/>
                    </w:rPr>
                    <w:t>0.1</w:t>
                  </w:r>
                  <w:bookmarkEnd w:id="83"/>
                </w:p>
              </w:tc>
              <w:tc>
                <w:tcPr>
                  <w:tcW w:w="1920" w:type="dxa"/>
                  <w:vAlign w:val="center"/>
                </w:tcPr>
                <w:p w14:paraId="746CCA8D">
                  <w:pPr>
                    <w:adjustRightInd w:val="0"/>
                    <w:snapToGrid w:val="0"/>
                    <w:spacing w:line="320" w:lineRule="exact"/>
                    <w:jc w:val="center"/>
                    <w:outlineLvl w:val="0"/>
                    <w:rPr>
                      <w:rFonts w:hint="eastAsia"/>
                      <w:color w:val="auto"/>
                      <w:lang w:val="en-US" w:eastAsia="zh-CN"/>
                    </w:rPr>
                  </w:pPr>
                  <w:bookmarkStart w:id="84" w:name="_Toc32263"/>
                  <w:r>
                    <w:rPr>
                      <w:rFonts w:hint="eastAsia"/>
                      <w:color w:val="auto"/>
                      <w:lang w:val="en-US" w:eastAsia="zh-CN"/>
                    </w:rPr>
                    <w:t>本次技改新增</w:t>
                  </w:r>
                  <w:bookmarkEnd w:id="84"/>
                </w:p>
              </w:tc>
            </w:tr>
            <w:tr w14:paraId="1E48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50" w:type="dxa"/>
                  <w:gridSpan w:val="2"/>
                  <w:vAlign w:val="center"/>
                </w:tcPr>
                <w:p w14:paraId="0CB64978">
                  <w:pPr>
                    <w:adjustRightInd w:val="0"/>
                    <w:snapToGrid w:val="0"/>
                    <w:spacing w:line="320" w:lineRule="exact"/>
                    <w:jc w:val="center"/>
                    <w:outlineLvl w:val="0"/>
                    <w:rPr>
                      <w:color w:val="auto"/>
                    </w:rPr>
                  </w:pPr>
                  <w:bookmarkStart w:id="85" w:name="_Toc21927"/>
                  <w:r>
                    <w:rPr>
                      <w:color w:val="auto"/>
                    </w:rPr>
                    <w:t>合计</w:t>
                  </w:r>
                  <w:bookmarkEnd w:id="79"/>
                  <w:bookmarkEnd w:id="85"/>
                </w:p>
              </w:tc>
              <w:tc>
                <w:tcPr>
                  <w:tcW w:w="2238" w:type="dxa"/>
                  <w:vAlign w:val="center"/>
                </w:tcPr>
                <w:p w14:paraId="7C555626">
                  <w:pPr>
                    <w:adjustRightInd w:val="0"/>
                    <w:snapToGrid w:val="0"/>
                    <w:spacing w:line="320" w:lineRule="exact"/>
                    <w:jc w:val="center"/>
                    <w:outlineLvl w:val="0"/>
                    <w:rPr>
                      <w:color w:val="auto"/>
                    </w:rPr>
                  </w:pPr>
                  <w:bookmarkStart w:id="86" w:name="_Toc30516"/>
                  <w:bookmarkStart w:id="87" w:name="_Toc5478"/>
                  <w:r>
                    <w:rPr>
                      <w:color w:val="auto"/>
                    </w:rPr>
                    <w:t>/</w:t>
                  </w:r>
                  <w:bookmarkEnd w:id="86"/>
                  <w:bookmarkEnd w:id="87"/>
                </w:p>
              </w:tc>
              <w:tc>
                <w:tcPr>
                  <w:tcW w:w="1875" w:type="dxa"/>
                  <w:vAlign w:val="center"/>
                </w:tcPr>
                <w:p w14:paraId="5B65D79A">
                  <w:pPr>
                    <w:adjustRightInd w:val="0"/>
                    <w:snapToGrid w:val="0"/>
                    <w:spacing w:line="320" w:lineRule="exact"/>
                    <w:jc w:val="center"/>
                    <w:outlineLvl w:val="0"/>
                    <w:rPr>
                      <w:color w:val="auto"/>
                    </w:rPr>
                  </w:pPr>
                  <w:bookmarkStart w:id="88" w:name="_Toc8754"/>
                  <w:bookmarkStart w:id="89" w:name="_Toc26359"/>
                  <w:r>
                    <w:rPr>
                      <w:color w:val="auto"/>
                    </w:rPr>
                    <w:t>─</w:t>
                  </w:r>
                  <w:bookmarkEnd w:id="88"/>
                  <w:bookmarkEnd w:id="89"/>
                </w:p>
              </w:tc>
              <w:tc>
                <w:tcPr>
                  <w:tcW w:w="837" w:type="dxa"/>
                  <w:vAlign w:val="center"/>
                </w:tcPr>
                <w:p w14:paraId="6F18472D">
                  <w:pPr>
                    <w:adjustRightInd w:val="0"/>
                    <w:snapToGrid w:val="0"/>
                    <w:spacing w:line="320" w:lineRule="exact"/>
                    <w:jc w:val="center"/>
                    <w:outlineLvl w:val="0"/>
                    <w:rPr>
                      <w:rFonts w:hint="default" w:eastAsia="宋体"/>
                      <w:color w:val="auto"/>
                      <w:lang w:val="en-US" w:eastAsia="zh-CN"/>
                    </w:rPr>
                  </w:pPr>
                  <w:bookmarkStart w:id="90" w:name="_Toc6001"/>
                  <w:r>
                    <w:rPr>
                      <w:rFonts w:hint="eastAsia"/>
                      <w:color w:val="auto"/>
                      <w:lang w:val="en-US" w:eastAsia="zh-CN"/>
                    </w:rPr>
                    <w:t>23.5</w:t>
                  </w:r>
                  <w:bookmarkEnd w:id="90"/>
                </w:p>
              </w:tc>
              <w:tc>
                <w:tcPr>
                  <w:tcW w:w="1920" w:type="dxa"/>
                  <w:vAlign w:val="center"/>
                </w:tcPr>
                <w:p w14:paraId="3EE7C1FE">
                  <w:pPr>
                    <w:adjustRightInd w:val="0"/>
                    <w:snapToGrid w:val="0"/>
                    <w:spacing w:line="320" w:lineRule="exact"/>
                    <w:jc w:val="center"/>
                    <w:outlineLvl w:val="0"/>
                    <w:rPr>
                      <w:color w:val="auto"/>
                    </w:rPr>
                  </w:pPr>
                  <w:bookmarkStart w:id="91" w:name="_Toc14537"/>
                  <w:bookmarkStart w:id="92" w:name="_Toc9593"/>
                  <w:r>
                    <w:rPr>
                      <w:color w:val="auto"/>
                    </w:rPr>
                    <w:t>/</w:t>
                  </w:r>
                  <w:bookmarkEnd w:id="91"/>
                  <w:bookmarkEnd w:id="92"/>
                </w:p>
              </w:tc>
            </w:tr>
          </w:tbl>
          <w:p w14:paraId="5A7056B4">
            <w:pPr>
              <w:pStyle w:val="63"/>
              <w:rPr>
                <w:rFonts w:ascii="Times New Roman" w:hAnsi="Times New Roman" w:cs="Times New Roman"/>
                <w:color w:val="auto"/>
                <w:sz w:val="24"/>
              </w:rPr>
            </w:pPr>
          </w:p>
        </w:tc>
      </w:tr>
    </w:tbl>
    <w:p w14:paraId="0B31B3FE">
      <w:pPr>
        <w:rPr>
          <w:color w:val="auto"/>
        </w:rPr>
        <w:sectPr>
          <w:pgSz w:w="11907" w:h="16840"/>
          <w:pgMar w:top="1701" w:right="1531" w:bottom="2127" w:left="1531" w:header="851" w:footer="851" w:gutter="0"/>
          <w:pgNumType w:fmt="numberInDash"/>
          <w:cols w:space="720" w:num="1"/>
          <w:docGrid w:linePitch="312" w:charSpace="0"/>
        </w:sectPr>
      </w:pPr>
    </w:p>
    <w:p w14:paraId="317043EE">
      <w:pPr>
        <w:pStyle w:val="19"/>
        <w:jc w:val="center"/>
        <w:outlineLvl w:val="0"/>
        <w:rPr>
          <w:rFonts w:ascii="Times New Roman" w:hAnsi="Times New Roman" w:eastAsia="黑体" w:cs="Times New Roman"/>
          <w:snapToGrid w:val="0"/>
          <w:color w:val="auto"/>
          <w:sz w:val="30"/>
          <w:szCs w:val="30"/>
        </w:rPr>
      </w:pPr>
      <w:bookmarkStart w:id="93" w:name="_Toc199"/>
      <w:r>
        <w:rPr>
          <w:rFonts w:ascii="Times New Roman" w:hAnsi="Times New Roman" w:eastAsia="黑体" w:cs="Times New Roman"/>
          <w:snapToGrid w:val="0"/>
          <w:color w:val="auto"/>
          <w:sz w:val="30"/>
          <w:szCs w:val="30"/>
        </w:rPr>
        <w:t>五、</w:t>
      </w:r>
      <w:bookmarkStart w:id="94" w:name="_Hlk54167917"/>
      <w:r>
        <w:rPr>
          <w:rFonts w:ascii="Times New Roman" w:hAnsi="Times New Roman" w:eastAsia="黑体" w:cs="Times New Roman"/>
          <w:snapToGrid w:val="0"/>
          <w:color w:val="auto"/>
          <w:sz w:val="30"/>
          <w:szCs w:val="30"/>
        </w:rPr>
        <w:t>环境保护措施监督检查清单</w:t>
      </w:r>
      <w:bookmarkEnd w:id="93"/>
      <w:bookmarkEnd w:id="94"/>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1870"/>
        <w:gridCol w:w="1755"/>
        <w:gridCol w:w="1641"/>
        <w:gridCol w:w="1871"/>
      </w:tblGrid>
      <w:tr w14:paraId="7BD810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3" w:type="dxa"/>
            <w:tcBorders>
              <w:tl2br w:val="single" w:color="auto" w:sz="4" w:space="0"/>
            </w:tcBorders>
          </w:tcPr>
          <w:p w14:paraId="1E593E64">
            <w:pPr>
              <w:adjustRightInd w:val="0"/>
              <w:snapToGrid w:val="0"/>
              <w:ind w:firstLine="840"/>
              <w:rPr>
                <w:color w:val="auto"/>
                <w:sz w:val="21"/>
                <w:szCs w:val="21"/>
              </w:rPr>
            </w:pPr>
            <w:r>
              <w:rPr>
                <w:color w:val="auto"/>
                <w:sz w:val="21"/>
                <w:szCs w:val="21"/>
              </w:rPr>
              <w:t>内容</w:t>
            </w:r>
          </w:p>
          <w:p w14:paraId="0362EBD6">
            <w:pPr>
              <w:adjustRightInd w:val="0"/>
              <w:snapToGrid w:val="0"/>
              <w:rPr>
                <w:color w:val="auto"/>
                <w:sz w:val="21"/>
                <w:szCs w:val="21"/>
              </w:rPr>
            </w:pPr>
            <w:r>
              <w:rPr>
                <w:color w:val="auto"/>
                <w:sz w:val="21"/>
                <w:szCs w:val="21"/>
              </w:rPr>
              <w:t>要素</w:t>
            </w:r>
          </w:p>
        </w:tc>
        <w:tc>
          <w:tcPr>
            <w:tcW w:w="1870" w:type="dxa"/>
            <w:vAlign w:val="center"/>
          </w:tcPr>
          <w:p w14:paraId="03510676">
            <w:pPr>
              <w:adjustRightInd w:val="0"/>
              <w:snapToGrid w:val="0"/>
              <w:jc w:val="center"/>
              <w:rPr>
                <w:color w:val="auto"/>
                <w:sz w:val="21"/>
                <w:szCs w:val="21"/>
              </w:rPr>
            </w:pPr>
            <w:r>
              <w:rPr>
                <w:color w:val="auto"/>
                <w:sz w:val="21"/>
                <w:szCs w:val="21"/>
              </w:rPr>
              <w:t>排放口(编号、</w:t>
            </w:r>
          </w:p>
          <w:p w14:paraId="1E673DC3">
            <w:pPr>
              <w:adjustRightInd w:val="0"/>
              <w:snapToGrid w:val="0"/>
              <w:jc w:val="center"/>
              <w:rPr>
                <w:color w:val="auto"/>
                <w:sz w:val="21"/>
                <w:szCs w:val="21"/>
              </w:rPr>
            </w:pPr>
            <w:r>
              <w:rPr>
                <w:color w:val="auto"/>
                <w:sz w:val="21"/>
                <w:szCs w:val="21"/>
              </w:rPr>
              <w:t>名称)/污染源</w:t>
            </w:r>
          </w:p>
        </w:tc>
        <w:tc>
          <w:tcPr>
            <w:tcW w:w="1755" w:type="dxa"/>
            <w:vAlign w:val="center"/>
          </w:tcPr>
          <w:p w14:paraId="34FCE8D0">
            <w:pPr>
              <w:adjustRightInd w:val="0"/>
              <w:snapToGrid w:val="0"/>
              <w:jc w:val="center"/>
              <w:rPr>
                <w:color w:val="auto"/>
                <w:sz w:val="21"/>
                <w:szCs w:val="21"/>
              </w:rPr>
            </w:pPr>
            <w:r>
              <w:rPr>
                <w:color w:val="auto"/>
                <w:sz w:val="21"/>
                <w:szCs w:val="21"/>
              </w:rPr>
              <w:t>污染物项目</w:t>
            </w:r>
          </w:p>
        </w:tc>
        <w:tc>
          <w:tcPr>
            <w:tcW w:w="1641" w:type="dxa"/>
            <w:vAlign w:val="center"/>
          </w:tcPr>
          <w:p w14:paraId="2CC68956">
            <w:pPr>
              <w:adjustRightInd w:val="0"/>
              <w:snapToGrid w:val="0"/>
              <w:jc w:val="center"/>
              <w:rPr>
                <w:color w:val="auto"/>
                <w:sz w:val="21"/>
                <w:szCs w:val="21"/>
              </w:rPr>
            </w:pPr>
            <w:r>
              <w:rPr>
                <w:color w:val="auto"/>
                <w:sz w:val="21"/>
                <w:szCs w:val="21"/>
              </w:rPr>
              <w:t>环境保护措施</w:t>
            </w:r>
          </w:p>
        </w:tc>
        <w:tc>
          <w:tcPr>
            <w:tcW w:w="1871" w:type="dxa"/>
            <w:vAlign w:val="center"/>
          </w:tcPr>
          <w:p w14:paraId="669C9E14">
            <w:pPr>
              <w:adjustRightInd w:val="0"/>
              <w:snapToGrid w:val="0"/>
              <w:jc w:val="center"/>
              <w:rPr>
                <w:color w:val="auto"/>
                <w:sz w:val="21"/>
                <w:szCs w:val="21"/>
              </w:rPr>
            </w:pPr>
            <w:r>
              <w:rPr>
                <w:color w:val="auto"/>
                <w:sz w:val="21"/>
                <w:szCs w:val="21"/>
              </w:rPr>
              <w:t>执行标准</w:t>
            </w:r>
          </w:p>
        </w:tc>
      </w:tr>
      <w:tr w14:paraId="1CD44A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3" w:type="dxa"/>
            <w:vMerge w:val="restart"/>
            <w:vAlign w:val="center"/>
          </w:tcPr>
          <w:p w14:paraId="573809FC">
            <w:pPr>
              <w:adjustRightInd w:val="0"/>
              <w:snapToGrid w:val="0"/>
              <w:jc w:val="center"/>
              <w:rPr>
                <w:color w:val="auto"/>
                <w:sz w:val="21"/>
                <w:szCs w:val="21"/>
              </w:rPr>
            </w:pPr>
            <w:r>
              <w:rPr>
                <w:color w:val="auto"/>
                <w:sz w:val="21"/>
                <w:szCs w:val="21"/>
              </w:rPr>
              <w:t>大气环境</w:t>
            </w:r>
          </w:p>
        </w:tc>
        <w:tc>
          <w:tcPr>
            <w:tcW w:w="1870" w:type="dxa"/>
            <w:vAlign w:val="center"/>
          </w:tcPr>
          <w:p w14:paraId="1DB961BB">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rPr>
              <w:t>生物质锅炉废气排放口（DA001）</w:t>
            </w:r>
          </w:p>
        </w:tc>
        <w:tc>
          <w:tcPr>
            <w:tcW w:w="1755" w:type="dxa"/>
            <w:vAlign w:val="center"/>
          </w:tcPr>
          <w:p w14:paraId="66D9771B">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颗粒物</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SO</w:t>
            </w:r>
            <w:r>
              <w:rPr>
                <w:rFonts w:hint="default" w:ascii="Times New Roman" w:hAnsi="Times New Roman" w:eastAsia="宋体" w:cs="Times New Roman"/>
                <w:color w:val="auto"/>
                <w:kern w:val="0"/>
                <w:sz w:val="21"/>
                <w:szCs w:val="21"/>
                <w:vertAlign w:val="subscript"/>
                <w:lang w:val="en-US" w:eastAsia="zh-CN"/>
              </w:rPr>
              <w:t>2</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NOx</w:t>
            </w:r>
          </w:p>
        </w:tc>
        <w:tc>
          <w:tcPr>
            <w:tcW w:w="1641" w:type="dxa"/>
            <w:vAlign w:val="center"/>
          </w:tcPr>
          <w:p w14:paraId="0AC6F172">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多管旋风除尘器+</w:t>
            </w:r>
            <w:r>
              <w:rPr>
                <w:rFonts w:hint="eastAsia" w:cs="Times New Roman"/>
                <w:color w:val="auto"/>
                <w:szCs w:val="21"/>
                <w:lang w:val="en-US" w:eastAsia="zh-CN"/>
              </w:rPr>
              <w:t>布袋</w:t>
            </w:r>
            <w:r>
              <w:rPr>
                <w:rFonts w:hint="default" w:ascii="Times New Roman" w:hAnsi="Times New Roman" w:cs="Times New Roman"/>
                <w:color w:val="auto"/>
                <w:szCs w:val="21"/>
                <w:lang w:val="en-US" w:eastAsia="zh-CN"/>
              </w:rPr>
              <w:t>除尘器</w:t>
            </w:r>
            <w:r>
              <w:rPr>
                <w:rFonts w:hint="eastAsia"/>
                <w:color w:val="auto"/>
                <w:sz w:val="21"/>
                <w:szCs w:val="21"/>
                <w:lang w:val="en-US" w:eastAsia="zh-CN"/>
              </w:rPr>
              <w:t>+30m高排气筒</w:t>
            </w:r>
          </w:p>
        </w:tc>
        <w:tc>
          <w:tcPr>
            <w:tcW w:w="1871" w:type="dxa"/>
            <w:vAlign w:val="center"/>
          </w:tcPr>
          <w:p w14:paraId="3164DE4D">
            <w:pPr>
              <w:adjustRightInd w:val="0"/>
              <w:snapToGrid w:val="0"/>
              <w:spacing w:line="240" w:lineRule="auto"/>
              <w:jc w:val="center"/>
              <w:rPr>
                <w:rFonts w:ascii="Times New Roman" w:hAnsi="Times New Roman" w:eastAsia="宋体" w:cs="Times New Roman"/>
                <w:bCs/>
                <w:color w:val="auto"/>
                <w:kern w:val="2"/>
                <w:sz w:val="21"/>
                <w:szCs w:val="21"/>
                <w:lang w:val="en-US" w:eastAsia="zh-CN" w:bidi="ar-SA"/>
              </w:rPr>
            </w:pPr>
            <w:r>
              <w:rPr>
                <w:b w:val="0"/>
                <w:bCs w:val="0"/>
                <w:color w:val="auto"/>
                <w:sz w:val="21"/>
                <w:szCs w:val="21"/>
              </w:rPr>
              <w:t>《锅炉大气污染物排放标准》</w:t>
            </w:r>
            <w:r>
              <w:rPr>
                <w:rFonts w:hint="eastAsia"/>
                <w:b w:val="0"/>
                <w:bCs w:val="0"/>
                <w:color w:val="auto"/>
                <w:sz w:val="21"/>
                <w:szCs w:val="21"/>
                <w:lang w:eastAsia="zh-CN"/>
              </w:rPr>
              <w:t>（</w:t>
            </w:r>
            <w:r>
              <w:rPr>
                <w:rFonts w:hint="eastAsia"/>
                <w:b w:val="0"/>
                <w:bCs w:val="0"/>
                <w:color w:val="auto"/>
                <w:sz w:val="21"/>
                <w:szCs w:val="21"/>
                <w:lang w:val="en-US" w:eastAsia="zh-CN"/>
              </w:rPr>
              <w:t>GB13271-2014</w:t>
            </w:r>
            <w:r>
              <w:rPr>
                <w:rFonts w:hint="eastAsia"/>
                <w:b w:val="0"/>
                <w:bCs w:val="0"/>
                <w:color w:val="auto"/>
                <w:sz w:val="21"/>
                <w:szCs w:val="21"/>
                <w:lang w:eastAsia="zh-CN"/>
              </w:rPr>
              <w:t>）</w:t>
            </w:r>
            <w:r>
              <w:rPr>
                <w:rFonts w:hint="eastAsia"/>
                <w:b w:val="0"/>
                <w:bCs w:val="0"/>
                <w:color w:val="auto"/>
                <w:sz w:val="21"/>
                <w:szCs w:val="21"/>
                <w:lang w:val="en-US" w:eastAsia="zh-CN"/>
              </w:rPr>
              <w:t>表2 中燃煤锅炉大气污染物排放浓度限值</w:t>
            </w:r>
          </w:p>
        </w:tc>
      </w:tr>
      <w:tr w14:paraId="07D90D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3" w:type="dxa"/>
            <w:vMerge w:val="continue"/>
            <w:vAlign w:val="center"/>
          </w:tcPr>
          <w:p w14:paraId="3A057DC3">
            <w:pPr>
              <w:adjustRightInd w:val="0"/>
              <w:snapToGrid w:val="0"/>
              <w:jc w:val="center"/>
              <w:rPr>
                <w:color w:val="auto"/>
                <w:sz w:val="21"/>
                <w:szCs w:val="21"/>
              </w:rPr>
            </w:pPr>
          </w:p>
        </w:tc>
        <w:tc>
          <w:tcPr>
            <w:tcW w:w="1870" w:type="dxa"/>
            <w:vAlign w:val="center"/>
          </w:tcPr>
          <w:p w14:paraId="12B59513">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生物质</w:t>
            </w:r>
            <w:r>
              <w:rPr>
                <w:rFonts w:hint="eastAsia" w:cs="Times New Roman"/>
                <w:color w:val="auto"/>
                <w:kern w:val="0"/>
                <w:sz w:val="21"/>
                <w:szCs w:val="21"/>
                <w:lang w:val="en-US" w:eastAsia="zh-CN"/>
              </w:rPr>
              <w:t>锅炉炉渣清灰过程</w:t>
            </w:r>
          </w:p>
        </w:tc>
        <w:tc>
          <w:tcPr>
            <w:tcW w:w="1755" w:type="dxa"/>
            <w:vAlign w:val="center"/>
          </w:tcPr>
          <w:p w14:paraId="18083D81">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颗粒物</w:t>
            </w:r>
          </w:p>
        </w:tc>
        <w:tc>
          <w:tcPr>
            <w:tcW w:w="1641" w:type="dxa"/>
            <w:vAlign w:val="center"/>
          </w:tcPr>
          <w:p w14:paraId="0396062A">
            <w:pPr>
              <w:adjustRightInd w:val="0"/>
              <w:snapToGrid w:val="0"/>
              <w:spacing w:line="240" w:lineRule="auto"/>
              <w:jc w:val="center"/>
              <w:rPr>
                <w:rFonts w:hint="eastAsia"/>
                <w:color w:val="auto"/>
                <w:sz w:val="21"/>
                <w:szCs w:val="21"/>
                <w:lang w:val="en-US" w:eastAsia="zh-CN"/>
              </w:rPr>
            </w:pPr>
            <w:r>
              <w:rPr>
                <w:rFonts w:hint="eastAsia"/>
                <w:color w:val="auto"/>
                <w:sz w:val="21"/>
                <w:szCs w:val="21"/>
                <w:lang w:val="en-US" w:eastAsia="zh-CN"/>
              </w:rPr>
              <w:t>稀释扩散后呈无组织排放</w:t>
            </w:r>
          </w:p>
        </w:tc>
        <w:tc>
          <w:tcPr>
            <w:tcW w:w="1871" w:type="dxa"/>
            <w:vAlign w:val="center"/>
          </w:tcPr>
          <w:p w14:paraId="34A6D1C9">
            <w:pPr>
              <w:adjustRightInd w:val="0"/>
              <w:snapToGrid w:val="0"/>
              <w:spacing w:line="240" w:lineRule="auto"/>
              <w:jc w:val="center"/>
              <w:rPr>
                <w:b w:val="0"/>
                <w:bCs w:val="0"/>
                <w:color w:val="auto"/>
                <w:sz w:val="21"/>
                <w:szCs w:val="21"/>
              </w:rPr>
            </w:pPr>
            <w:r>
              <w:rPr>
                <w:rFonts w:hint="eastAsia"/>
                <w:b w:val="0"/>
                <w:bCs w:val="0"/>
                <w:color w:val="auto"/>
                <w:sz w:val="21"/>
                <w:szCs w:val="21"/>
                <w:lang w:val="en-US" w:eastAsia="zh-CN"/>
              </w:rPr>
              <w:t>《大气污染物综合排放标准》（GB16297-1996）表2中无组织排放浓度要求</w:t>
            </w:r>
          </w:p>
        </w:tc>
      </w:tr>
      <w:tr w14:paraId="6B06C4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3" w:type="dxa"/>
            <w:vMerge w:val="continue"/>
            <w:vAlign w:val="center"/>
          </w:tcPr>
          <w:p w14:paraId="548B4982">
            <w:pPr>
              <w:adjustRightInd w:val="0"/>
              <w:snapToGrid w:val="0"/>
              <w:jc w:val="center"/>
              <w:rPr>
                <w:color w:val="auto"/>
                <w:sz w:val="21"/>
                <w:szCs w:val="21"/>
              </w:rPr>
            </w:pPr>
          </w:p>
        </w:tc>
        <w:tc>
          <w:tcPr>
            <w:tcW w:w="1870" w:type="dxa"/>
            <w:vAlign w:val="center"/>
          </w:tcPr>
          <w:p w14:paraId="30C29836">
            <w:pPr>
              <w:adjustRightInd w:val="0"/>
              <w:snapToGrid w:val="0"/>
              <w:jc w:val="center"/>
              <w:rPr>
                <w:rFonts w:ascii="Times New Roman" w:hAnsi="Times New Roman" w:eastAsia="宋体" w:cs="Times New Roman"/>
                <w:bCs/>
                <w:color w:val="auto"/>
                <w:kern w:val="2"/>
                <w:sz w:val="21"/>
                <w:szCs w:val="21"/>
                <w:lang w:val="en-US" w:eastAsia="zh-CN" w:bidi="ar-SA"/>
              </w:rPr>
            </w:pPr>
            <w:r>
              <w:rPr>
                <w:bCs/>
                <w:color w:val="auto"/>
                <w:sz w:val="21"/>
                <w:szCs w:val="21"/>
              </w:rPr>
              <w:t>车间</w:t>
            </w:r>
          </w:p>
        </w:tc>
        <w:tc>
          <w:tcPr>
            <w:tcW w:w="1755" w:type="dxa"/>
            <w:vAlign w:val="center"/>
          </w:tcPr>
          <w:p w14:paraId="38403B21">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bCs/>
                <w:color w:val="auto"/>
                <w:sz w:val="21"/>
                <w:szCs w:val="21"/>
              </w:rPr>
              <w:t>异味</w:t>
            </w:r>
            <w:r>
              <w:rPr>
                <w:rFonts w:hint="eastAsia"/>
                <w:bCs/>
                <w:color w:val="auto"/>
                <w:sz w:val="21"/>
                <w:szCs w:val="21"/>
                <w:lang w:eastAsia="zh-CN"/>
              </w:rPr>
              <w:t>（</w:t>
            </w:r>
            <w:r>
              <w:rPr>
                <w:rFonts w:hint="eastAsia"/>
                <w:bCs/>
                <w:color w:val="auto"/>
                <w:sz w:val="21"/>
                <w:szCs w:val="21"/>
                <w:lang w:val="en-US" w:eastAsia="zh-CN"/>
              </w:rPr>
              <w:t>臭气浓度</w:t>
            </w:r>
            <w:r>
              <w:rPr>
                <w:rFonts w:hint="eastAsia"/>
                <w:bCs/>
                <w:color w:val="auto"/>
                <w:sz w:val="21"/>
                <w:szCs w:val="21"/>
                <w:lang w:eastAsia="zh-CN"/>
              </w:rPr>
              <w:t>）</w:t>
            </w:r>
          </w:p>
        </w:tc>
        <w:tc>
          <w:tcPr>
            <w:tcW w:w="1641" w:type="dxa"/>
            <w:vAlign w:val="center"/>
          </w:tcPr>
          <w:p w14:paraId="23B76B33">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color w:val="auto"/>
                <w:sz w:val="21"/>
                <w:szCs w:val="21"/>
                <w:lang w:val="en-US" w:eastAsia="zh-CN"/>
              </w:rPr>
              <w:t>日产日清</w:t>
            </w:r>
            <w:r>
              <w:rPr>
                <w:rFonts w:hint="eastAsia"/>
                <w:color w:val="auto"/>
                <w:sz w:val="21"/>
                <w:szCs w:val="21"/>
              </w:rPr>
              <w:t>、加强厂区卫生保洁</w:t>
            </w:r>
            <w:r>
              <w:rPr>
                <w:rFonts w:hint="eastAsia"/>
                <w:color w:val="auto"/>
                <w:sz w:val="21"/>
                <w:szCs w:val="21"/>
                <w:lang w:eastAsia="zh-CN"/>
              </w:rPr>
              <w:t>。</w:t>
            </w:r>
          </w:p>
        </w:tc>
        <w:tc>
          <w:tcPr>
            <w:tcW w:w="1871" w:type="dxa"/>
            <w:vMerge w:val="restart"/>
            <w:vAlign w:val="center"/>
          </w:tcPr>
          <w:p w14:paraId="73D084B5">
            <w:pPr>
              <w:adjustRightInd w:val="0"/>
              <w:snapToGrid w:val="0"/>
              <w:jc w:val="center"/>
              <w:rPr>
                <w:rFonts w:ascii="Times New Roman" w:hAnsi="Times New Roman" w:eastAsia="宋体" w:cs="Times New Roman"/>
                <w:bCs/>
                <w:color w:val="auto"/>
                <w:kern w:val="2"/>
                <w:sz w:val="21"/>
                <w:szCs w:val="21"/>
                <w:lang w:val="en-US" w:eastAsia="zh-CN" w:bidi="ar-SA"/>
              </w:rPr>
            </w:pPr>
            <w:r>
              <w:rPr>
                <w:bCs/>
                <w:color w:val="auto"/>
                <w:sz w:val="21"/>
                <w:szCs w:val="21"/>
              </w:rPr>
              <w:t>《恶臭污染物排放标准》（GB14554-93）</w:t>
            </w:r>
          </w:p>
        </w:tc>
      </w:tr>
      <w:tr w14:paraId="5B093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3" w:type="dxa"/>
            <w:vMerge w:val="continue"/>
            <w:vAlign w:val="center"/>
          </w:tcPr>
          <w:p w14:paraId="3E6F87F8">
            <w:pPr>
              <w:adjustRightInd w:val="0"/>
              <w:snapToGrid w:val="0"/>
              <w:jc w:val="center"/>
              <w:rPr>
                <w:color w:val="auto"/>
                <w:sz w:val="21"/>
                <w:szCs w:val="21"/>
              </w:rPr>
            </w:pPr>
          </w:p>
        </w:tc>
        <w:tc>
          <w:tcPr>
            <w:tcW w:w="1870" w:type="dxa"/>
            <w:vAlign w:val="center"/>
          </w:tcPr>
          <w:p w14:paraId="73C09460">
            <w:pPr>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一体化污水处理站</w:t>
            </w:r>
          </w:p>
        </w:tc>
        <w:tc>
          <w:tcPr>
            <w:tcW w:w="1755" w:type="dxa"/>
            <w:vAlign w:val="center"/>
          </w:tcPr>
          <w:p w14:paraId="1C93D780">
            <w:pPr>
              <w:adjustRightInd w:val="0"/>
              <w:snapToGrid w:val="0"/>
              <w:jc w:val="center"/>
              <w:rPr>
                <w:rFonts w:hint="default"/>
                <w:bCs/>
                <w:color w:val="auto"/>
                <w:sz w:val="21"/>
                <w:szCs w:val="21"/>
                <w:lang w:val="en-US"/>
              </w:rPr>
            </w:pPr>
            <w:r>
              <w:rPr>
                <w:rFonts w:hint="eastAsia"/>
                <w:bCs/>
                <w:color w:val="auto"/>
                <w:sz w:val="21"/>
                <w:szCs w:val="21"/>
                <w:lang w:val="en-US" w:eastAsia="zh-CN"/>
              </w:rPr>
              <w:t>臭气浓度、氨、硫化氢</w:t>
            </w:r>
          </w:p>
        </w:tc>
        <w:tc>
          <w:tcPr>
            <w:tcW w:w="1641" w:type="dxa"/>
            <w:vAlign w:val="center"/>
          </w:tcPr>
          <w:p w14:paraId="2799B408">
            <w:pPr>
              <w:adjustRightInd w:val="0"/>
              <w:snapToGrid w:val="0"/>
              <w:jc w:val="center"/>
              <w:rPr>
                <w:rFonts w:hint="default"/>
                <w:color w:val="auto"/>
                <w:sz w:val="21"/>
                <w:szCs w:val="21"/>
                <w:lang w:val="en-US" w:eastAsia="zh-CN"/>
              </w:rPr>
            </w:pPr>
            <w:r>
              <w:rPr>
                <w:rFonts w:hint="eastAsia"/>
                <w:color w:val="auto"/>
                <w:sz w:val="21"/>
                <w:szCs w:val="21"/>
                <w:lang w:val="en-US" w:eastAsia="zh-CN"/>
              </w:rPr>
              <w:t>稀释扩散后呈无组织排放</w:t>
            </w:r>
          </w:p>
        </w:tc>
        <w:tc>
          <w:tcPr>
            <w:tcW w:w="1871" w:type="dxa"/>
            <w:vMerge w:val="continue"/>
            <w:vAlign w:val="center"/>
          </w:tcPr>
          <w:p w14:paraId="4078A9DD">
            <w:pPr>
              <w:adjustRightInd w:val="0"/>
              <w:snapToGrid w:val="0"/>
              <w:jc w:val="center"/>
              <w:rPr>
                <w:bCs/>
                <w:color w:val="auto"/>
                <w:sz w:val="21"/>
                <w:szCs w:val="21"/>
              </w:rPr>
            </w:pPr>
          </w:p>
        </w:tc>
      </w:tr>
      <w:tr w14:paraId="21BC5A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3" w:type="dxa"/>
            <w:vMerge w:val="restart"/>
            <w:vAlign w:val="center"/>
          </w:tcPr>
          <w:p w14:paraId="07065E78">
            <w:pPr>
              <w:adjustRightInd w:val="0"/>
              <w:snapToGrid w:val="0"/>
              <w:jc w:val="center"/>
              <w:rPr>
                <w:rFonts w:hint="default" w:eastAsia="宋体"/>
                <w:color w:val="auto"/>
                <w:sz w:val="21"/>
                <w:szCs w:val="21"/>
                <w:lang w:val="en-US" w:eastAsia="zh-CN"/>
              </w:rPr>
            </w:pPr>
            <w:r>
              <w:rPr>
                <w:color w:val="auto"/>
                <w:sz w:val="21"/>
                <w:szCs w:val="21"/>
              </w:rPr>
              <w:t>地表水环境</w:t>
            </w:r>
          </w:p>
        </w:tc>
        <w:tc>
          <w:tcPr>
            <w:tcW w:w="1870" w:type="dxa"/>
            <w:vAlign w:val="center"/>
          </w:tcPr>
          <w:p w14:paraId="37B48441">
            <w:pPr>
              <w:adjustRightInd w:val="0"/>
              <w:snapToGrid w:val="0"/>
              <w:jc w:val="center"/>
              <w:rPr>
                <w:rFonts w:hint="eastAsia" w:eastAsia="宋体"/>
                <w:bCs/>
                <w:color w:val="auto"/>
                <w:sz w:val="21"/>
                <w:szCs w:val="21"/>
                <w:lang w:val="en-US" w:eastAsia="zh-CN"/>
              </w:rPr>
            </w:pPr>
            <w:r>
              <w:rPr>
                <w:rFonts w:hint="eastAsia"/>
                <w:color w:val="auto"/>
                <w:szCs w:val="21"/>
              </w:rPr>
              <w:t>纯水制备系统浓水、反冲洗废水、水果清洗废水、生产车间地面清洗废水、实验器皿清洗废水、锅炉</w:t>
            </w:r>
            <w:r>
              <w:rPr>
                <w:rFonts w:hint="eastAsia"/>
                <w:color w:val="auto"/>
                <w:szCs w:val="21"/>
                <w:lang w:val="en-US" w:eastAsia="zh-CN"/>
              </w:rPr>
              <w:t>排水</w:t>
            </w:r>
          </w:p>
        </w:tc>
        <w:tc>
          <w:tcPr>
            <w:tcW w:w="1755" w:type="dxa"/>
            <w:vAlign w:val="center"/>
          </w:tcPr>
          <w:p w14:paraId="07642A80">
            <w:pPr>
              <w:adjustRightInd w:val="0"/>
              <w:snapToGrid w:val="0"/>
              <w:jc w:val="center"/>
              <w:rPr>
                <w:rFonts w:hint="default" w:eastAsia="宋体"/>
                <w:bCs/>
                <w:color w:val="auto"/>
                <w:sz w:val="21"/>
                <w:szCs w:val="21"/>
                <w:lang w:val="en-US" w:eastAsia="zh-CN"/>
              </w:rPr>
            </w:pPr>
            <w:r>
              <w:rPr>
                <w:rFonts w:hint="eastAsia"/>
                <w:color w:val="auto"/>
                <w:sz w:val="21"/>
                <w:szCs w:val="21"/>
              </w:rPr>
              <w:t>COD、BOD</w:t>
            </w:r>
            <w:r>
              <w:rPr>
                <w:rFonts w:hint="eastAsia"/>
                <w:color w:val="auto"/>
                <w:sz w:val="21"/>
                <w:szCs w:val="21"/>
                <w:vertAlign w:val="subscript"/>
              </w:rPr>
              <w:t>5</w:t>
            </w:r>
            <w:r>
              <w:rPr>
                <w:rFonts w:hint="eastAsia"/>
                <w:color w:val="auto"/>
                <w:sz w:val="21"/>
                <w:szCs w:val="21"/>
                <w:vertAlign w:val="baseline"/>
                <w:lang w:eastAsia="zh-CN"/>
              </w:rPr>
              <w:t>、</w:t>
            </w:r>
            <w:r>
              <w:rPr>
                <w:color w:val="auto"/>
                <w:spacing w:val="-2"/>
                <w:sz w:val="21"/>
                <w:szCs w:val="21"/>
              </w:rPr>
              <w:t>氨氮</w:t>
            </w:r>
            <w:r>
              <w:rPr>
                <w:rFonts w:hint="eastAsia"/>
                <w:color w:val="auto"/>
                <w:spacing w:val="-2"/>
                <w:sz w:val="21"/>
                <w:szCs w:val="21"/>
                <w:lang w:eastAsia="zh-CN"/>
              </w:rPr>
              <w:t>、</w:t>
            </w:r>
            <w:r>
              <w:rPr>
                <w:color w:val="auto"/>
                <w:spacing w:val="-2"/>
                <w:sz w:val="21"/>
                <w:szCs w:val="21"/>
              </w:rPr>
              <w:t>总磷</w:t>
            </w:r>
            <w:r>
              <w:rPr>
                <w:rFonts w:hint="eastAsia"/>
                <w:color w:val="auto"/>
                <w:spacing w:val="-2"/>
                <w:sz w:val="21"/>
                <w:szCs w:val="21"/>
                <w:lang w:eastAsia="zh-CN"/>
              </w:rPr>
              <w:t>、</w:t>
            </w:r>
            <w:r>
              <w:rPr>
                <w:rFonts w:hint="eastAsia"/>
                <w:color w:val="auto"/>
                <w:spacing w:val="-2"/>
                <w:sz w:val="21"/>
                <w:szCs w:val="21"/>
                <w:lang w:val="en-US" w:eastAsia="zh-CN"/>
              </w:rPr>
              <w:t>SS等</w:t>
            </w:r>
          </w:p>
        </w:tc>
        <w:tc>
          <w:tcPr>
            <w:tcW w:w="1641" w:type="dxa"/>
            <w:vAlign w:val="center"/>
          </w:tcPr>
          <w:p w14:paraId="23F25419">
            <w:pPr>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沉淀池（</w:t>
            </w:r>
            <w:r>
              <w:rPr>
                <w:rFonts w:hint="eastAsia"/>
                <w:color w:val="auto"/>
                <w:szCs w:val="21"/>
                <w:lang w:val="en-US" w:eastAsia="zh-CN"/>
              </w:rPr>
              <w:t>调节+气浮沉淀</w:t>
            </w:r>
            <w:r>
              <w:rPr>
                <w:rFonts w:hint="eastAsia"/>
                <w:bCs/>
                <w:color w:val="auto"/>
                <w:sz w:val="21"/>
                <w:szCs w:val="21"/>
                <w:lang w:val="en-US" w:eastAsia="zh-CN"/>
              </w:rPr>
              <w:t>）</w:t>
            </w:r>
          </w:p>
        </w:tc>
        <w:tc>
          <w:tcPr>
            <w:tcW w:w="1871" w:type="dxa"/>
            <w:vMerge w:val="restart"/>
            <w:vAlign w:val="center"/>
          </w:tcPr>
          <w:p w14:paraId="672B10B4">
            <w:pPr>
              <w:adjustRightInd w:val="0"/>
              <w:snapToGrid w:val="0"/>
              <w:jc w:val="center"/>
              <w:rPr>
                <w:bCs/>
                <w:color w:val="auto"/>
                <w:sz w:val="21"/>
                <w:szCs w:val="21"/>
              </w:rPr>
            </w:pPr>
            <w:r>
              <w:rPr>
                <w:rFonts w:hint="eastAsia"/>
                <w:bCs/>
                <w:color w:val="auto"/>
                <w:sz w:val="21"/>
                <w:szCs w:val="21"/>
                <w:lang w:eastAsia="zh-CN"/>
              </w:rPr>
              <w:t>《</w:t>
            </w:r>
            <w:r>
              <w:rPr>
                <w:rFonts w:hint="eastAsia"/>
                <w:bCs/>
                <w:color w:val="auto"/>
                <w:sz w:val="21"/>
                <w:szCs w:val="21"/>
              </w:rPr>
              <w:t>食品加工制造业水污染物排放标准》（GB 46817-2025）表1间接排放标准</w:t>
            </w:r>
            <w:r>
              <w:rPr>
                <w:rFonts w:hint="eastAsia"/>
                <w:bCs/>
                <w:color w:val="auto"/>
                <w:sz w:val="21"/>
                <w:szCs w:val="21"/>
                <w:lang w:eastAsia="zh-CN"/>
              </w:rPr>
              <w:t>、</w:t>
            </w:r>
            <w:r>
              <w:rPr>
                <w:rFonts w:hint="eastAsia"/>
                <w:bCs/>
                <w:color w:val="auto"/>
                <w:sz w:val="21"/>
                <w:szCs w:val="21"/>
              </w:rPr>
              <w:t>《污水综合排放标准》（GB8978-1996）三级标准，氨氮、总磷达到《污水排入城镇下水道水质标准》（GB/T31962-2015）B等级标准</w:t>
            </w:r>
          </w:p>
        </w:tc>
      </w:tr>
      <w:tr w14:paraId="2641B1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3" w:type="dxa"/>
            <w:vMerge w:val="continue"/>
            <w:vAlign w:val="center"/>
          </w:tcPr>
          <w:p w14:paraId="0D23CE05">
            <w:pPr>
              <w:adjustRightInd w:val="0"/>
              <w:snapToGrid w:val="0"/>
              <w:jc w:val="center"/>
              <w:rPr>
                <w:color w:val="auto"/>
                <w:sz w:val="21"/>
                <w:szCs w:val="21"/>
              </w:rPr>
            </w:pPr>
          </w:p>
        </w:tc>
        <w:tc>
          <w:tcPr>
            <w:tcW w:w="1870" w:type="dxa"/>
            <w:vAlign w:val="center"/>
          </w:tcPr>
          <w:p w14:paraId="7F57E451">
            <w:pPr>
              <w:adjustRightInd w:val="0"/>
              <w:snapToGrid w:val="0"/>
              <w:jc w:val="center"/>
              <w:rPr>
                <w:rFonts w:hint="eastAsia" w:eastAsia="宋体"/>
                <w:color w:val="auto"/>
                <w:sz w:val="21"/>
                <w:szCs w:val="21"/>
                <w:lang w:val="en-US" w:eastAsia="zh-CN"/>
              </w:rPr>
            </w:pPr>
            <w:r>
              <w:rPr>
                <w:rFonts w:hint="eastAsia"/>
                <w:color w:val="auto"/>
                <w:szCs w:val="21"/>
              </w:rPr>
              <w:t>CIP清洗系统设备清洗废水、化验室</w:t>
            </w:r>
            <w:r>
              <w:rPr>
                <w:rFonts w:hint="eastAsia"/>
                <w:color w:val="auto"/>
                <w:szCs w:val="21"/>
                <w:lang w:val="en-US" w:eastAsia="zh-CN"/>
              </w:rPr>
              <w:t>废水</w:t>
            </w:r>
          </w:p>
        </w:tc>
        <w:tc>
          <w:tcPr>
            <w:tcW w:w="1755" w:type="dxa"/>
            <w:vAlign w:val="center"/>
          </w:tcPr>
          <w:p w14:paraId="541F6F6C">
            <w:pPr>
              <w:adjustRightInd w:val="0"/>
              <w:snapToGrid w:val="0"/>
              <w:jc w:val="center"/>
              <w:rPr>
                <w:rFonts w:hint="eastAsia"/>
                <w:color w:val="auto"/>
                <w:sz w:val="21"/>
                <w:szCs w:val="21"/>
              </w:rPr>
            </w:pPr>
            <w:r>
              <w:rPr>
                <w:rFonts w:hint="eastAsia"/>
                <w:color w:val="auto"/>
                <w:sz w:val="21"/>
                <w:szCs w:val="21"/>
              </w:rPr>
              <w:t>COD、BOD</w:t>
            </w:r>
            <w:r>
              <w:rPr>
                <w:rFonts w:hint="eastAsia"/>
                <w:color w:val="auto"/>
                <w:sz w:val="21"/>
                <w:szCs w:val="21"/>
                <w:vertAlign w:val="subscript"/>
              </w:rPr>
              <w:t>5</w:t>
            </w:r>
            <w:r>
              <w:rPr>
                <w:rFonts w:hint="eastAsia"/>
                <w:color w:val="auto"/>
                <w:sz w:val="21"/>
                <w:szCs w:val="21"/>
                <w:vertAlign w:val="baseline"/>
                <w:lang w:eastAsia="zh-CN"/>
              </w:rPr>
              <w:t>、</w:t>
            </w:r>
            <w:r>
              <w:rPr>
                <w:color w:val="auto"/>
                <w:spacing w:val="-2"/>
                <w:sz w:val="21"/>
                <w:szCs w:val="21"/>
              </w:rPr>
              <w:t>氨氮</w:t>
            </w:r>
            <w:r>
              <w:rPr>
                <w:rFonts w:hint="eastAsia"/>
                <w:color w:val="auto"/>
                <w:spacing w:val="-2"/>
                <w:sz w:val="21"/>
                <w:szCs w:val="21"/>
                <w:lang w:eastAsia="zh-CN"/>
              </w:rPr>
              <w:t>、</w:t>
            </w:r>
            <w:r>
              <w:rPr>
                <w:color w:val="auto"/>
                <w:spacing w:val="-2"/>
                <w:sz w:val="21"/>
                <w:szCs w:val="21"/>
              </w:rPr>
              <w:t>总磷</w:t>
            </w:r>
            <w:r>
              <w:rPr>
                <w:rFonts w:hint="eastAsia"/>
                <w:color w:val="auto"/>
                <w:spacing w:val="-2"/>
                <w:sz w:val="21"/>
                <w:szCs w:val="21"/>
                <w:lang w:eastAsia="zh-CN"/>
              </w:rPr>
              <w:t>、</w:t>
            </w:r>
            <w:r>
              <w:rPr>
                <w:rFonts w:hint="eastAsia"/>
                <w:color w:val="auto"/>
                <w:spacing w:val="-2"/>
                <w:sz w:val="21"/>
                <w:szCs w:val="21"/>
                <w:lang w:val="en-US" w:eastAsia="zh-CN"/>
              </w:rPr>
              <w:t>SS等</w:t>
            </w:r>
          </w:p>
        </w:tc>
        <w:tc>
          <w:tcPr>
            <w:tcW w:w="1641" w:type="dxa"/>
            <w:vAlign w:val="center"/>
          </w:tcPr>
          <w:p w14:paraId="023E175B">
            <w:pPr>
              <w:adjustRightInd w:val="0"/>
              <w:snapToGrid w:val="0"/>
              <w:jc w:val="center"/>
              <w:rPr>
                <w:rFonts w:hint="eastAsia"/>
                <w:bCs/>
                <w:color w:val="auto"/>
                <w:sz w:val="21"/>
                <w:szCs w:val="21"/>
                <w:lang w:val="en-US" w:eastAsia="zh-CN"/>
              </w:rPr>
            </w:pPr>
            <w:r>
              <w:rPr>
                <w:rFonts w:hint="eastAsia"/>
                <w:bCs/>
                <w:color w:val="auto"/>
                <w:sz w:val="21"/>
                <w:szCs w:val="21"/>
                <w:lang w:val="en-US" w:eastAsia="zh-CN"/>
              </w:rPr>
              <w:t>自建一体化污水处理站</w:t>
            </w:r>
          </w:p>
        </w:tc>
        <w:tc>
          <w:tcPr>
            <w:tcW w:w="1871" w:type="dxa"/>
            <w:vMerge w:val="continue"/>
            <w:vAlign w:val="center"/>
          </w:tcPr>
          <w:p w14:paraId="087AF182">
            <w:pPr>
              <w:adjustRightInd w:val="0"/>
              <w:snapToGrid w:val="0"/>
              <w:jc w:val="center"/>
              <w:rPr>
                <w:bCs/>
                <w:color w:val="auto"/>
                <w:sz w:val="21"/>
                <w:szCs w:val="21"/>
              </w:rPr>
            </w:pPr>
          </w:p>
        </w:tc>
      </w:tr>
      <w:tr w14:paraId="48C9CE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3" w:type="dxa"/>
            <w:vAlign w:val="center"/>
          </w:tcPr>
          <w:p w14:paraId="369058B9">
            <w:pPr>
              <w:adjustRightInd w:val="0"/>
              <w:snapToGrid w:val="0"/>
              <w:jc w:val="center"/>
              <w:rPr>
                <w:color w:val="auto"/>
                <w:sz w:val="21"/>
                <w:szCs w:val="21"/>
              </w:rPr>
            </w:pPr>
            <w:r>
              <w:rPr>
                <w:color w:val="auto"/>
                <w:sz w:val="21"/>
                <w:szCs w:val="21"/>
              </w:rPr>
              <w:t>声环境</w:t>
            </w:r>
          </w:p>
        </w:tc>
        <w:tc>
          <w:tcPr>
            <w:tcW w:w="1870" w:type="dxa"/>
            <w:vAlign w:val="center"/>
          </w:tcPr>
          <w:p w14:paraId="0CFD4184">
            <w:pPr>
              <w:adjustRightInd w:val="0"/>
              <w:snapToGrid w:val="0"/>
              <w:jc w:val="center"/>
              <w:rPr>
                <w:bCs/>
                <w:color w:val="auto"/>
                <w:sz w:val="21"/>
                <w:szCs w:val="21"/>
              </w:rPr>
            </w:pPr>
            <w:r>
              <w:rPr>
                <w:bCs/>
                <w:color w:val="auto"/>
                <w:sz w:val="21"/>
                <w:szCs w:val="21"/>
              </w:rPr>
              <w:t>生产设备</w:t>
            </w:r>
          </w:p>
        </w:tc>
        <w:tc>
          <w:tcPr>
            <w:tcW w:w="1755" w:type="dxa"/>
            <w:vAlign w:val="center"/>
          </w:tcPr>
          <w:p w14:paraId="65894094">
            <w:pPr>
              <w:adjustRightInd w:val="0"/>
              <w:snapToGrid w:val="0"/>
              <w:jc w:val="center"/>
              <w:rPr>
                <w:bCs/>
                <w:color w:val="auto"/>
                <w:sz w:val="21"/>
                <w:szCs w:val="21"/>
              </w:rPr>
            </w:pPr>
            <w:r>
              <w:rPr>
                <w:bCs/>
                <w:color w:val="auto"/>
                <w:sz w:val="21"/>
                <w:szCs w:val="21"/>
              </w:rPr>
              <w:t>噪声</w:t>
            </w:r>
          </w:p>
        </w:tc>
        <w:tc>
          <w:tcPr>
            <w:tcW w:w="1641" w:type="dxa"/>
            <w:vAlign w:val="center"/>
          </w:tcPr>
          <w:p w14:paraId="53C46CF2">
            <w:pPr>
              <w:adjustRightInd w:val="0"/>
              <w:snapToGrid w:val="0"/>
              <w:jc w:val="center"/>
              <w:rPr>
                <w:rFonts w:hint="default" w:eastAsia="宋体"/>
                <w:bCs/>
                <w:color w:val="auto"/>
                <w:sz w:val="21"/>
                <w:szCs w:val="21"/>
                <w:lang w:val="en-US" w:eastAsia="zh-CN"/>
              </w:rPr>
            </w:pPr>
            <w:r>
              <w:rPr>
                <w:bCs/>
                <w:color w:val="auto"/>
                <w:sz w:val="21"/>
                <w:szCs w:val="21"/>
              </w:rPr>
              <w:t>加装减震垫</w:t>
            </w:r>
            <w:r>
              <w:rPr>
                <w:rFonts w:hint="eastAsia"/>
                <w:bCs/>
                <w:color w:val="auto"/>
                <w:sz w:val="21"/>
                <w:szCs w:val="21"/>
                <w:lang w:eastAsia="zh-CN"/>
              </w:rPr>
              <w:t>，</w:t>
            </w:r>
            <w:r>
              <w:rPr>
                <w:rFonts w:hint="eastAsia"/>
                <w:bCs/>
                <w:color w:val="auto"/>
                <w:sz w:val="21"/>
                <w:szCs w:val="21"/>
                <w:lang w:val="en-US" w:eastAsia="zh-CN"/>
              </w:rPr>
              <w:t>厂房隔声，风机消声</w:t>
            </w:r>
          </w:p>
        </w:tc>
        <w:tc>
          <w:tcPr>
            <w:tcW w:w="1871" w:type="dxa"/>
            <w:vAlign w:val="center"/>
          </w:tcPr>
          <w:p w14:paraId="6E2AE74B">
            <w:pPr>
              <w:adjustRightInd w:val="0"/>
              <w:snapToGrid w:val="0"/>
              <w:jc w:val="center"/>
              <w:rPr>
                <w:bCs/>
                <w:color w:val="auto"/>
                <w:sz w:val="21"/>
                <w:szCs w:val="21"/>
              </w:rPr>
            </w:pPr>
            <w:r>
              <w:rPr>
                <w:color w:val="auto"/>
                <w:sz w:val="21"/>
                <w:szCs w:val="21"/>
              </w:rPr>
              <w:t>《工业企业厂界环境噪声排放标准》（GB12348-2008）</w:t>
            </w:r>
            <w:r>
              <w:rPr>
                <w:rFonts w:hint="eastAsia"/>
                <w:color w:val="auto"/>
                <w:sz w:val="21"/>
                <w:szCs w:val="21"/>
                <w:lang w:val="en-US" w:eastAsia="zh-CN"/>
              </w:rPr>
              <w:t>3</w:t>
            </w:r>
            <w:r>
              <w:rPr>
                <w:color w:val="auto"/>
                <w:sz w:val="21"/>
                <w:szCs w:val="21"/>
              </w:rPr>
              <w:t>类标准</w:t>
            </w:r>
          </w:p>
        </w:tc>
      </w:tr>
      <w:tr w14:paraId="583329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3" w:type="dxa"/>
            <w:vAlign w:val="center"/>
          </w:tcPr>
          <w:p w14:paraId="6A85CBEE">
            <w:pPr>
              <w:adjustRightInd w:val="0"/>
              <w:snapToGrid w:val="0"/>
              <w:jc w:val="center"/>
              <w:rPr>
                <w:color w:val="auto"/>
                <w:sz w:val="21"/>
                <w:szCs w:val="21"/>
              </w:rPr>
            </w:pPr>
            <w:r>
              <w:rPr>
                <w:color w:val="auto"/>
                <w:sz w:val="21"/>
                <w:szCs w:val="21"/>
              </w:rPr>
              <w:t>电磁辐射</w:t>
            </w:r>
          </w:p>
        </w:tc>
        <w:tc>
          <w:tcPr>
            <w:tcW w:w="1870" w:type="dxa"/>
            <w:vAlign w:val="center"/>
          </w:tcPr>
          <w:p w14:paraId="161C3C28">
            <w:pPr>
              <w:adjustRightInd w:val="0"/>
              <w:snapToGrid w:val="0"/>
              <w:jc w:val="center"/>
              <w:rPr>
                <w:color w:val="auto"/>
                <w:sz w:val="21"/>
                <w:szCs w:val="21"/>
              </w:rPr>
            </w:pPr>
            <w:r>
              <w:rPr>
                <w:color w:val="auto"/>
                <w:sz w:val="21"/>
                <w:szCs w:val="21"/>
              </w:rPr>
              <w:t>/</w:t>
            </w:r>
          </w:p>
        </w:tc>
        <w:tc>
          <w:tcPr>
            <w:tcW w:w="1755" w:type="dxa"/>
            <w:vAlign w:val="center"/>
          </w:tcPr>
          <w:p w14:paraId="316870C0">
            <w:pPr>
              <w:adjustRightInd w:val="0"/>
              <w:snapToGrid w:val="0"/>
              <w:jc w:val="center"/>
              <w:rPr>
                <w:color w:val="auto"/>
                <w:sz w:val="21"/>
                <w:szCs w:val="21"/>
              </w:rPr>
            </w:pPr>
            <w:r>
              <w:rPr>
                <w:color w:val="auto"/>
                <w:sz w:val="21"/>
                <w:szCs w:val="21"/>
              </w:rPr>
              <w:t>/</w:t>
            </w:r>
          </w:p>
        </w:tc>
        <w:tc>
          <w:tcPr>
            <w:tcW w:w="1641" w:type="dxa"/>
            <w:vAlign w:val="center"/>
          </w:tcPr>
          <w:p w14:paraId="4BED3243">
            <w:pPr>
              <w:adjustRightInd w:val="0"/>
              <w:snapToGrid w:val="0"/>
              <w:jc w:val="center"/>
              <w:rPr>
                <w:color w:val="auto"/>
                <w:sz w:val="21"/>
                <w:szCs w:val="21"/>
              </w:rPr>
            </w:pPr>
            <w:r>
              <w:rPr>
                <w:color w:val="auto"/>
                <w:sz w:val="21"/>
                <w:szCs w:val="21"/>
              </w:rPr>
              <w:t>/</w:t>
            </w:r>
          </w:p>
        </w:tc>
        <w:tc>
          <w:tcPr>
            <w:tcW w:w="1871" w:type="dxa"/>
            <w:vAlign w:val="center"/>
          </w:tcPr>
          <w:p w14:paraId="16E2CA04">
            <w:pPr>
              <w:adjustRightInd w:val="0"/>
              <w:snapToGrid w:val="0"/>
              <w:jc w:val="center"/>
              <w:rPr>
                <w:color w:val="auto"/>
                <w:sz w:val="21"/>
                <w:szCs w:val="21"/>
              </w:rPr>
            </w:pPr>
            <w:r>
              <w:rPr>
                <w:color w:val="auto"/>
                <w:sz w:val="21"/>
                <w:szCs w:val="21"/>
              </w:rPr>
              <w:t>/</w:t>
            </w:r>
          </w:p>
        </w:tc>
      </w:tr>
      <w:tr w14:paraId="3FAFB8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1663" w:type="dxa"/>
            <w:vAlign w:val="center"/>
          </w:tcPr>
          <w:p w14:paraId="10FA3C28">
            <w:pPr>
              <w:adjustRightInd w:val="0"/>
              <w:snapToGrid w:val="0"/>
              <w:jc w:val="center"/>
              <w:rPr>
                <w:color w:val="auto"/>
                <w:sz w:val="21"/>
                <w:szCs w:val="21"/>
              </w:rPr>
            </w:pPr>
            <w:r>
              <w:rPr>
                <w:color w:val="auto"/>
                <w:sz w:val="21"/>
                <w:szCs w:val="21"/>
              </w:rPr>
              <w:t>固体废物</w:t>
            </w:r>
          </w:p>
        </w:tc>
        <w:tc>
          <w:tcPr>
            <w:tcW w:w="7137" w:type="dxa"/>
            <w:gridSpan w:val="4"/>
            <w:vAlign w:val="center"/>
          </w:tcPr>
          <w:p w14:paraId="4A4373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color w:val="auto"/>
                <w:sz w:val="21"/>
                <w:szCs w:val="21"/>
                <w:lang w:eastAsia="zh-CN"/>
              </w:rPr>
            </w:pPr>
            <w:r>
              <w:rPr>
                <w:rFonts w:hint="eastAsia"/>
                <w:color w:val="auto"/>
                <w:sz w:val="21"/>
                <w:szCs w:val="21"/>
                <w:lang w:val="en-US" w:eastAsia="zh-CN"/>
              </w:rPr>
              <w:t>①废果、废果皮、废核及废果渣日产日清，经统一收集后的废果、废果皮、废核及废果渣委托</w:t>
            </w:r>
            <w:r>
              <w:rPr>
                <w:rFonts w:hint="eastAsia" w:ascii="Times New Roman" w:hAnsi="Times New Roman" w:eastAsia="宋体"/>
                <w:bCs/>
                <w:color w:val="auto"/>
                <w:sz w:val="21"/>
                <w:szCs w:val="21"/>
                <w:lang w:val="en-US" w:eastAsia="zh-CN"/>
              </w:rPr>
              <w:t>云南元江牛歌有机肥有限公司</w:t>
            </w:r>
            <w:r>
              <w:rPr>
                <w:color w:val="auto"/>
                <w:sz w:val="21"/>
                <w:szCs w:val="21"/>
              </w:rPr>
              <w:t>进行处理</w:t>
            </w:r>
            <w:r>
              <w:rPr>
                <w:rFonts w:hint="eastAsia"/>
                <w:color w:val="auto"/>
                <w:sz w:val="21"/>
                <w:szCs w:val="21"/>
                <w:lang w:eastAsia="zh-CN"/>
              </w:rPr>
              <w:t>；</w:t>
            </w:r>
          </w:p>
          <w:p w14:paraId="63669A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color w:val="auto"/>
                <w:sz w:val="21"/>
                <w:szCs w:val="21"/>
                <w:lang w:eastAsia="zh-CN"/>
              </w:rPr>
            </w:pPr>
            <w:r>
              <w:rPr>
                <w:rFonts w:hint="eastAsia"/>
                <w:color w:val="auto"/>
                <w:sz w:val="21"/>
                <w:szCs w:val="21"/>
                <w:lang w:eastAsia="zh-CN"/>
              </w:rPr>
              <w:t>②</w:t>
            </w:r>
            <w:r>
              <w:rPr>
                <w:rFonts w:hint="eastAsia"/>
                <w:color w:val="auto"/>
                <w:sz w:val="21"/>
                <w:szCs w:val="21"/>
                <w:lang w:val="en-US" w:eastAsia="zh-CN"/>
              </w:rPr>
              <w:t>炉渣及除尘灰经袋装收集后定期外售肥料制作单位制作</w:t>
            </w:r>
            <w:r>
              <w:rPr>
                <w:rFonts w:hint="eastAsia"/>
                <w:color w:val="auto"/>
                <w:sz w:val="21"/>
                <w:szCs w:val="21"/>
              </w:rPr>
              <w:t>肥料</w:t>
            </w:r>
            <w:r>
              <w:rPr>
                <w:rFonts w:hint="eastAsia"/>
                <w:color w:val="auto"/>
                <w:sz w:val="21"/>
                <w:szCs w:val="21"/>
                <w:lang w:eastAsia="zh-CN"/>
              </w:rPr>
              <w:t>；</w:t>
            </w:r>
          </w:p>
          <w:p w14:paraId="4F59CA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color w:val="auto"/>
                <w:sz w:val="21"/>
                <w:szCs w:val="21"/>
                <w:lang w:val="en-US" w:eastAsia="zh-CN"/>
              </w:rPr>
            </w:pPr>
            <w:r>
              <w:rPr>
                <w:rFonts w:hint="eastAsia"/>
                <w:color w:val="auto"/>
                <w:sz w:val="21"/>
                <w:szCs w:val="21"/>
                <w:lang w:eastAsia="zh-CN"/>
              </w:rPr>
              <w:t>③</w:t>
            </w:r>
            <w:r>
              <w:rPr>
                <w:rFonts w:hint="eastAsia"/>
                <w:color w:val="auto"/>
                <w:sz w:val="21"/>
                <w:szCs w:val="21"/>
                <w:lang w:val="en-US" w:eastAsia="zh-CN"/>
              </w:rPr>
              <w:t>废培养基</w:t>
            </w:r>
            <w:r>
              <w:rPr>
                <w:rFonts w:hint="default"/>
                <w:color w:val="auto"/>
                <w:sz w:val="21"/>
                <w:szCs w:val="21"/>
                <w:lang w:val="en-US" w:eastAsia="zh-CN"/>
              </w:rPr>
              <w:t>经</w:t>
            </w:r>
            <w:r>
              <w:rPr>
                <w:rFonts w:hint="eastAsia"/>
                <w:color w:val="auto"/>
                <w:sz w:val="21"/>
                <w:szCs w:val="21"/>
                <w:lang w:val="en-US" w:eastAsia="zh-CN"/>
              </w:rPr>
              <w:t>高压</w:t>
            </w:r>
            <w:r>
              <w:rPr>
                <w:rFonts w:hint="default"/>
                <w:color w:val="auto"/>
                <w:sz w:val="21"/>
                <w:szCs w:val="21"/>
                <w:lang w:val="en-US" w:eastAsia="zh-CN"/>
              </w:rPr>
              <w:t>灭活后委托</w:t>
            </w:r>
            <w:r>
              <w:rPr>
                <w:rFonts w:hint="eastAsia"/>
                <w:color w:val="auto"/>
                <w:sz w:val="21"/>
                <w:szCs w:val="21"/>
                <w:lang w:val="en-US" w:eastAsia="zh-CN"/>
              </w:rPr>
              <w:t>环卫</w:t>
            </w:r>
            <w:r>
              <w:rPr>
                <w:rFonts w:hint="default"/>
                <w:color w:val="auto"/>
                <w:sz w:val="21"/>
                <w:szCs w:val="21"/>
                <w:lang w:val="en-US" w:eastAsia="zh-CN"/>
              </w:rPr>
              <w:t>部门定期清运处置</w:t>
            </w:r>
            <w:r>
              <w:rPr>
                <w:rFonts w:hint="eastAsia"/>
                <w:color w:val="auto"/>
                <w:sz w:val="21"/>
                <w:szCs w:val="21"/>
                <w:lang w:val="en-US" w:eastAsia="zh-CN"/>
              </w:rPr>
              <w:t>；</w:t>
            </w:r>
          </w:p>
          <w:p w14:paraId="60F51F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color w:val="auto"/>
                <w:sz w:val="21"/>
                <w:szCs w:val="21"/>
                <w:lang w:val="en-US" w:eastAsia="zh-CN"/>
              </w:rPr>
            </w:pPr>
            <w:r>
              <w:rPr>
                <w:rFonts w:hint="eastAsia"/>
                <w:color w:val="auto"/>
                <w:sz w:val="21"/>
                <w:szCs w:val="21"/>
                <w:lang w:val="en-US" w:eastAsia="zh-CN"/>
              </w:rPr>
              <w:t>④废反渗透膜由厂家回收处理；</w:t>
            </w:r>
          </w:p>
          <w:p w14:paraId="03E642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color w:val="auto"/>
                <w:sz w:val="21"/>
                <w:szCs w:val="21"/>
                <w:lang w:eastAsia="zh-CN"/>
              </w:rPr>
            </w:pPr>
            <w:r>
              <w:rPr>
                <w:rFonts w:hint="eastAsia"/>
                <w:color w:val="auto"/>
                <w:sz w:val="21"/>
                <w:szCs w:val="21"/>
                <w:lang w:val="en-US" w:eastAsia="zh-CN"/>
              </w:rPr>
              <w:t>⑤废包装材料经统一</w:t>
            </w:r>
            <w:r>
              <w:rPr>
                <w:color w:val="auto"/>
                <w:sz w:val="21"/>
                <w:szCs w:val="21"/>
              </w:rPr>
              <w:t>收集后</w:t>
            </w:r>
            <w:r>
              <w:rPr>
                <w:rFonts w:hint="eastAsia"/>
                <w:color w:val="auto"/>
                <w:sz w:val="21"/>
                <w:szCs w:val="21"/>
                <w:lang w:val="en-US" w:eastAsia="zh-CN"/>
              </w:rPr>
              <w:t>外售</w:t>
            </w:r>
            <w:r>
              <w:rPr>
                <w:color w:val="auto"/>
                <w:sz w:val="21"/>
                <w:szCs w:val="21"/>
              </w:rPr>
              <w:t>废旧物资收购站</w:t>
            </w:r>
            <w:r>
              <w:rPr>
                <w:rFonts w:hint="eastAsia"/>
                <w:color w:val="auto"/>
                <w:sz w:val="21"/>
                <w:szCs w:val="21"/>
                <w:lang w:eastAsia="zh-CN"/>
              </w:rPr>
              <w:t>；</w:t>
            </w:r>
          </w:p>
          <w:p w14:paraId="32B556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color w:val="auto"/>
                <w:sz w:val="21"/>
                <w:szCs w:val="21"/>
                <w:lang w:val="en-US" w:eastAsia="zh-CN"/>
              </w:rPr>
            </w:pPr>
            <w:r>
              <w:rPr>
                <w:rFonts w:hint="eastAsia"/>
                <w:color w:val="auto"/>
                <w:sz w:val="21"/>
                <w:szCs w:val="21"/>
                <w:lang w:val="en-US" w:eastAsia="zh-CN"/>
              </w:rPr>
              <w:t>⑥污水处理设施污泥委托环卫部门清掏、清运处置。</w:t>
            </w:r>
          </w:p>
          <w:p w14:paraId="630D8A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color w:val="auto"/>
                <w:sz w:val="21"/>
                <w:szCs w:val="21"/>
                <w:lang w:val="en-US" w:eastAsia="zh-CN"/>
              </w:rPr>
            </w:pPr>
            <w:r>
              <w:rPr>
                <w:rFonts w:hint="eastAsia"/>
                <w:color w:val="auto"/>
                <w:sz w:val="21"/>
                <w:szCs w:val="21"/>
                <w:lang w:val="en-US" w:eastAsia="zh-CN"/>
              </w:rPr>
              <w:t>⑦生活垃圾经垃圾桶收集后委托环卫部门定期清运处置；</w:t>
            </w:r>
          </w:p>
          <w:p w14:paraId="60699C8D">
            <w:pPr>
              <w:pStyle w:val="2"/>
              <w:keepNext w:val="0"/>
              <w:keepLines w:val="0"/>
              <w:pageBreakBefore w:val="0"/>
              <w:widowControl w:val="0"/>
              <w:kinsoku/>
              <w:wordWrap/>
              <w:overflowPunct/>
              <w:topLinePunct w:val="0"/>
              <w:autoSpaceDE/>
              <w:autoSpaceDN/>
              <w:bidi w:val="0"/>
              <w:spacing w:line="240" w:lineRule="auto"/>
              <w:ind w:firstLine="0" w:firstLineChars="0"/>
              <w:textAlignment w:val="auto"/>
              <w:rPr>
                <w:color w:val="auto"/>
                <w:sz w:val="21"/>
                <w:szCs w:val="21"/>
              </w:rPr>
            </w:pPr>
            <w:r>
              <w:rPr>
                <w:rFonts w:hint="eastAsia" w:ascii="宋体" w:hAnsi="宋体" w:cs="宋体"/>
                <w:color w:val="auto"/>
                <w:sz w:val="21"/>
                <w:szCs w:val="21"/>
                <w:lang w:val="en-US" w:eastAsia="zh-CN"/>
              </w:rPr>
              <w:t>⑧</w:t>
            </w:r>
            <w:r>
              <w:rPr>
                <w:rFonts w:hint="eastAsia"/>
                <w:color w:val="auto"/>
                <w:sz w:val="21"/>
                <w:szCs w:val="21"/>
                <w:lang w:val="en-US" w:eastAsia="zh-CN"/>
              </w:rPr>
              <w:t>项目废冷冻油</w:t>
            </w:r>
            <w:r>
              <w:rPr>
                <w:rFonts w:hint="eastAsia"/>
                <w:color w:val="auto"/>
                <w:kern w:val="0"/>
                <w:sz w:val="21"/>
                <w:szCs w:val="21"/>
                <w:lang w:eastAsia="zh-CN"/>
              </w:rPr>
              <w:t>、</w:t>
            </w:r>
            <w:r>
              <w:rPr>
                <w:rFonts w:hint="eastAsia"/>
                <w:color w:val="auto"/>
                <w:kern w:val="0"/>
                <w:sz w:val="21"/>
                <w:szCs w:val="21"/>
                <w:lang w:val="en-US" w:eastAsia="zh-CN"/>
              </w:rPr>
              <w:t>废包装桶暂存于危废贮存间</w:t>
            </w:r>
            <w:r>
              <w:rPr>
                <w:color w:val="auto"/>
                <w:kern w:val="0"/>
                <w:sz w:val="21"/>
                <w:szCs w:val="21"/>
              </w:rPr>
              <w:t>，</w:t>
            </w:r>
            <w:r>
              <w:rPr>
                <w:rFonts w:hint="eastAsia"/>
                <w:color w:val="auto"/>
                <w:kern w:val="0"/>
                <w:sz w:val="21"/>
                <w:szCs w:val="21"/>
                <w:lang w:val="en-US" w:eastAsia="zh-CN"/>
              </w:rPr>
              <w:t>定期委托有资质的单位清运处置。</w:t>
            </w:r>
          </w:p>
        </w:tc>
      </w:tr>
      <w:tr w14:paraId="5BE129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663" w:type="dxa"/>
            <w:vAlign w:val="center"/>
          </w:tcPr>
          <w:p w14:paraId="66D40217">
            <w:pPr>
              <w:adjustRightInd w:val="0"/>
              <w:snapToGrid w:val="0"/>
              <w:jc w:val="center"/>
              <w:rPr>
                <w:color w:val="auto"/>
                <w:sz w:val="21"/>
                <w:szCs w:val="21"/>
              </w:rPr>
            </w:pPr>
            <w:r>
              <w:rPr>
                <w:color w:val="auto"/>
                <w:sz w:val="21"/>
                <w:szCs w:val="21"/>
              </w:rPr>
              <w:t>土壤及地下水</w:t>
            </w:r>
          </w:p>
          <w:p w14:paraId="13D38E8C">
            <w:pPr>
              <w:adjustRightInd w:val="0"/>
              <w:snapToGrid w:val="0"/>
              <w:jc w:val="center"/>
              <w:rPr>
                <w:color w:val="auto"/>
                <w:sz w:val="21"/>
                <w:szCs w:val="21"/>
              </w:rPr>
            </w:pPr>
            <w:r>
              <w:rPr>
                <w:color w:val="auto"/>
                <w:sz w:val="21"/>
                <w:szCs w:val="21"/>
              </w:rPr>
              <w:t>污染防治措施</w:t>
            </w:r>
          </w:p>
        </w:tc>
        <w:tc>
          <w:tcPr>
            <w:tcW w:w="7137" w:type="dxa"/>
            <w:gridSpan w:val="4"/>
            <w:vAlign w:val="center"/>
          </w:tcPr>
          <w:p w14:paraId="71ABF10B">
            <w:pPr>
              <w:adjustRightInd w:val="0"/>
              <w:snapToGrid w:val="0"/>
              <w:jc w:val="left"/>
              <w:rPr>
                <w:rFonts w:hint="default" w:eastAsia="宋体"/>
                <w:color w:val="auto"/>
                <w:sz w:val="21"/>
                <w:szCs w:val="21"/>
                <w:lang w:val="en-US" w:eastAsia="zh-CN"/>
              </w:rPr>
            </w:pPr>
            <w:r>
              <w:rPr>
                <w:rFonts w:hint="eastAsia" w:ascii="Times New Roman" w:hAnsi="Times New Roman" w:eastAsia="宋体" w:cs="Times New Roman"/>
                <w:b w:val="0"/>
                <w:bCs/>
                <w:color w:val="auto"/>
                <w:kern w:val="2"/>
                <w:sz w:val="21"/>
                <w:szCs w:val="21"/>
                <w:highlight w:val="none"/>
                <w:lang w:val="en-US" w:eastAsia="zh-CN" w:bidi="ar-SA"/>
              </w:rPr>
              <w:t>危废贮存</w:t>
            </w:r>
            <w:r>
              <w:rPr>
                <w:rFonts w:hint="default" w:ascii="Times New Roman" w:hAnsi="Times New Roman" w:eastAsia="宋体" w:cs="Times New Roman"/>
                <w:b w:val="0"/>
                <w:bCs/>
                <w:color w:val="auto"/>
                <w:kern w:val="2"/>
                <w:sz w:val="21"/>
                <w:szCs w:val="21"/>
                <w:highlight w:val="none"/>
                <w:lang w:val="en-US" w:eastAsia="zh-CN" w:bidi="ar-SA"/>
              </w:rPr>
              <w:t>间按《危险废物贮存污染控制标准》（GB18597-2023）中贮存点要求进行建设，采取防风、防雨、防晒和防止危险废物流失、扬散等措施</w:t>
            </w:r>
            <w:r>
              <w:rPr>
                <w:rFonts w:hint="eastAsia" w:ascii="Times New Roman" w:hAnsi="Times New Roman" w:eastAsia="宋体" w:cs="Times New Roman"/>
                <w:b w:val="0"/>
                <w:bCs/>
                <w:color w:val="auto"/>
                <w:kern w:val="2"/>
                <w:sz w:val="21"/>
                <w:szCs w:val="21"/>
                <w:highlight w:val="none"/>
                <w:lang w:val="en-US" w:eastAsia="zh-CN" w:bidi="ar-SA"/>
              </w:rPr>
              <w:t>。危险废物</w:t>
            </w:r>
            <w:r>
              <w:rPr>
                <w:rFonts w:hint="default" w:ascii="Times New Roman" w:hAnsi="Times New Roman" w:eastAsia="宋体" w:cs="Times New Roman"/>
                <w:b w:val="0"/>
                <w:bCs/>
                <w:color w:val="auto"/>
                <w:kern w:val="2"/>
                <w:sz w:val="21"/>
                <w:szCs w:val="21"/>
                <w:highlight w:val="none"/>
                <w:lang w:val="en-US" w:eastAsia="zh-CN" w:bidi="ar-SA"/>
              </w:rPr>
              <w:t>委托有资质的危险废物处置单位清运处置。</w:t>
            </w:r>
            <w:r>
              <w:rPr>
                <w:rFonts w:hint="eastAsia" w:cs="Times New Roman"/>
                <w:b w:val="0"/>
                <w:bCs/>
                <w:color w:val="auto"/>
                <w:kern w:val="2"/>
                <w:sz w:val="21"/>
                <w:szCs w:val="21"/>
                <w:highlight w:val="none"/>
                <w:lang w:val="en-US" w:eastAsia="zh-CN" w:bidi="ar-SA"/>
              </w:rPr>
              <w:t>按照分区防渗要求对各区域进行防渗处理。</w:t>
            </w:r>
          </w:p>
        </w:tc>
      </w:tr>
      <w:tr w14:paraId="315D87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663" w:type="dxa"/>
            <w:vAlign w:val="center"/>
          </w:tcPr>
          <w:p w14:paraId="51F87F4D">
            <w:pPr>
              <w:adjustRightInd w:val="0"/>
              <w:snapToGrid w:val="0"/>
              <w:jc w:val="center"/>
              <w:rPr>
                <w:color w:val="auto"/>
                <w:sz w:val="21"/>
                <w:szCs w:val="21"/>
              </w:rPr>
            </w:pPr>
            <w:r>
              <w:rPr>
                <w:color w:val="auto"/>
                <w:sz w:val="21"/>
                <w:szCs w:val="21"/>
              </w:rPr>
              <w:t>生态保护措施</w:t>
            </w:r>
          </w:p>
        </w:tc>
        <w:tc>
          <w:tcPr>
            <w:tcW w:w="7137" w:type="dxa"/>
            <w:gridSpan w:val="4"/>
            <w:vAlign w:val="center"/>
          </w:tcPr>
          <w:p w14:paraId="2A43608B">
            <w:pPr>
              <w:adjustRightInd w:val="0"/>
              <w:snapToGrid w:val="0"/>
              <w:jc w:val="center"/>
              <w:rPr>
                <w:color w:val="auto"/>
                <w:sz w:val="21"/>
                <w:szCs w:val="21"/>
              </w:rPr>
            </w:pPr>
            <w:r>
              <w:rPr>
                <w:color w:val="auto"/>
                <w:sz w:val="21"/>
                <w:szCs w:val="21"/>
              </w:rPr>
              <w:t>/</w:t>
            </w:r>
          </w:p>
        </w:tc>
      </w:tr>
      <w:tr w14:paraId="494F80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663" w:type="dxa"/>
            <w:vAlign w:val="center"/>
          </w:tcPr>
          <w:p w14:paraId="58737C17">
            <w:pPr>
              <w:adjustRightInd w:val="0"/>
              <w:snapToGrid w:val="0"/>
              <w:jc w:val="center"/>
              <w:rPr>
                <w:color w:val="auto"/>
                <w:spacing w:val="-8"/>
                <w:sz w:val="21"/>
                <w:szCs w:val="21"/>
              </w:rPr>
            </w:pPr>
            <w:r>
              <w:rPr>
                <w:color w:val="auto"/>
                <w:spacing w:val="-8"/>
                <w:sz w:val="21"/>
                <w:szCs w:val="21"/>
              </w:rPr>
              <w:t>环境风险</w:t>
            </w:r>
          </w:p>
          <w:p w14:paraId="7B75D894">
            <w:pPr>
              <w:adjustRightInd w:val="0"/>
              <w:snapToGrid w:val="0"/>
              <w:jc w:val="center"/>
              <w:rPr>
                <w:color w:val="auto"/>
                <w:spacing w:val="-8"/>
                <w:sz w:val="21"/>
                <w:szCs w:val="21"/>
              </w:rPr>
            </w:pPr>
            <w:r>
              <w:rPr>
                <w:color w:val="auto"/>
                <w:spacing w:val="-8"/>
                <w:sz w:val="21"/>
                <w:szCs w:val="21"/>
              </w:rPr>
              <w:t>防范措施</w:t>
            </w:r>
          </w:p>
        </w:tc>
        <w:tc>
          <w:tcPr>
            <w:tcW w:w="7137" w:type="dxa"/>
            <w:gridSpan w:val="4"/>
            <w:vAlign w:val="center"/>
          </w:tcPr>
          <w:p w14:paraId="24B23BB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1）危险废物贮存及转运环境风险防范措施</w:t>
            </w:r>
          </w:p>
          <w:p w14:paraId="46867481">
            <w:pPr>
              <w:pStyle w:val="46"/>
              <w:keepNext w:val="0"/>
              <w:keepLines w:val="0"/>
              <w:pageBreakBefore w:val="0"/>
              <w:kinsoku/>
              <w:wordWrap/>
              <w:overflowPunct/>
              <w:topLinePunct w:val="0"/>
              <w:autoSpaceDE/>
              <w:autoSpaceDN/>
              <w:bidi w:val="0"/>
              <w:adjustRightInd w:val="0"/>
              <w:snapToGrid w:val="0"/>
              <w:spacing w:before="0" w:beforeLines="0" w:line="240" w:lineRule="auto"/>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①按照《危险废物管理计划和管理台账制定技术导则》制定《危险废物管理计划》，建立危废管理全过程的责任制度，并在显著位置张贴危废防治责任信息</w:t>
            </w:r>
            <w:r>
              <w:rPr>
                <w:rFonts w:hint="eastAsia" w:cs="Times New Roman"/>
                <w:color w:val="auto"/>
                <w:sz w:val="21"/>
                <w:szCs w:val="21"/>
                <w:highlight w:val="none"/>
                <w:lang w:val="en-US" w:eastAsia="zh-CN"/>
              </w:rPr>
              <w:t>；</w:t>
            </w:r>
          </w:p>
          <w:p w14:paraId="4376D54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②建立危险废物管理台账，如实记录</w:t>
            </w:r>
            <w:r>
              <w:rPr>
                <w:rFonts w:hint="default" w:ascii="Times New Roman" w:hAnsi="Times New Roman" w:cs="Times New Roman"/>
                <w:color w:val="auto"/>
                <w:sz w:val="21"/>
                <w:szCs w:val="21"/>
                <w:highlight w:val="none"/>
                <w:lang w:val="en-US" w:eastAsia="zh-CN"/>
              </w:rPr>
              <w:t>危险废物产生、入库、出库、自行利用处置等各环节危险废物在企业内部流转情况</w:t>
            </w:r>
            <w:r>
              <w:rPr>
                <w:rFonts w:hint="default" w:ascii="Times New Roman" w:hAnsi="Times New Roman" w:eastAsia="宋体" w:cs="Times New Roman"/>
                <w:color w:val="auto"/>
                <w:sz w:val="21"/>
                <w:szCs w:val="21"/>
                <w:highlight w:val="none"/>
                <w:lang w:val="en-US" w:eastAsia="zh-CN"/>
              </w:rPr>
              <w:t>，台账形式包括电子管理台账和纸质管理台账，台账保存时间不少于5年</w:t>
            </w:r>
            <w:r>
              <w:rPr>
                <w:rFonts w:hint="eastAsia" w:eastAsia="宋体" w:cs="Times New Roman"/>
                <w:color w:val="auto"/>
                <w:sz w:val="21"/>
                <w:szCs w:val="21"/>
                <w:highlight w:val="none"/>
                <w:lang w:val="en-US" w:eastAsia="zh-CN"/>
              </w:rPr>
              <w:t>；</w:t>
            </w:r>
          </w:p>
          <w:p w14:paraId="5AC3935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③</w:t>
            </w:r>
            <w:r>
              <w:rPr>
                <w:rFonts w:hint="default" w:ascii="Times New Roman" w:hAnsi="Times New Roman" w:cs="Times New Roman"/>
                <w:color w:val="auto"/>
                <w:sz w:val="21"/>
                <w:szCs w:val="21"/>
                <w:highlight w:val="none"/>
              </w:rPr>
              <w:t>按《危险废物贮存污染控制标准》（GB18597-20</w:t>
            </w:r>
            <w:r>
              <w:rPr>
                <w:rFonts w:hint="default" w:ascii="Times New Roman" w:hAnsi="Times New Roman" w:cs="Times New Roman"/>
                <w:color w:val="auto"/>
                <w:sz w:val="21"/>
                <w:szCs w:val="21"/>
                <w:highlight w:val="none"/>
                <w:lang w:val="en-US" w:eastAsia="zh-CN"/>
              </w:rPr>
              <w:t>23</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要求</w:t>
            </w:r>
            <w:r>
              <w:rPr>
                <w:rFonts w:hint="default" w:ascii="Times New Roman" w:hAnsi="Times New Roman" w:cs="Times New Roman"/>
                <w:color w:val="auto"/>
                <w:sz w:val="21"/>
                <w:szCs w:val="21"/>
                <w:highlight w:val="none"/>
              </w:rPr>
              <w:t>建设</w:t>
            </w:r>
            <w:r>
              <w:rPr>
                <w:rFonts w:hint="eastAsia" w:ascii="Times New Roman" w:hAnsi="Times New Roman" w:cs="Times New Roman"/>
                <w:color w:val="auto"/>
                <w:sz w:val="21"/>
                <w:szCs w:val="21"/>
                <w:highlight w:val="none"/>
                <w:lang w:eastAsia="zh-CN"/>
              </w:rPr>
              <w:t>危险废物贮存间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落实防风、防雨、防晒、防漏、防渗、防腐等要求</w:t>
            </w:r>
            <w:r>
              <w:rPr>
                <w:rFonts w:hint="eastAsia" w:cs="Times New Roman"/>
                <w:color w:val="auto"/>
                <w:sz w:val="21"/>
                <w:szCs w:val="21"/>
                <w:highlight w:val="none"/>
                <w:lang w:eastAsia="zh-CN"/>
              </w:rPr>
              <w:t>；</w:t>
            </w:r>
          </w:p>
          <w:p w14:paraId="7402233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④</w:t>
            </w:r>
            <w:r>
              <w:rPr>
                <w:rFonts w:hint="default" w:ascii="Times New Roman" w:hAnsi="Times New Roman" w:cs="Times New Roman"/>
                <w:color w:val="auto"/>
                <w:sz w:val="21"/>
                <w:szCs w:val="21"/>
                <w:highlight w:val="none"/>
                <w:lang w:val="en-US" w:eastAsia="zh-CN"/>
              </w:rPr>
              <w:t>使用容器盛</w:t>
            </w:r>
            <w:r>
              <w:rPr>
                <w:rFonts w:hint="eastAsia" w:cs="Times New Roman"/>
                <w:color w:val="auto"/>
                <w:sz w:val="21"/>
                <w:szCs w:val="21"/>
                <w:highlight w:val="none"/>
                <w:lang w:val="en-US" w:eastAsia="zh-CN"/>
              </w:rPr>
              <w:t>放</w:t>
            </w:r>
            <w:r>
              <w:rPr>
                <w:rFonts w:hint="default" w:ascii="Times New Roman" w:hAnsi="Times New Roman" w:cs="Times New Roman"/>
                <w:color w:val="auto"/>
                <w:sz w:val="21"/>
                <w:szCs w:val="21"/>
                <w:highlight w:val="none"/>
                <w:lang w:val="en-US" w:eastAsia="zh-CN"/>
              </w:rPr>
              <w:t>废</w:t>
            </w:r>
            <w:r>
              <w:rPr>
                <w:rFonts w:hint="eastAsia" w:cs="Times New Roman"/>
                <w:color w:val="auto"/>
                <w:sz w:val="21"/>
                <w:szCs w:val="21"/>
                <w:highlight w:val="none"/>
                <w:lang w:val="en-US" w:eastAsia="zh-CN"/>
              </w:rPr>
              <w:t>矿物</w:t>
            </w:r>
            <w:r>
              <w:rPr>
                <w:rFonts w:hint="default" w:ascii="Times New Roman" w:hAnsi="Times New Roman" w:cs="Times New Roman"/>
                <w:color w:val="auto"/>
                <w:sz w:val="21"/>
                <w:szCs w:val="21"/>
                <w:highlight w:val="none"/>
                <w:lang w:val="en-US" w:eastAsia="zh-CN"/>
              </w:rPr>
              <w:t>油时，容器内部应留有适当的空间，以适应因温度变化等可能引发的收缩和膨胀，防止其导致容器渗漏或永久变形</w:t>
            </w:r>
            <w:r>
              <w:rPr>
                <w:rFonts w:hint="eastAsia" w:cs="Times New Roman"/>
                <w:color w:val="auto"/>
                <w:sz w:val="21"/>
                <w:szCs w:val="21"/>
                <w:highlight w:val="none"/>
                <w:lang w:val="en-US" w:eastAsia="zh-CN"/>
              </w:rPr>
              <w:t>；</w:t>
            </w:r>
          </w:p>
          <w:p w14:paraId="38D131FC">
            <w:pPr>
              <w:keepNext w:val="0"/>
              <w:keepLines w:val="0"/>
              <w:pageBreakBefore w:val="0"/>
              <w:kinsoku/>
              <w:wordWrap/>
              <w:overflowPunct/>
              <w:topLinePunct w:val="0"/>
              <w:autoSpaceDE/>
              <w:autoSpaceDN/>
              <w:bidi w:val="0"/>
              <w:adjustRightInd w:val="0"/>
              <w:snapToGrid w:val="0"/>
              <w:spacing w:beforeAutospacing="0" w:afterAutospacing="0" w:line="240" w:lineRule="auto"/>
              <w:ind w:left="0"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lang w:val="en-US" w:eastAsia="zh-CN"/>
              </w:rPr>
              <w:t>危险废物产生单位应当按照《国家危险废物名录（202</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年版）》确定危险废物对应危险废物的类别、项别、编号等，并委托具备相应危险货物运输资质的单位承运危险废物，依法签订运输合同</w:t>
            </w:r>
            <w:r>
              <w:rPr>
                <w:rFonts w:hint="eastAsia"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装载危险废物时，</w:t>
            </w:r>
            <w:r>
              <w:rPr>
                <w:rFonts w:hint="default" w:ascii="Times New Roman" w:hAnsi="Times New Roman" w:eastAsia="宋体" w:cs="Times New Roman"/>
                <w:color w:val="auto"/>
                <w:sz w:val="21"/>
                <w:szCs w:val="21"/>
                <w:highlight w:val="none"/>
                <w:lang w:val="en-US" w:eastAsia="zh-CN"/>
              </w:rPr>
              <w:t>危险废物产生单位</w:t>
            </w:r>
            <w:r>
              <w:rPr>
                <w:rFonts w:hint="default" w:ascii="Times New Roman" w:hAnsi="Times New Roman" w:cs="Times New Roman"/>
                <w:color w:val="auto"/>
                <w:sz w:val="21"/>
                <w:szCs w:val="21"/>
                <w:highlight w:val="none"/>
                <w:lang w:val="en-US" w:eastAsia="zh-CN"/>
              </w:rPr>
              <w:t>应当核实运输单位、运输工具及收运人员是否具有相应经营范围的有效危险货物运输许可证件，以及待转移的危险废物识别标志中的相关信息与危险废物转移联单是否相符。</w:t>
            </w:r>
          </w:p>
          <w:p w14:paraId="42F3E49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2）酸液间、碱液间风险防范措施</w:t>
            </w:r>
          </w:p>
          <w:p w14:paraId="115DD2E4">
            <w:pPr>
              <w:spacing w:beforeLines="0" w:afterLines="0"/>
              <w:jc w:val="left"/>
              <w:rPr>
                <w:rFonts w:hint="eastAsia" w:eastAsia="宋体" w:cs="Times New Roman"/>
                <w:color w:val="auto"/>
                <w:sz w:val="21"/>
                <w:szCs w:val="21"/>
                <w:highlight w:val="none"/>
                <w:lang w:val="en-US" w:eastAsia="zh-CN"/>
              </w:rPr>
            </w:pPr>
            <w:r>
              <w:rPr>
                <w:rFonts w:hint="eastAsia" w:ascii="宋体" w:hAnsi="宋体" w:eastAsia="宋体"/>
                <w:color w:val="auto"/>
                <w:sz w:val="21"/>
                <w:szCs w:val="21"/>
                <w:lang w:val="en-US" w:eastAsia="zh-CN"/>
              </w:rPr>
              <w:t>①</w:t>
            </w:r>
            <w:r>
              <w:rPr>
                <w:rFonts w:hint="eastAsia" w:ascii="宋体" w:hAnsi="宋体" w:eastAsia="宋体"/>
                <w:color w:val="auto"/>
                <w:sz w:val="21"/>
                <w:szCs w:val="21"/>
              </w:rPr>
              <w:t>酸液间、碱液间进行防渗漏、防腐处理</w:t>
            </w:r>
            <w:r>
              <w:rPr>
                <w:rFonts w:hint="eastAsia" w:ascii="宋体" w:hAnsi="宋体" w:eastAsia="宋体"/>
                <w:color w:val="auto"/>
                <w:sz w:val="21"/>
                <w:szCs w:val="21"/>
                <w:lang w:eastAsia="zh-CN"/>
              </w:rPr>
              <w:t>；</w:t>
            </w:r>
          </w:p>
          <w:p w14:paraId="447DCBF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②应根据储存物品的特性进行储存，一般应保证储存保持阴凉、干燥、无火源、热源、通风良好、阳光不直射、不受水害，并能防止动物进入，分隔可靠，堆放稳固。</w:t>
            </w:r>
          </w:p>
          <w:p w14:paraId="42C0068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3）火灾事故防范措施</w:t>
            </w:r>
          </w:p>
          <w:p w14:paraId="7C0432C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①完善设施加强保养维护。在消防设计、布局方面要防患于未然，严格按照消防法的规定，尤其是厂房内要做到配套完善，如消防栓、消防水管、消防水源、应急通道等；</w:t>
            </w:r>
          </w:p>
          <w:p w14:paraId="1701EC9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②合理安排、处理建筑物所需冷源、电源灯相关设施的安全防灾问题。消防用电设备的电气线应与非消防用电设备电线分开设置，为火灾时及时切断非消防用电设备电源和防止火灾蔓延、减少损失以及消防扑救与安全救灾创造必要条件；</w:t>
            </w:r>
          </w:p>
          <w:p w14:paraId="4CD5B9C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③加强消防安全教育，提高对消防安全工作重要性的认识，建立健全防火责任制度，加强安全教育。</w:t>
            </w:r>
          </w:p>
          <w:p w14:paraId="16524D9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）其他环境风险防范措施</w:t>
            </w:r>
          </w:p>
          <w:p w14:paraId="319C1F4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①定期对生产设备进行检查；</w:t>
            </w:r>
          </w:p>
          <w:p w14:paraId="7155491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②生产过程中，具有上岗资质的操作工人在线监管；</w:t>
            </w:r>
          </w:p>
          <w:p w14:paraId="5591A80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③</w:t>
            </w:r>
            <w:r>
              <w:rPr>
                <w:rFonts w:hint="eastAsia" w:ascii="Times New Roman" w:hAnsi="Times New Roman" w:eastAsia="宋体" w:cs="Times New Roman"/>
                <w:color w:val="auto"/>
                <w:sz w:val="21"/>
                <w:szCs w:val="21"/>
                <w:highlight w:val="none"/>
                <w:lang w:val="en-US" w:eastAsia="zh-CN"/>
              </w:rPr>
              <w:t>建立“源</w:t>
            </w:r>
            <w:r>
              <w:rPr>
                <w:rFonts w:hint="default" w:ascii="Times New Roman" w:hAnsi="Times New Roman" w:eastAsia="宋体" w:cs="Times New Roman"/>
                <w:color w:val="auto"/>
                <w:sz w:val="21"/>
                <w:szCs w:val="21"/>
                <w:highlight w:val="none"/>
                <w:lang w:val="en-US" w:eastAsia="zh-CN"/>
              </w:rPr>
              <w:t>头、过程、末端</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三级预防与防控体系</w:t>
            </w:r>
            <w:r>
              <w:rPr>
                <w:rFonts w:hint="eastAsia" w:ascii="Times New Roman" w:hAnsi="Times New Roman" w:eastAsia="宋体" w:cs="Times New Roman"/>
                <w:color w:val="auto"/>
                <w:sz w:val="21"/>
                <w:szCs w:val="21"/>
                <w:highlight w:val="none"/>
                <w:lang w:val="en-US" w:eastAsia="zh-CN"/>
              </w:rPr>
              <w:t>；</w:t>
            </w:r>
          </w:p>
          <w:p w14:paraId="1F0297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④配备</w:t>
            </w:r>
            <w:r>
              <w:rPr>
                <w:rFonts w:hint="default" w:ascii="Times New Roman" w:hAnsi="Times New Roman" w:cs="Times New Roman"/>
                <w:color w:val="auto"/>
                <w:sz w:val="21"/>
                <w:szCs w:val="21"/>
                <w:highlight w:val="none"/>
              </w:rPr>
              <w:t>防护服、防护口罩、堵漏器材</w:t>
            </w:r>
            <w:r>
              <w:rPr>
                <w:rFonts w:hint="eastAsia" w:cs="Times New Roman"/>
                <w:color w:val="auto"/>
                <w:sz w:val="21"/>
                <w:szCs w:val="21"/>
                <w:highlight w:val="none"/>
                <w:lang w:val="en-US" w:eastAsia="zh-CN"/>
              </w:rPr>
              <w:t>等应急物资</w:t>
            </w:r>
            <w:r>
              <w:rPr>
                <w:rFonts w:hint="eastAsia" w:cs="Times New Roman"/>
                <w:color w:val="auto"/>
                <w:sz w:val="21"/>
                <w:szCs w:val="21"/>
                <w:highlight w:val="none"/>
                <w:lang w:eastAsia="zh-CN"/>
              </w:rPr>
              <w:t>；</w:t>
            </w:r>
          </w:p>
          <w:p w14:paraId="00BD3B8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eastAsia="宋体"/>
                <w:color w:val="auto"/>
                <w:sz w:val="21"/>
                <w:szCs w:val="21"/>
                <w:lang w:val="en-US" w:eastAsia="zh-CN"/>
              </w:rPr>
            </w:pPr>
            <w:r>
              <w:rPr>
                <w:rFonts w:hint="eastAsia" w:cs="Times New Roman"/>
                <w:color w:val="auto"/>
                <w:sz w:val="21"/>
                <w:szCs w:val="21"/>
                <w:highlight w:val="none"/>
                <w:lang w:val="en-US" w:eastAsia="zh-CN"/>
              </w:rPr>
              <w:t>⑤修编</w:t>
            </w:r>
            <w:r>
              <w:rPr>
                <w:rFonts w:hint="eastAsia" w:ascii="Times New Roman" w:hAnsi="Times New Roman" w:eastAsia="宋体" w:cs="Times New Roman"/>
                <w:color w:val="auto"/>
                <w:sz w:val="21"/>
                <w:szCs w:val="21"/>
                <w:highlight w:val="none"/>
                <w:lang w:val="en-US" w:eastAsia="zh-CN"/>
              </w:rPr>
              <w:t>《突发环境事件应急预案》，</w:t>
            </w:r>
            <w:r>
              <w:rPr>
                <w:rFonts w:hint="eastAsia" w:cs="Times New Roman"/>
                <w:color w:val="auto"/>
                <w:sz w:val="21"/>
                <w:szCs w:val="21"/>
                <w:highlight w:val="none"/>
                <w:lang w:val="en-US" w:eastAsia="zh-CN"/>
              </w:rPr>
              <w:t>报生态环境部门</w:t>
            </w:r>
            <w:r>
              <w:rPr>
                <w:rFonts w:hint="eastAsia" w:ascii="Times New Roman" w:hAnsi="Times New Roman" w:eastAsia="宋体" w:cs="Times New Roman"/>
                <w:color w:val="auto"/>
                <w:sz w:val="21"/>
                <w:szCs w:val="21"/>
                <w:highlight w:val="none"/>
                <w:lang w:val="en-US" w:eastAsia="zh-CN"/>
              </w:rPr>
              <w:t>备案</w:t>
            </w:r>
            <w:r>
              <w:rPr>
                <w:rFonts w:hint="eastAsia" w:cs="Times New Roman"/>
                <w:color w:val="auto"/>
                <w:sz w:val="21"/>
                <w:szCs w:val="21"/>
                <w:highlight w:val="none"/>
                <w:lang w:val="en-US" w:eastAsia="zh-CN"/>
              </w:rPr>
              <w:t>，并适时开展应急演练</w:t>
            </w:r>
            <w:r>
              <w:rPr>
                <w:rFonts w:hint="eastAsia" w:ascii="Times New Roman" w:hAnsi="Times New Roman" w:eastAsia="宋体" w:cs="Times New Roman"/>
                <w:color w:val="auto"/>
                <w:sz w:val="21"/>
                <w:szCs w:val="21"/>
                <w:highlight w:val="none"/>
                <w:lang w:val="en-US" w:eastAsia="zh-CN"/>
              </w:rPr>
              <w:t>。</w:t>
            </w:r>
          </w:p>
        </w:tc>
      </w:tr>
      <w:tr w14:paraId="50450D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663" w:type="dxa"/>
            <w:vAlign w:val="center"/>
          </w:tcPr>
          <w:p w14:paraId="541FE890">
            <w:pPr>
              <w:adjustRightInd w:val="0"/>
              <w:snapToGrid w:val="0"/>
              <w:jc w:val="center"/>
              <w:rPr>
                <w:color w:val="auto"/>
                <w:spacing w:val="-8"/>
                <w:sz w:val="21"/>
                <w:szCs w:val="21"/>
              </w:rPr>
            </w:pPr>
            <w:r>
              <w:rPr>
                <w:color w:val="auto"/>
                <w:spacing w:val="-8"/>
                <w:sz w:val="21"/>
                <w:szCs w:val="21"/>
              </w:rPr>
              <w:t>其他环境</w:t>
            </w:r>
          </w:p>
          <w:p w14:paraId="67A04144">
            <w:pPr>
              <w:adjustRightInd w:val="0"/>
              <w:snapToGrid w:val="0"/>
              <w:jc w:val="center"/>
              <w:rPr>
                <w:color w:val="auto"/>
                <w:spacing w:val="-8"/>
                <w:sz w:val="21"/>
                <w:szCs w:val="21"/>
              </w:rPr>
            </w:pPr>
            <w:r>
              <w:rPr>
                <w:color w:val="auto"/>
                <w:spacing w:val="-8"/>
                <w:sz w:val="21"/>
                <w:szCs w:val="21"/>
              </w:rPr>
              <w:t>管理要求</w:t>
            </w:r>
          </w:p>
        </w:tc>
        <w:tc>
          <w:tcPr>
            <w:tcW w:w="7137" w:type="dxa"/>
            <w:gridSpan w:val="4"/>
            <w:vAlign w:val="center"/>
          </w:tcPr>
          <w:p w14:paraId="3D7D7338">
            <w:pPr>
              <w:adjustRightInd w:val="0"/>
              <w:snapToGrid w:val="0"/>
              <w:jc w:val="left"/>
              <w:rPr>
                <w:rFonts w:hint="eastAsia"/>
                <w:color w:val="auto"/>
                <w:sz w:val="21"/>
                <w:szCs w:val="21"/>
              </w:rPr>
            </w:pPr>
            <w:r>
              <w:rPr>
                <w:rFonts w:hint="eastAsia"/>
                <w:color w:val="auto"/>
                <w:sz w:val="21"/>
                <w:szCs w:val="21"/>
              </w:rPr>
              <w:t>①根据《固定污染源排污许可分类管理名录（2019年版）》执行相关排污管理。</w:t>
            </w:r>
          </w:p>
          <w:p w14:paraId="440F9971">
            <w:pPr>
              <w:pStyle w:val="1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②根据《建设项目竣工环境保护验收暂行办法》的规定，建设项目竣工后，建设单位应当如实查验、监测、记载建设项目环境保护设施的建设和调试情况，编制验收监测报告。</w:t>
            </w:r>
          </w:p>
        </w:tc>
      </w:tr>
    </w:tbl>
    <w:p w14:paraId="6704C55A">
      <w:pPr>
        <w:pStyle w:val="19"/>
        <w:jc w:val="center"/>
        <w:outlineLvl w:val="0"/>
        <w:rPr>
          <w:rFonts w:ascii="Times New Roman" w:hAnsi="Times New Roman" w:eastAsia="黑体" w:cs="Times New Roman"/>
          <w:snapToGrid w:val="0"/>
          <w:color w:val="auto"/>
          <w:sz w:val="30"/>
          <w:szCs w:val="30"/>
        </w:rPr>
      </w:pPr>
      <w:r>
        <w:rPr>
          <w:rFonts w:ascii="Times New Roman" w:hAnsi="Times New Roman" w:cs="Times New Roman"/>
          <w:snapToGrid w:val="0"/>
          <w:color w:val="auto"/>
        </w:rPr>
        <w:br w:type="page"/>
      </w:r>
      <w:bookmarkStart w:id="95" w:name="_Toc12959"/>
      <w:r>
        <w:rPr>
          <w:rFonts w:ascii="Times New Roman" w:hAnsi="Times New Roman" w:eastAsia="黑体" w:cs="Times New Roman"/>
          <w:snapToGrid w:val="0"/>
          <w:color w:val="auto"/>
          <w:sz w:val="30"/>
          <w:szCs w:val="30"/>
        </w:rPr>
        <w:t>六、结论</w:t>
      </w:r>
      <w:bookmarkEnd w:id="95"/>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131BA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14:paraId="34D62779">
            <w:pPr>
              <w:adjustRightInd w:val="0"/>
              <w:snapToGrid w:val="0"/>
              <w:spacing w:line="360" w:lineRule="auto"/>
              <w:ind w:firstLine="480" w:firstLineChars="200"/>
              <w:jc w:val="both"/>
              <w:rPr>
                <w:rFonts w:ascii="Times New Roman" w:hAnsi="Times New Roman"/>
                <w:color w:val="auto"/>
              </w:rPr>
            </w:pPr>
            <w:r>
              <w:rPr>
                <w:rFonts w:hint="default"/>
                <w:color w:val="auto"/>
                <w:sz w:val="24"/>
                <w:szCs w:val="24"/>
              </w:rPr>
              <w:t>本项目建设符合国家产业政策及相关规划、选址合理。项目产生的环境影响因素包括废气、废水、噪声、固废等，在采取必要的防治措施后，可以得到有效控制，满足国家控制标准，不会对周围环境产生显著的影响。项目在建设过程中严格按</w:t>
            </w:r>
            <w:r>
              <w:rPr>
                <w:rFonts w:hint="eastAsia"/>
                <w:color w:val="auto"/>
                <w:sz w:val="24"/>
                <w:szCs w:val="24"/>
                <w:lang w:eastAsia="zh-CN"/>
              </w:rPr>
              <w:t>“</w:t>
            </w:r>
            <w:r>
              <w:rPr>
                <w:rFonts w:hint="default"/>
                <w:color w:val="auto"/>
                <w:sz w:val="24"/>
                <w:szCs w:val="24"/>
              </w:rPr>
              <w:t>三同时</w:t>
            </w:r>
            <w:r>
              <w:rPr>
                <w:rFonts w:hint="eastAsia"/>
                <w:color w:val="auto"/>
                <w:sz w:val="24"/>
                <w:szCs w:val="24"/>
                <w:lang w:eastAsia="zh-CN"/>
              </w:rPr>
              <w:t>”</w:t>
            </w:r>
            <w:r>
              <w:rPr>
                <w:rFonts w:hint="default"/>
                <w:color w:val="auto"/>
                <w:sz w:val="24"/>
                <w:szCs w:val="24"/>
              </w:rPr>
              <w:t>的原则设计和施工，落实环评报告中提出的治理措施，后期项目投产后需加强环境管理，通过以上分析，从环境影响的角度评价，项目的建设是可行的</w:t>
            </w:r>
            <w:r>
              <w:rPr>
                <w:color w:val="auto"/>
                <w:sz w:val="24"/>
                <w:szCs w:val="24"/>
              </w:rPr>
              <w:t>。</w:t>
            </w:r>
          </w:p>
        </w:tc>
      </w:tr>
    </w:tbl>
    <w:p w14:paraId="2528F032">
      <w:pPr>
        <w:rPr>
          <w:color w:val="auto"/>
        </w:rPr>
        <w:sectPr>
          <w:pgSz w:w="11906" w:h="16838"/>
          <w:pgMar w:top="1701" w:right="1531" w:bottom="1701" w:left="1531" w:header="851" w:footer="851" w:gutter="0"/>
          <w:pgNumType w:fmt="numberInDash"/>
          <w:cols w:space="720" w:num="1"/>
          <w:docGrid w:linePitch="312" w:charSpace="0"/>
        </w:sectPr>
      </w:pPr>
    </w:p>
    <w:p w14:paraId="2E51498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ascii="Times New Roman" w:hAnsi="Times New Roman" w:eastAsia="黑体" w:cs="Times New Roman"/>
          <w:snapToGrid w:val="0"/>
          <w:color w:val="auto"/>
          <w:sz w:val="32"/>
          <w:szCs w:val="32"/>
        </w:rPr>
      </w:pPr>
      <w:bookmarkStart w:id="96" w:name="_Toc5630"/>
      <w:r>
        <w:rPr>
          <w:rFonts w:ascii="Times New Roman" w:hAnsi="Times New Roman" w:eastAsia="黑体" w:cs="Times New Roman"/>
          <w:snapToGrid w:val="0"/>
          <w:color w:val="auto"/>
          <w:sz w:val="32"/>
          <w:szCs w:val="32"/>
        </w:rPr>
        <w:t>附表</w:t>
      </w:r>
      <w:bookmarkEnd w:id="96"/>
    </w:p>
    <w:p w14:paraId="459F6F3F">
      <w:pPr>
        <w:pStyle w:val="19"/>
        <w:adjustRightInd w:val="0"/>
        <w:snapToGrid w:val="0"/>
        <w:spacing w:before="0" w:beforeAutospacing="0" w:after="0" w:afterAutospacing="0" w:line="240" w:lineRule="auto"/>
        <w:jc w:val="center"/>
        <w:outlineLvl w:val="0"/>
        <w:rPr>
          <w:rFonts w:ascii="Times New Roman" w:hAnsi="Times New Roman" w:eastAsia="方正小标宋_GBK" w:cs="Times New Roman"/>
          <w:snapToGrid w:val="0"/>
          <w:color w:val="auto"/>
          <w:sz w:val="38"/>
          <w:szCs w:val="38"/>
        </w:rPr>
      </w:pPr>
      <w:bookmarkStart w:id="97" w:name="_Toc25361"/>
      <w:bookmarkStart w:id="98" w:name="_Toc29853"/>
      <w:r>
        <w:rPr>
          <w:rFonts w:ascii="Times New Roman" w:hAnsi="Times New Roman" w:eastAsia="方正小标宋_GBK" w:cs="Times New Roman"/>
          <w:snapToGrid w:val="0"/>
          <w:color w:val="auto"/>
          <w:sz w:val="38"/>
          <w:szCs w:val="38"/>
        </w:rPr>
        <w:t>建设项目污染物排放量汇总表</w:t>
      </w:r>
      <w:bookmarkEnd w:id="97"/>
      <w:bookmarkEnd w:id="98"/>
    </w:p>
    <w:tbl>
      <w:tblPr>
        <w:tblStyle w:val="22"/>
        <w:tblW w:w="1398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762"/>
        <w:gridCol w:w="1583"/>
        <w:gridCol w:w="1276"/>
        <w:gridCol w:w="1701"/>
        <w:gridCol w:w="1559"/>
        <w:gridCol w:w="1373"/>
        <w:gridCol w:w="1935"/>
        <w:gridCol w:w="1436"/>
      </w:tblGrid>
      <w:tr w14:paraId="43BFE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61" w:type="dxa"/>
            <w:tcBorders>
              <w:tl2br w:val="single" w:color="auto" w:sz="4" w:space="0"/>
            </w:tcBorders>
            <w:tcMar>
              <w:left w:w="28" w:type="dxa"/>
              <w:right w:w="28" w:type="dxa"/>
            </w:tcMar>
            <w:vAlign w:val="center"/>
          </w:tcPr>
          <w:p w14:paraId="7B34C064">
            <w:pPr>
              <w:pStyle w:val="42"/>
              <w:keepNext w:val="0"/>
              <w:keepLines w:val="0"/>
              <w:pageBreakBefore w:val="0"/>
              <w:widowControl w:val="0"/>
              <w:kinsoku/>
              <w:wordWrap/>
              <w:overflowPunct/>
              <w:topLinePunct w:val="0"/>
              <w:autoSpaceDE/>
              <w:autoSpaceDN/>
              <w:bidi w:val="0"/>
              <w:spacing w:beforeLines="0" w:afterLines="0" w:line="240" w:lineRule="auto"/>
              <w:jc w:val="right"/>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项目</w:t>
            </w:r>
          </w:p>
          <w:p w14:paraId="1BF1F9DA">
            <w:pPr>
              <w:pStyle w:val="42"/>
              <w:keepNext w:val="0"/>
              <w:keepLines w:val="0"/>
              <w:pageBreakBefore w:val="0"/>
              <w:widowControl w:val="0"/>
              <w:kinsoku/>
              <w:wordWrap/>
              <w:overflowPunct/>
              <w:topLinePunct w:val="0"/>
              <w:autoSpaceDE/>
              <w:autoSpaceDN/>
              <w:bidi w:val="0"/>
              <w:spacing w:beforeLines="0" w:afterLines="0" w:line="240" w:lineRule="auto"/>
              <w:jc w:val="left"/>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分类</w:t>
            </w:r>
          </w:p>
        </w:tc>
        <w:tc>
          <w:tcPr>
            <w:tcW w:w="1762" w:type="dxa"/>
            <w:tcMar>
              <w:left w:w="28" w:type="dxa"/>
              <w:right w:w="28" w:type="dxa"/>
            </w:tcMar>
            <w:vAlign w:val="center"/>
          </w:tcPr>
          <w:p w14:paraId="33C3A41C">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污染物名称</w:t>
            </w:r>
          </w:p>
        </w:tc>
        <w:tc>
          <w:tcPr>
            <w:tcW w:w="1583" w:type="dxa"/>
            <w:tcMar>
              <w:left w:w="28" w:type="dxa"/>
              <w:right w:w="28" w:type="dxa"/>
            </w:tcMar>
            <w:vAlign w:val="center"/>
          </w:tcPr>
          <w:p w14:paraId="3969A5CD">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14:paraId="64D756C5">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1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sz w:val="21"/>
                <w:szCs w:val="21"/>
              </w:rPr>
              <w:t>①</w:t>
            </w:r>
            <w:r>
              <w:rPr>
                <w:rFonts w:hint="default" w:ascii="Times New Roman" w:hAnsi="Times New Roman" w:eastAsia="黑体" w:cs="Times New Roman"/>
                <w:snapToGrid w:val="0"/>
                <w:color w:val="auto"/>
                <w:spacing w:val="-6"/>
                <w:kern w:val="21"/>
                <w:sz w:val="21"/>
                <w:szCs w:val="21"/>
              </w:rPr>
              <w:fldChar w:fldCharType="end"/>
            </w:r>
          </w:p>
        </w:tc>
        <w:tc>
          <w:tcPr>
            <w:tcW w:w="1276" w:type="dxa"/>
            <w:tcMar>
              <w:left w:w="28" w:type="dxa"/>
              <w:right w:w="28" w:type="dxa"/>
            </w:tcMar>
            <w:vAlign w:val="center"/>
          </w:tcPr>
          <w:p w14:paraId="3C2E5EF9">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14:paraId="215A2511">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许可排放量</w:t>
            </w:r>
          </w:p>
          <w:p w14:paraId="00B8A4FB">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2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snapToGrid w:val="0"/>
                <w:color w:val="auto"/>
                <w:spacing w:val="-6"/>
                <w:kern w:val="21"/>
                <w:sz w:val="21"/>
                <w:szCs w:val="21"/>
              </w:rPr>
              <w:t>②</w:t>
            </w:r>
            <w:r>
              <w:rPr>
                <w:rFonts w:hint="default" w:ascii="Times New Roman" w:hAnsi="Times New Roman" w:eastAsia="黑体" w:cs="Times New Roman"/>
                <w:snapToGrid w:val="0"/>
                <w:color w:val="auto"/>
                <w:spacing w:val="-6"/>
                <w:kern w:val="21"/>
                <w:sz w:val="21"/>
                <w:szCs w:val="21"/>
              </w:rPr>
              <w:fldChar w:fldCharType="end"/>
            </w:r>
          </w:p>
        </w:tc>
        <w:tc>
          <w:tcPr>
            <w:tcW w:w="1701" w:type="dxa"/>
            <w:tcMar>
              <w:left w:w="28" w:type="dxa"/>
              <w:right w:w="28" w:type="dxa"/>
            </w:tcMar>
            <w:vAlign w:val="center"/>
          </w:tcPr>
          <w:p w14:paraId="3FFA39A1">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在建工程</w:t>
            </w:r>
          </w:p>
          <w:p w14:paraId="1670406F">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3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sz w:val="21"/>
                <w:szCs w:val="21"/>
              </w:rPr>
              <w:t>③</w:t>
            </w:r>
            <w:r>
              <w:rPr>
                <w:rFonts w:hint="default" w:ascii="Times New Roman" w:hAnsi="Times New Roman" w:eastAsia="黑体" w:cs="Times New Roman"/>
                <w:snapToGrid w:val="0"/>
                <w:color w:val="auto"/>
                <w:spacing w:val="-6"/>
                <w:kern w:val="21"/>
                <w:sz w:val="21"/>
                <w:szCs w:val="21"/>
              </w:rPr>
              <w:fldChar w:fldCharType="end"/>
            </w:r>
          </w:p>
        </w:tc>
        <w:tc>
          <w:tcPr>
            <w:tcW w:w="1559" w:type="dxa"/>
            <w:tcMar>
              <w:left w:w="28" w:type="dxa"/>
              <w:right w:w="28" w:type="dxa"/>
            </w:tcMar>
            <w:vAlign w:val="center"/>
          </w:tcPr>
          <w:p w14:paraId="68804B2C">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本项目</w:t>
            </w:r>
          </w:p>
          <w:p w14:paraId="3C5E7245">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4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sz w:val="21"/>
                <w:szCs w:val="21"/>
              </w:rPr>
              <w:t>④</w:t>
            </w:r>
            <w:r>
              <w:rPr>
                <w:rFonts w:hint="default" w:ascii="Times New Roman" w:hAnsi="Times New Roman" w:eastAsia="黑体" w:cs="Times New Roman"/>
                <w:snapToGrid w:val="0"/>
                <w:color w:val="auto"/>
                <w:spacing w:val="-6"/>
                <w:kern w:val="21"/>
                <w:sz w:val="21"/>
                <w:szCs w:val="21"/>
              </w:rPr>
              <w:fldChar w:fldCharType="end"/>
            </w:r>
          </w:p>
        </w:tc>
        <w:tc>
          <w:tcPr>
            <w:tcW w:w="1373" w:type="dxa"/>
            <w:tcMar>
              <w:left w:w="28" w:type="dxa"/>
              <w:right w:w="28" w:type="dxa"/>
            </w:tcMar>
            <w:vAlign w:val="center"/>
          </w:tcPr>
          <w:p w14:paraId="0E263A14">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以新带老削减量</w:t>
            </w:r>
          </w:p>
          <w:p w14:paraId="2940ADD6">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（新建项目不填）</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5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cs="Times New Roman"/>
                <w:color w:val="auto"/>
                <w:kern w:val="2"/>
                <w:sz w:val="21"/>
                <w:szCs w:val="21"/>
              </w:rPr>
              <w:t>⑤</w:t>
            </w:r>
            <w:r>
              <w:rPr>
                <w:rFonts w:hint="default" w:ascii="Times New Roman" w:hAnsi="Times New Roman" w:eastAsia="黑体" w:cs="Times New Roman"/>
                <w:snapToGrid w:val="0"/>
                <w:color w:val="auto"/>
                <w:spacing w:val="-16"/>
                <w:kern w:val="21"/>
                <w:sz w:val="21"/>
                <w:szCs w:val="21"/>
              </w:rPr>
              <w:fldChar w:fldCharType="end"/>
            </w:r>
          </w:p>
        </w:tc>
        <w:tc>
          <w:tcPr>
            <w:tcW w:w="1935" w:type="dxa"/>
            <w:tcMar>
              <w:left w:w="28" w:type="dxa"/>
              <w:right w:w="28" w:type="dxa"/>
            </w:tcMar>
            <w:vAlign w:val="center"/>
          </w:tcPr>
          <w:p w14:paraId="1CCB99D7">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本项目建成后</w:t>
            </w:r>
          </w:p>
          <w:p w14:paraId="4CA15AF5">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全厂排放量（固体废物产生量）</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6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sz w:val="21"/>
                <w:szCs w:val="21"/>
              </w:rPr>
              <w:t>⑥</w:t>
            </w:r>
            <w:r>
              <w:rPr>
                <w:rFonts w:hint="default" w:ascii="Times New Roman" w:hAnsi="Times New Roman" w:eastAsia="黑体" w:cs="Times New Roman"/>
                <w:snapToGrid w:val="0"/>
                <w:color w:val="auto"/>
                <w:spacing w:val="-16"/>
                <w:kern w:val="21"/>
                <w:sz w:val="21"/>
                <w:szCs w:val="21"/>
              </w:rPr>
              <w:fldChar w:fldCharType="end"/>
            </w:r>
          </w:p>
        </w:tc>
        <w:tc>
          <w:tcPr>
            <w:tcW w:w="1436" w:type="dxa"/>
            <w:tcMar>
              <w:left w:w="28" w:type="dxa"/>
              <w:right w:w="28" w:type="dxa"/>
            </w:tcMar>
            <w:vAlign w:val="center"/>
          </w:tcPr>
          <w:p w14:paraId="6075911C">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变化量</w:t>
            </w:r>
          </w:p>
          <w:p w14:paraId="175D2B89">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7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sz w:val="21"/>
                <w:szCs w:val="21"/>
              </w:rPr>
              <w:t>⑦</w:t>
            </w:r>
            <w:r>
              <w:rPr>
                <w:rFonts w:hint="default" w:ascii="Times New Roman" w:hAnsi="Times New Roman" w:eastAsia="黑体" w:cs="Times New Roman"/>
                <w:snapToGrid w:val="0"/>
                <w:color w:val="auto"/>
                <w:spacing w:val="-6"/>
                <w:kern w:val="21"/>
                <w:sz w:val="21"/>
                <w:szCs w:val="21"/>
              </w:rPr>
              <w:fldChar w:fldCharType="end"/>
            </w:r>
          </w:p>
        </w:tc>
      </w:tr>
      <w:tr w14:paraId="273051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1361" w:type="dxa"/>
            <w:vMerge w:val="restart"/>
            <w:vAlign w:val="center"/>
          </w:tcPr>
          <w:p w14:paraId="7EAAC7CB">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color w:val="auto"/>
                <w:kern w:val="0"/>
                <w:sz w:val="21"/>
                <w:szCs w:val="21"/>
                <w:lang w:val="en-US" w:eastAsia="zh-CN" w:bidi="ar-SA"/>
              </w:rPr>
              <w:t>废气</w:t>
            </w:r>
          </w:p>
        </w:tc>
        <w:tc>
          <w:tcPr>
            <w:tcW w:w="1762" w:type="dxa"/>
            <w:vAlign w:val="center"/>
          </w:tcPr>
          <w:p w14:paraId="34065A1E">
            <w:pPr>
              <w:pStyle w:val="46"/>
              <w:keepNext w:val="0"/>
              <w:keepLines w:val="0"/>
              <w:pageBreakBefore w:val="0"/>
              <w:widowControl w:val="0"/>
              <w:kinsoku/>
              <w:wordWrap/>
              <w:overflowPunct/>
              <w:topLinePunct w:val="0"/>
              <w:autoSpaceDE/>
              <w:autoSpaceDN/>
              <w:bidi w:val="0"/>
              <w:spacing w:beforeLines="0" w:line="240" w:lineRule="auto"/>
              <w:ind w:firstLine="0" w:firstLineChars="0"/>
              <w:jc w:val="center"/>
              <w:textAlignment w:val="auto"/>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color w:val="auto"/>
                <w:kern w:val="0"/>
                <w:sz w:val="21"/>
                <w:szCs w:val="21"/>
                <w:lang w:val="en-US" w:eastAsia="zh-CN" w:bidi="ar-SA"/>
              </w:rPr>
              <w:t>烟气量</w:t>
            </w:r>
          </w:p>
        </w:tc>
        <w:tc>
          <w:tcPr>
            <w:tcW w:w="1583" w:type="dxa"/>
            <w:vAlign w:val="center"/>
          </w:tcPr>
          <w:p w14:paraId="5BFC662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snapToGrid w:val="0"/>
                <w:color w:val="auto"/>
                <w:kern w:val="21"/>
                <w:sz w:val="21"/>
                <w:szCs w:val="21"/>
                <w:lang w:val="en-US" w:eastAsia="zh-CN"/>
              </w:rPr>
              <w:t>109.16</w:t>
            </w:r>
            <w:r>
              <w:rPr>
                <w:rFonts w:hint="default" w:ascii="Times New Roman" w:hAnsi="Times New Roman" w:cs="Times New Roman"/>
                <w:snapToGrid w:val="0"/>
                <w:color w:val="auto"/>
                <w:kern w:val="21"/>
                <w:sz w:val="21"/>
                <w:szCs w:val="21"/>
                <w:highlight w:val="none"/>
                <w:lang w:val="en-US" w:eastAsia="zh-CN"/>
              </w:rPr>
              <w:t>万</w:t>
            </w:r>
            <w:r>
              <w:rPr>
                <w:rFonts w:hint="default" w:ascii="Times New Roman" w:hAnsi="Times New Roman" w:cs="Times New Roman"/>
                <w:snapToGrid w:val="0"/>
                <w:color w:val="auto"/>
                <w:kern w:val="21"/>
                <w:sz w:val="21"/>
                <w:szCs w:val="21"/>
                <w:highlight w:val="none"/>
              </w:rPr>
              <w:t>m</w:t>
            </w:r>
            <w:r>
              <w:rPr>
                <w:rFonts w:hint="default" w:ascii="Times New Roman" w:hAnsi="Times New Roman" w:cs="Times New Roman"/>
                <w:snapToGrid w:val="0"/>
                <w:color w:val="auto"/>
                <w:kern w:val="21"/>
                <w:sz w:val="21"/>
                <w:szCs w:val="21"/>
                <w:highlight w:val="none"/>
                <w:vertAlign w:val="superscript"/>
              </w:rPr>
              <w:t>3</w:t>
            </w:r>
            <w:r>
              <w:rPr>
                <w:rFonts w:hint="default" w:ascii="Times New Roman" w:hAnsi="Times New Roman" w:cs="Times New Roman"/>
                <w:snapToGrid w:val="0"/>
                <w:color w:val="auto"/>
                <w:kern w:val="21"/>
                <w:sz w:val="21"/>
                <w:szCs w:val="21"/>
                <w:highlight w:val="none"/>
              </w:rPr>
              <w:t>/a</w:t>
            </w:r>
          </w:p>
        </w:tc>
        <w:tc>
          <w:tcPr>
            <w:tcW w:w="1276" w:type="dxa"/>
            <w:vAlign w:val="center"/>
          </w:tcPr>
          <w:p w14:paraId="3E6F728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1701" w:type="dxa"/>
            <w:vAlign w:val="center"/>
          </w:tcPr>
          <w:p w14:paraId="3173B3A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1559" w:type="dxa"/>
            <w:vAlign w:val="center"/>
          </w:tcPr>
          <w:p w14:paraId="00966C3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i w:val="0"/>
                <w:iCs w:val="0"/>
                <w:color w:val="auto"/>
                <w:kern w:val="0"/>
                <w:sz w:val="21"/>
                <w:szCs w:val="21"/>
                <w:u w:val="none"/>
                <w:lang w:val="en-US" w:eastAsia="zh-CN" w:bidi="ar"/>
              </w:rPr>
              <w:t>864</w:t>
            </w:r>
            <w:r>
              <w:rPr>
                <w:rFonts w:hint="default" w:ascii="Times New Roman" w:hAnsi="Times New Roman" w:cs="Times New Roman"/>
                <w:snapToGrid w:val="0"/>
                <w:color w:val="auto"/>
                <w:kern w:val="21"/>
                <w:sz w:val="21"/>
                <w:szCs w:val="21"/>
                <w:highlight w:val="none"/>
                <w:lang w:val="en-US" w:eastAsia="zh-CN"/>
              </w:rPr>
              <w:t>万</w:t>
            </w:r>
            <w:r>
              <w:rPr>
                <w:rFonts w:hint="default" w:ascii="Times New Roman" w:hAnsi="Times New Roman" w:cs="Times New Roman"/>
                <w:snapToGrid w:val="0"/>
                <w:color w:val="auto"/>
                <w:kern w:val="21"/>
                <w:sz w:val="21"/>
                <w:szCs w:val="21"/>
                <w:highlight w:val="none"/>
              </w:rPr>
              <w:t>m</w:t>
            </w:r>
            <w:r>
              <w:rPr>
                <w:rFonts w:hint="default" w:ascii="Times New Roman" w:hAnsi="Times New Roman" w:cs="Times New Roman"/>
                <w:snapToGrid w:val="0"/>
                <w:color w:val="auto"/>
                <w:kern w:val="21"/>
                <w:sz w:val="21"/>
                <w:szCs w:val="21"/>
                <w:highlight w:val="none"/>
                <w:vertAlign w:val="superscript"/>
              </w:rPr>
              <w:t>3</w:t>
            </w:r>
            <w:r>
              <w:rPr>
                <w:rFonts w:hint="default" w:ascii="Times New Roman" w:hAnsi="Times New Roman" w:cs="Times New Roman"/>
                <w:snapToGrid w:val="0"/>
                <w:color w:val="auto"/>
                <w:kern w:val="21"/>
                <w:sz w:val="21"/>
                <w:szCs w:val="21"/>
                <w:highlight w:val="none"/>
              </w:rPr>
              <w:t>/a</w:t>
            </w:r>
          </w:p>
        </w:tc>
        <w:tc>
          <w:tcPr>
            <w:tcW w:w="1373" w:type="dxa"/>
            <w:vAlign w:val="center"/>
          </w:tcPr>
          <w:p w14:paraId="0D83D730">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snapToGrid w:val="0"/>
                <w:color w:val="auto"/>
                <w:kern w:val="21"/>
                <w:sz w:val="21"/>
                <w:szCs w:val="21"/>
                <w:lang w:val="en-US" w:eastAsia="zh-CN"/>
              </w:rPr>
              <w:t>109.16</w:t>
            </w:r>
            <w:r>
              <w:rPr>
                <w:rFonts w:hint="default" w:ascii="Times New Roman" w:hAnsi="Times New Roman" w:cs="Times New Roman"/>
                <w:snapToGrid w:val="0"/>
                <w:color w:val="auto"/>
                <w:kern w:val="21"/>
                <w:sz w:val="21"/>
                <w:szCs w:val="21"/>
                <w:highlight w:val="none"/>
                <w:lang w:val="en-US" w:eastAsia="zh-CN"/>
              </w:rPr>
              <w:t>万</w:t>
            </w:r>
            <w:r>
              <w:rPr>
                <w:rFonts w:hint="default" w:ascii="Times New Roman" w:hAnsi="Times New Roman" w:cs="Times New Roman"/>
                <w:snapToGrid w:val="0"/>
                <w:color w:val="auto"/>
                <w:kern w:val="21"/>
                <w:sz w:val="21"/>
                <w:szCs w:val="21"/>
                <w:highlight w:val="none"/>
              </w:rPr>
              <w:t>m</w:t>
            </w:r>
            <w:r>
              <w:rPr>
                <w:rFonts w:hint="default" w:ascii="Times New Roman" w:hAnsi="Times New Roman" w:cs="Times New Roman"/>
                <w:snapToGrid w:val="0"/>
                <w:color w:val="auto"/>
                <w:kern w:val="21"/>
                <w:sz w:val="21"/>
                <w:szCs w:val="21"/>
                <w:highlight w:val="none"/>
                <w:vertAlign w:val="superscript"/>
              </w:rPr>
              <w:t>3</w:t>
            </w:r>
            <w:r>
              <w:rPr>
                <w:rFonts w:hint="default" w:ascii="Times New Roman" w:hAnsi="Times New Roman" w:cs="Times New Roman"/>
                <w:snapToGrid w:val="0"/>
                <w:color w:val="auto"/>
                <w:kern w:val="21"/>
                <w:sz w:val="21"/>
                <w:szCs w:val="21"/>
                <w:highlight w:val="none"/>
              </w:rPr>
              <w:t>/a</w:t>
            </w:r>
          </w:p>
        </w:tc>
        <w:tc>
          <w:tcPr>
            <w:tcW w:w="1935" w:type="dxa"/>
            <w:vAlign w:val="center"/>
          </w:tcPr>
          <w:p w14:paraId="0C990D21">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864</w:t>
            </w:r>
            <w:r>
              <w:rPr>
                <w:rFonts w:hint="default" w:ascii="Times New Roman" w:hAnsi="Times New Roman" w:cs="Times New Roman"/>
                <w:snapToGrid w:val="0"/>
                <w:color w:val="auto"/>
                <w:kern w:val="21"/>
                <w:sz w:val="21"/>
                <w:szCs w:val="21"/>
                <w:highlight w:val="none"/>
                <w:lang w:val="en-US" w:eastAsia="zh-CN"/>
              </w:rPr>
              <w:t>万</w:t>
            </w:r>
            <w:r>
              <w:rPr>
                <w:rFonts w:hint="default" w:ascii="Times New Roman" w:hAnsi="Times New Roman" w:cs="Times New Roman"/>
                <w:snapToGrid w:val="0"/>
                <w:color w:val="auto"/>
                <w:kern w:val="21"/>
                <w:sz w:val="21"/>
                <w:szCs w:val="21"/>
                <w:highlight w:val="none"/>
              </w:rPr>
              <w:t>m</w:t>
            </w:r>
            <w:r>
              <w:rPr>
                <w:rFonts w:hint="default" w:ascii="Times New Roman" w:hAnsi="Times New Roman" w:cs="Times New Roman"/>
                <w:snapToGrid w:val="0"/>
                <w:color w:val="auto"/>
                <w:kern w:val="21"/>
                <w:sz w:val="21"/>
                <w:szCs w:val="21"/>
                <w:highlight w:val="none"/>
                <w:vertAlign w:val="superscript"/>
              </w:rPr>
              <w:t>3</w:t>
            </w:r>
            <w:r>
              <w:rPr>
                <w:rFonts w:hint="default" w:ascii="Times New Roman" w:hAnsi="Times New Roman" w:cs="Times New Roman"/>
                <w:snapToGrid w:val="0"/>
                <w:color w:val="auto"/>
                <w:kern w:val="21"/>
                <w:sz w:val="21"/>
                <w:szCs w:val="21"/>
                <w:highlight w:val="none"/>
              </w:rPr>
              <w:t>/a</w:t>
            </w:r>
          </w:p>
        </w:tc>
        <w:tc>
          <w:tcPr>
            <w:tcW w:w="1436" w:type="dxa"/>
            <w:vAlign w:val="center"/>
          </w:tcPr>
          <w:p w14:paraId="56E17CDB">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eastAsia"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754.24</w:t>
            </w:r>
            <w:r>
              <w:rPr>
                <w:rFonts w:hint="default" w:ascii="Times New Roman" w:hAnsi="Times New Roman" w:cs="Times New Roman"/>
                <w:snapToGrid w:val="0"/>
                <w:color w:val="auto"/>
                <w:kern w:val="21"/>
                <w:sz w:val="21"/>
                <w:szCs w:val="21"/>
                <w:highlight w:val="none"/>
                <w:lang w:val="en-US" w:eastAsia="zh-CN"/>
              </w:rPr>
              <w:t>万</w:t>
            </w:r>
            <w:r>
              <w:rPr>
                <w:rFonts w:hint="default" w:ascii="Times New Roman" w:hAnsi="Times New Roman" w:cs="Times New Roman"/>
                <w:snapToGrid w:val="0"/>
                <w:color w:val="auto"/>
                <w:kern w:val="21"/>
                <w:sz w:val="21"/>
                <w:szCs w:val="21"/>
                <w:highlight w:val="none"/>
              </w:rPr>
              <w:t>m</w:t>
            </w:r>
            <w:r>
              <w:rPr>
                <w:rFonts w:hint="default" w:ascii="Times New Roman" w:hAnsi="Times New Roman" w:cs="Times New Roman"/>
                <w:snapToGrid w:val="0"/>
                <w:color w:val="auto"/>
                <w:kern w:val="21"/>
                <w:sz w:val="21"/>
                <w:szCs w:val="21"/>
                <w:highlight w:val="none"/>
                <w:vertAlign w:val="superscript"/>
              </w:rPr>
              <w:t>3</w:t>
            </w:r>
            <w:r>
              <w:rPr>
                <w:rFonts w:hint="default" w:ascii="Times New Roman" w:hAnsi="Times New Roman" w:cs="Times New Roman"/>
                <w:snapToGrid w:val="0"/>
                <w:color w:val="auto"/>
                <w:kern w:val="21"/>
                <w:sz w:val="21"/>
                <w:szCs w:val="21"/>
                <w:highlight w:val="none"/>
              </w:rPr>
              <w:t>/a</w:t>
            </w:r>
          </w:p>
        </w:tc>
      </w:tr>
      <w:tr w14:paraId="3B554C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61" w:type="dxa"/>
            <w:vMerge w:val="continue"/>
            <w:vAlign w:val="center"/>
          </w:tcPr>
          <w:p w14:paraId="4B97FC4E">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rPr>
            </w:pPr>
          </w:p>
        </w:tc>
        <w:tc>
          <w:tcPr>
            <w:tcW w:w="1762" w:type="dxa"/>
            <w:vAlign w:val="center"/>
          </w:tcPr>
          <w:p w14:paraId="57792F41">
            <w:pPr>
              <w:pStyle w:val="46"/>
              <w:keepNext w:val="0"/>
              <w:keepLines w:val="0"/>
              <w:pageBreakBefore w:val="0"/>
              <w:widowControl w:val="0"/>
              <w:kinsoku/>
              <w:wordWrap/>
              <w:overflowPunct/>
              <w:topLinePunct w:val="0"/>
              <w:autoSpaceDE/>
              <w:autoSpaceDN/>
              <w:bidi w:val="0"/>
              <w:spacing w:beforeLines="0" w:line="240" w:lineRule="auto"/>
              <w:ind w:firstLine="0" w:firstLineChars="0"/>
              <w:jc w:val="center"/>
              <w:textAlignment w:val="auto"/>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color w:val="auto"/>
                <w:kern w:val="0"/>
                <w:sz w:val="21"/>
                <w:szCs w:val="21"/>
                <w:lang w:val="en-US" w:eastAsia="zh-CN" w:bidi="ar-SA"/>
              </w:rPr>
              <w:t>颗粒物</w:t>
            </w:r>
          </w:p>
        </w:tc>
        <w:tc>
          <w:tcPr>
            <w:tcW w:w="1583" w:type="dxa"/>
            <w:vAlign w:val="center"/>
          </w:tcPr>
          <w:p w14:paraId="55BA1410">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eastAsia" w:cs="Times New Roman"/>
                <w:i w:val="0"/>
                <w:iCs w:val="0"/>
                <w:color w:val="auto"/>
                <w:kern w:val="0"/>
                <w:sz w:val="21"/>
                <w:szCs w:val="21"/>
                <w:u w:val="none"/>
                <w:lang w:val="en-US" w:eastAsia="zh-CN" w:bidi="ar"/>
              </w:rPr>
              <w:t>0.016</w:t>
            </w:r>
          </w:p>
        </w:tc>
        <w:tc>
          <w:tcPr>
            <w:tcW w:w="1276" w:type="dxa"/>
            <w:vAlign w:val="center"/>
          </w:tcPr>
          <w:p w14:paraId="255B2D6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701" w:type="dxa"/>
            <w:vAlign w:val="center"/>
          </w:tcPr>
          <w:p w14:paraId="611E99EB">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bidi="ar-SA"/>
              </w:rPr>
              <w:t>/</w:t>
            </w:r>
          </w:p>
        </w:tc>
        <w:tc>
          <w:tcPr>
            <w:tcW w:w="1559" w:type="dxa"/>
            <w:vAlign w:val="center"/>
          </w:tcPr>
          <w:p w14:paraId="7F66C2CC">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0.114 </w:t>
            </w:r>
          </w:p>
        </w:tc>
        <w:tc>
          <w:tcPr>
            <w:tcW w:w="1373" w:type="dxa"/>
            <w:vAlign w:val="center"/>
          </w:tcPr>
          <w:p w14:paraId="18C26C2D">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0.016</w:t>
            </w:r>
          </w:p>
        </w:tc>
        <w:tc>
          <w:tcPr>
            <w:tcW w:w="1935" w:type="dxa"/>
            <w:vAlign w:val="center"/>
          </w:tcPr>
          <w:p w14:paraId="2725C55B">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0.114 </w:t>
            </w:r>
          </w:p>
        </w:tc>
        <w:tc>
          <w:tcPr>
            <w:tcW w:w="1436" w:type="dxa"/>
            <w:vAlign w:val="center"/>
          </w:tcPr>
          <w:p w14:paraId="2566AC5B">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eastAsia" w:cs="Times New Roman"/>
                <w:i w:val="0"/>
                <w:iCs w:val="0"/>
                <w:color w:val="auto"/>
                <w:kern w:val="0"/>
                <w:sz w:val="21"/>
                <w:szCs w:val="21"/>
                <w:u w:val="none"/>
                <w:lang w:val="en-US" w:eastAsia="zh-CN" w:bidi="ar"/>
              </w:rPr>
              <w:t>+0.098</w:t>
            </w:r>
          </w:p>
        </w:tc>
      </w:tr>
      <w:tr w14:paraId="7F91C0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exact"/>
        </w:trPr>
        <w:tc>
          <w:tcPr>
            <w:tcW w:w="1361" w:type="dxa"/>
            <w:vMerge w:val="continue"/>
            <w:vAlign w:val="center"/>
          </w:tcPr>
          <w:p w14:paraId="2F553810">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rPr>
            </w:pPr>
          </w:p>
        </w:tc>
        <w:tc>
          <w:tcPr>
            <w:tcW w:w="1762" w:type="dxa"/>
            <w:vAlign w:val="center"/>
          </w:tcPr>
          <w:p w14:paraId="49C7B5E8">
            <w:pPr>
              <w:pStyle w:val="46"/>
              <w:keepNext w:val="0"/>
              <w:keepLines w:val="0"/>
              <w:pageBreakBefore w:val="0"/>
              <w:widowControl w:val="0"/>
              <w:kinsoku/>
              <w:wordWrap/>
              <w:overflowPunct/>
              <w:topLinePunct w:val="0"/>
              <w:autoSpaceDE/>
              <w:autoSpaceDN/>
              <w:bidi w:val="0"/>
              <w:spacing w:beforeLines="0" w:line="240" w:lineRule="auto"/>
              <w:ind w:firstLine="0" w:firstLineChars="0"/>
              <w:jc w:val="center"/>
              <w:textAlignment w:val="auto"/>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color w:val="auto"/>
                <w:kern w:val="0"/>
                <w:sz w:val="21"/>
                <w:szCs w:val="21"/>
                <w:lang w:val="en-US" w:eastAsia="zh-CN" w:bidi="ar-SA"/>
              </w:rPr>
              <w:t>二氧化硫</w:t>
            </w:r>
          </w:p>
        </w:tc>
        <w:tc>
          <w:tcPr>
            <w:tcW w:w="1583" w:type="dxa"/>
            <w:vAlign w:val="center"/>
          </w:tcPr>
          <w:p w14:paraId="435CF33A">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eastAsia" w:cs="Times New Roman"/>
                <w:i w:val="0"/>
                <w:iCs w:val="0"/>
                <w:color w:val="auto"/>
                <w:kern w:val="0"/>
                <w:sz w:val="21"/>
                <w:szCs w:val="21"/>
                <w:u w:val="none"/>
                <w:lang w:val="en-US" w:eastAsia="zh-CN" w:bidi="ar"/>
              </w:rPr>
              <w:t>0.020</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276" w:type="dxa"/>
            <w:vAlign w:val="center"/>
          </w:tcPr>
          <w:p w14:paraId="2E5E8D3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701" w:type="dxa"/>
            <w:vAlign w:val="center"/>
          </w:tcPr>
          <w:p w14:paraId="76DA403F">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bidi="ar-SA"/>
              </w:rPr>
              <w:t>/</w:t>
            </w:r>
          </w:p>
        </w:tc>
        <w:tc>
          <w:tcPr>
            <w:tcW w:w="1559" w:type="dxa"/>
            <w:vAlign w:val="center"/>
          </w:tcPr>
          <w:p w14:paraId="35DF325A">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0.175 </w:t>
            </w:r>
          </w:p>
        </w:tc>
        <w:tc>
          <w:tcPr>
            <w:tcW w:w="1373" w:type="dxa"/>
            <w:vAlign w:val="center"/>
          </w:tcPr>
          <w:p w14:paraId="6DB36A35">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0.020</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935" w:type="dxa"/>
            <w:vAlign w:val="center"/>
          </w:tcPr>
          <w:p w14:paraId="2FFF4CE6">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0.175 </w:t>
            </w:r>
          </w:p>
        </w:tc>
        <w:tc>
          <w:tcPr>
            <w:tcW w:w="1436" w:type="dxa"/>
            <w:vAlign w:val="center"/>
          </w:tcPr>
          <w:p w14:paraId="0E51659B">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eastAsia"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0.15</w:t>
            </w:r>
            <w:r>
              <w:rPr>
                <w:rFonts w:hint="default" w:ascii="Times New Roman" w:hAnsi="Times New Roman" w:eastAsia="宋体" w:cs="Times New Roman"/>
                <w:i w:val="0"/>
                <w:iCs w:val="0"/>
                <w:color w:val="auto"/>
                <w:kern w:val="0"/>
                <w:sz w:val="21"/>
                <w:szCs w:val="21"/>
                <w:u w:val="none"/>
                <w:lang w:val="en-US" w:eastAsia="zh-CN" w:bidi="ar"/>
              </w:rPr>
              <w:t>5</w:t>
            </w:r>
          </w:p>
        </w:tc>
      </w:tr>
      <w:tr w14:paraId="6650D1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61" w:type="dxa"/>
            <w:vMerge w:val="continue"/>
            <w:vAlign w:val="center"/>
          </w:tcPr>
          <w:p w14:paraId="6EDAB465">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rPr>
            </w:pPr>
          </w:p>
        </w:tc>
        <w:tc>
          <w:tcPr>
            <w:tcW w:w="1762" w:type="dxa"/>
            <w:vAlign w:val="center"/>
          </w:tcPr>
          <w:p w14:paraId="19CCB744">
            <w:pPr>
              <w:pStyle w:val="46"/>
              <w:keepNext w:val="0"/>
              <w:keepLines w:val="0"/>
              <w:pageBreakBefore w:val="0"/>
              <w:widowControl w:val="0"/>
              <w:kinsoku/>
              <w:wordWrap/>
              <w:overflowPunct/>
              <w:topLinePunct w:val="0"/>
              <w:autoSpaceDE/>
              <w:autoSpaceDN/>
              <w:bidi w:val="0"/>
              <w:spacing w:beforeLines="0" w:line="240" w:lineRule="auto"/>
              <w:ind w:firstLine="0" w:firstLineChars="0"/>
              <w:jc w:val="center"/>
              <w:textAlignment w:val="auto"/>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color w:val="auto"/>
                <w:kern w:val="0"/>
                <w:sz w:val="21"/>
                <w:szCs w:val="21"/>
                <w:lang w:val="en-US" w:eastAsia="zh-CN" w:bidi="ar-SA"/>
              </w:rPr>
              <w:t>氮氧化物</w:t>
            </w:r>
          </w:p>
        </w:tc>
        <w:tc>
          <w:tcPr>
            <w:tcW w:w="1583" w:type="dxa"/>
            <w:vAlign w:val="center"/>
          </w:tcPr>
          <w:p w14:paraId="7C5EA962">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eastAsia" w:cs="Times New Roman"/>
                <w:i w:val="0"/>
                <w:iCs w:val="0"/>
                <w:color w:val="auto"/>
                <w:kern w:val="0"/>
                <w:sz w:val="21"/>
                <w:szCs w:val="21"/>
                <w:u w:val="none"/>
                <w:lang w:val="en-US" w:eastAsia="zh-CN" w:bidi="ar"/>
              </w:rPr>
              <w:t>0.077</w:t>
            </w:r>
          </w:p>
        </w:tc>
        <w:tc>
          <w:tcPr>
            <w:tcW w:w="1276" w:type="dxa"/>
            <w:vAlign w:val="center"/>
          </w:tcPr>
          <w:p w14:paraId="3BFDE09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701" w:type="dxa"/>
            <w:vAlign w:val="center"/>
          </w:tcPr>
          <w:p w14:paraId="6E0C5B6D">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bidi="ar-SA"/>
              </w:rPr>
              <w:t>/</w:t>
            </w:r>
          </w:p>
        </w:tc>
        <w:tc>
          <w:tcPr>
            <w:tcW w:w="1559" w:type="dxa"/>
            <w:vAlign w:val="center"/>
          </w:tcPr>
          <w:p w14:paraId="05F2D657">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1.728 </w:t>
            </w:r>
          </w:p>
        </w:tc>
        <w:tc>
          <w:tcPr>
            <w:tcW w:w="1373" w:type="dxa"/>
            <w:vAlign w:val="center"/>
          </w:tcPr>
          <w:p w14:paraId="3F61503B">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0.077</w:t>
            </w:r>
          </w:p>
        </w:tc>
        <w:tc>
          <w:tcPr>
            <w:tcW w:w="1935" w:type="dxa"/>
            <w:vAlign w:val="center"/>
          </w:tcPr>
          <w:p w14:paraId="481A6853">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1.728 </w:t>
            </w:r>
          </w:p>
        </w:tc>
        <w:tc>
          <w:tcPr>
            <w:tcW w:w="1436" w:type="dxa"/>
            <w:vAlign w:val="center"/>
          </w:tcPr>
          <w:p w14:paraId="28CFDBB0">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eastAsia"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1.651</w:t>
            </w:r>
          </w:p>
        </w:tc>
      </w:tr>
      <w:tr w14:paraId="21A3C6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61" w:type="dxa"/>
            <w:vMerge w:val="restart"/>
            <w:vAlign w:val="center"/>
          </w:tcPr>
          <w:p w14:paraId="58E629E0">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废水</w:t>
            </w:r>
          </w:p>
        </w:tc>
        <w:tc>
          <w:tcPr>
            <w:tcW w:w="1762" w:type="dxa"/>
            <w:vAlign w:val="center"/>
          </w:tcPr>
          <w:p w14:paraId="0CE7CFD6">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水量</w:t>
            </w:r>
          </w:p>
        </w:tc>
        <w:tc>
          <w:tcPr>
            <w:tcW w:w="1583" w:type="dxa"/>
            <w:vAlign w:val="center"/>
          </w:tcPr>
          <w:p w14:paraId="25E6B226">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eastAsia" w:ascii="Times New Roman" w:hAnsi="Times New Roman" w:cs="Times New Roman"/>
                <w:i w:val="0"/>
                <w:iCs w:val="0"/>
                <w:color w:val="auto"/>
                <w:kern w:val="0"/>
                <w:sz w:val="21"/>
                <w:szCs w:val="21"/>
                <w:u w:val="none"/>
                <w:lang w:val="en-US" w:eastAsia="zh-CN" w:bidi="ar"/>
              </w:rPr>
              <w:t>0.</w:t>
            </w:r>
            <w:r>
              <w:rPr>
                <w:rFonts w:hint="eastAsia" w:cs="Times New Roman"/>
                <w:i w:val="0"/>
                <w:iCs w:val="0"/>
                <w:color w:val="auto"/>
                <w:kern w:val="0"/>
                <w:sz w:val="21"/>
                <w:szCs w:val="21"/>
                <w:highlight w:val="none"/>
                <w:u w:val="none"/>
                <w:lang w:val="en-US" w:eastAsia="zh-CN" w:bidi="ar"/>
              </w:rPr>
              <w:t>8673</w:t>
            </w:r>
            <w:r>
              <w:rPr>
                <w:rFonts w:hint="eastAsia" w:ascii="Times New Roman" w:hAnsi="Times New Roman" w:cs="Times New Roman"/>
                <w:i w:val="0"/>
                <w:iCs w:val="0"/>
                <w:color w:val="auto"/>
                <w:kern w:val="0"/>
                <w:sz w:val="21"/>
                <w:szCs w:val="21"/>
                <w:u w:val="none"/>
                <w:lang w:val="en-US" w:eastAsia="zh-CN" w:bidi="ar"/>
              </w:rPr>
              <w:t>万</w:t>
            </w:r>
            <w:r>
              <w:rPr>
                <w:rFonts w:hint="default" w:ascii="Times New Roman" w:hAnsi="Times New Roman" w:cs="Times New Roman"/>
                <w:snapToGrid w:val="0"/>
                <w:color w:val="auto"/>
                <w:kern w:val="21"/>
                <w:sz w:val="21"/>
                <w:szCs w:val="21"/>
                <w:highlight w:val="none"/>
                <w:lang w:val="en-US" w:eastAsia="zh-CN"/>
              </w:rPr>
              <w:t>m</w:t>
            </w:r>
            <w:r>
              <w:rPr>
                <w:rFonts w:hint="default" w:ascii="Times New Roman" w:hAnsi="Times New Roman" w:cs="Times New Roman"/>
                <w:snapToGrid w:val="0"/>
                <w:color w:val="auto"/>
                <w:kern w:val="21"/>
                <w:sz w:val="21"/>
                <w:szCs w:val="21"/>
                <w:highlight w:val="none"/>
                <w:vertAlign w:val="superscript"/>
                <w:lang w:val="en-US" w:eastAsia="zh-CN"/>
              </w:rPr>
              <w:t>3</w:t>
            </w:r>
            <w:r>
              <w:rPr>
                <w:rFonts w:hint="default" w:ascii="Times New Roman" w:hAnsi="Times New Roman" w:cs="Times New Roman"/>
                <w:snapToGrid w:val="0"/>
                <w:color w:val="auto"/>
                <w:kern w:val="21"/>
                <w:sz w:val="21"/>
                <w:szCs w:val="21"/>
                <w:highlight w:val="none"/>
                <w:lang w:val="en-US" w:eastAsia="zh-CN"/>
              </w:rPr>
              <w:t>/a</w:t>
            </w:r>
          </w:p>
        </w:tc>
        <w:tc>
          <w:tcPr>
            <w:tcW w:w="1276" w:type="dxa"/>
            <w:vAlign w:val="center"/>
          </w:tcPr>
          <w:p w14:paraId="024BC09D">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701" w:type="dxa"/>
            <w:vAlign w:val="center"/>
          </w:tcPr>
          <w:p w14:paraId="49AA85AB">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559" w:type="dxa"/>
            <w:vAlign w:val="center"/>
          </w:tcPr>
          <w:p w14:paraId="5371BF5B">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0.</w:t>
            </w:r>
            <w:r>
              <w:rPr>
                <w:rFonts w:hint="eastAsia" w:cs="Times New Roman"/>
                <w:color w:val="auto"/>
                <w:sz w:val="21"/>
                <w:szCs w:val="21"/>
                <w:highlight w:val="none"/>
                <w:lang w:val="en-US" w:eastAsia="zh-CN"/>
              </w:rPr>
              <w:t>1309</w:t>
            </w:r>
            <w:r>
              <w:rPr>
                <w:rFonts w:hint="eastAsia" w:ascii="Times New Roman" w:hAnsi="Times New Roman" w:cs="Times New Roman"/>
                <w:i w:val="0"/>
                <w:iCs w:val="0"/>
                <w:color w:val="auto"/>
                <w:kern w:val="0"/>
                <w:sz w:val="21"/>
                <w:szCs w:val="21"/>
                <w:u w:val="none"/>
                <w:lang w:val="en-US" w:eastAsia="zh-CN" w:bidi="ar"/>
              </w:rPr>
              <w:t>万</w:t>
            </w:r>
            <w:r>
              <w:rPr>
                <w:rFonts w:hint="default" w:ascii="Times New Roman" w:hAnsi="Times New Roman" w:cs="Times New Roman"/>
                <w:snapToGrid w:val="0"/>
                <w:color w:val="auto"/>
                <w:kern w:val="21"/>
                <w:sz w:val="21"/>
                <w:szCs w:val="21"/>
                <w:highlight w:val="none"/>
                <w:lang w:val="en-US" w:eastAsia="zh-CN"/>
              </w:rPr>
              <w:t>m</w:t>
            </w:r>
            <w:r>
              <w:rPr>
                <w:rFonts w:hint="default" w:ascii="Times New Roman" w:hAnsi="Times New Roman" w:cs="Times New Roman"/>
                <w:snapToGrid w:val="0"/>
                <w:color w:val="auto"/>
                <w:kern w:val="21"/>
                <w:sz w:val="21"/>
                <w:szCs w:val="21"/>
                <w:highlight w:val="none"/>
                <w:vertAlign w:val="superscript"/>
                <w:lang w:val="en-US" w:eastAsia="zh-CN"/>
              </w:rPr>
              <w:t>3</w:t>
            </w:r>
            <w:r>
              <w:rPr>
                <w:rFonts w:hint="default" w:ascii="Times New Roman" w:hAnsi="Times New Roman" w:cs="Times New Roman"/>
                <w:snapToGrid w:val="0"/>
                <w:color w:val="auto"/>
                <w:kern w:val="21"/>
                <w:sz w:val="21"/>
                <w:szCs w:val="21"/>
                <w:highlight w:val="none"/>
                <w:lang w:val="en-US" w:eastAsia="zh-CN"/>
              </w:rPr>
              <w:t>/a</w:t>
            </w:r>
          </w:p>
        </w:tc>
        <w:tc>
          <w:tcPr>
            <w:tcW w:w="1373" w:type="dxa"/>
            <w:vAlign w:val="center"/>
          </w:tcPr>
          <w:p w14:paraId="4D084C39">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935" w:type="dxa"/>
            <w:vAlign w:val="center"/>
          </w:tcPr>
          <w:p w14:paraId="3BC8D988">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9982</w:t>
            </w:r>
            <w:r>
              <w:rPr>
                <w:rFonts w:hint="eastAsia" w:ascii="Times New Roman" w:hAnsi="Times New Roman" w:cs="Times New Roman"/>
                <w:i w:val="0"/>
                <w:iCs w:val="0"/>
                <w:color w:val="auto"/>
                <w:kern w:val="0"/>
                <w:sz w:val="21"/>
                <w:szCs w:val="21"/>
                <w:u w:val="none"/>
                <w:lang w:val="en-US" w:eastAsia="zh-CN" w:bidi="ar"/>
              </w:rPr>
              <w:t>万</w:t>
            </w:r>
            <w:r>
              <w:rPr>
                <w:rFonts w:hint="default" w:ascii="Times New Roman" w:hAnsi="Times New Roman" w:cs="Times New Roman"/>
                <w:snapToGrid w:val="0"/>
                <w:color w:val="auto"/>
                <w:kern w:val="21"/>
                <w:sz w:val="21"/>
                <w:szCs w:val="21"/>
                <w:highlight w:val="none"/>
                <w:lang w:val="en-US" w:eastAsia="zh-CN"/>
              </w:rPr>
              <w:t>m</w:t>
            </w:r>
            <w:r>
              <w:rPr>
                <w:rFonts w:hint="default" w:ascii="Times New Roman" w:hAnsi="Times New Roman" w:cs="Times New Roman"/>
                <w:snapToGrid w:val="0"/>
                <w:color w:val="auto"/>
                <w:kern w:val="21"/>
                <w:sz w:val="21"/>
                <w:szCs w:val="21"/>
                <w:highlight w:val="none"/>
                <w:vertAlign w:val="superscript"/>
                <w:lang w:val="en-US" w:eastAsia="zh-CN"/>
              </w:rPr>
              <w:t>3</w:t>
            </w:r>
            <w:r>
              <w:rPr>
                <w:rFonts w:hint="default" w:ascii="Times New Roman" w:hAnsi="Times New Roman" w:cs="Times New Roman"/>
                <w:snapToGrid w:val="0"/>
                <w:color w:val="auto"/>
                <w:kern w:val="21"/>
                <w:sz w:val="21"/>
                <w:szCs w:val="21"/>
                <w:highlight w:val="none"/>
                <w:lang w:val="en-US" w:eastAsia="zh-CN"/>
              </w:rPr>
              <w:t>/a</w:t>
            </w:r>
          </w:p>
        </w:tc>
        <w:tc>
          <w:tcPr>
            <w:tcW w:w="1436" w:type="dxa"/>
            <w:vAlign w:val="center"/>
          </w:tcPr>
          <w:p w14:paraId="1361C71B">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eastAsia" w:cs="Times New Roman"/>
                <w:i w:val="0"/>
                <w:iCs w:val="0"/>
                <w:color w:val="auto"/>
                <w:kern w:val="0"/>
                <w:sz w:val="21"/>
                <w:szCs w:val="21"/>
                <w:u w:val="none"/>
                <w:lang w:val="en-US" w:eastAsia="zh-CN" w:bidi="ar"/>
              </w:rPr>
              <w:t>+0.</w:t>
            </w:r>
            <w:r>
              <w:rPr>
                <w:rFonts w:hint="eastAsia" w:cs="Times New Roman"/>
                <w:color w:val="auto"/>
                <w:sz w:val="21"/>
                <w:szCs w:val="21"/>
                <w:highlight w:val="none"/>
                <w:lang w:val="en-US" w:eastAsia="zh-CN"/>
              </w:rPr>
              <w:t>1309</w:t>
            </w:r>
            <w:r>
              <w:rPr>
                <w:rFonts w:hint="eastAsia" w:ascii="Times New Roman" w:hAnsi="Times New Roman" w:cs="Times New Roman"/>
                <w:i w:val="0"/>
                <w:iCs w:val="0"/>
                <w:color w:val="auto"/>
                <w:kern w:val="0"/>
                <w:sz w:val="21"/>
                <w:szCs w:val="21"/>
                <w:u w:val="none"/>
                <w:lang w:val="en-US" w:eastAsia="zh-CN" w:bidi="ar"/>
              </w:rPr>
              <w:t>万</w:t>
            </w:r>
            <w:r>
              <w:rPr>
                <w:rFonts w:hint="default" w:ascii="Times New Roman" w:hAnsi="Times New Roman" w:cs="Times New Roman"/>
                <w:snapToGrid w:val="0"/>
                <w:color w:val="auto"/>
                <w:kern w:val="21"/>
                <w:sz w:val="21"/>
                <w:szCs w:val="21"/>
                <w:highlight w:val="none"/>
                <w:lang w:val="en-US" w:eastAsia="zh-CN"/>
              </w:rPr>
              <w:t>m</w:t>
            </w:r>
            <w:r>
              <w:rPr>
                <w:rFonts w:hint="default" w:ascii="Times New Roman" w:hAnsi="Times New Roman" w:cs="Times New Roman"/>
                <w:snapToGrid w:val="0"/>
                <w:color w:val="auto"/>
                <w:kern w:val="21"/>
                <w:sz w:val="21"/>
                <w:szCs w:val="21"/>
                <w:highlight w:val="none"/>
                <w:vertAlign w:val="superscript"/>
                <w:lang w:val="en-US" w:eastAsia="zh-CN"/>
              </w:rPr>
              <w:t>3</w:t>
            </w:r>
            <w:r>
              <w:rPr>
                <w:rFonts w:hint="default" w:ascii="Times New Roman" w:hAnsi="Times New Roman" w:cs="Times New Roman"/>
                <w:snapToGrid w:val="0"/>
                <w:color w:val="auto"/>
                <w:kern w:val="21"/>
                <w:sz w:val="21"/>
                <w:szCs w:val="21"/>
                <w:highlight w:val="none"/>
                <w:lang w:val="en-US" w:eastAsia="zh-CN"/>
              </w:rPr>
              <w:t>/a</w:t>
            </w:r>
          </w:p>
        </w:tc>
      </w:tr>
      <w:tr w14:paraId="39D8B3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61" w:type="dxa"/>
            <w:vMerge w:val="continue"/>
            <w:vAlign w:val="center"/>
          </w:tcPr>
          <w:p w14:paraId="406FA8A0">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rPr>
            </w:pPr>
          </w:p>
        </w:tc>
        <w:tc>
          <w:tcPr>
            <w:tcW w:w="1762" w:type="dxa"/>
            <w:vAlign w:val="center"/>
          </w:tcPr>
          <w:p w14:paraId="19632ABD">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rPr>
            </w:pPr>
            <w:r>
              <w:rPr>
                <w:rFonts w:hint="default" w:ascii="Times New Roman" w:hAnsi="Times New Roman" w:cs="Times New Roman"/>
                <w:color w:val="auto"/>
                <w:sz w:val="21"/>
                <w:szCs w:val="21"/>
              </w:rPr>
              <w:t>化学需氧量</w:t>
            </w:r>
          </w:p>
        </w:tc>
        <w:tc>
          <w:tcPr>
            <w:tcW w:w="1583" w:type="dxa"/>
            <w:vAlign w:val="center"/>
          </w:tcPr>
          <w:p w14:paraId="1A663BCA">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4.154 </w:t>
            </w:r>
          </w:p>
        </w:tc>
        <w:tc>
          <w:tcPr>
            <w:tcW w:w="1276" w:type="dxa"/>
            <w:vAlign w:val="center"/>
          </w:tcPr>
          <w:p w14:paraId="1A520E4B">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701" w:type="dxa"/>
            <w:vAlign w:val="center"/>
          </w:tcPr>
          <w:p w14:paraId="34C34763">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559" w:type="dxa"/>
            <w:vAlign w:val="center"/>
          </w:tcPr>
          <w:p w14:paraId="5251705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highlight w:val="none"/>
                <w:lang w:val="en-US" w:eastAsia="zh-CN"/>
              </w:rPr>
              <w:t>0.088</w:t>
            </w:r>
          </w:p>
        </w:tc>
        <w:tc>
          <w:tcPr>
            <w:tcW w:w="1373" w:type="dxa"/>
            <w:vAlign w:val="center"/>
          </w:tcPr>
          <w:p w14:paraId="24BAE845">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935" w:type="dxa"/>
            <w:vAlign w:val="center"/>
          </w:tcPr>
          <w:p w14:paraId="50F72A9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4.242 </w:t>
            </w:r>
          </w:p>
        </w:tc>
        <w:tc>
          <w:tcPr>
            <w:tcW w:w="1436" w:type="dxa"/>
            <w:vAlign w:val="center"/>
          </w:tcPr>
          <w:p w14:paraId="5F608ECD">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eastAsia" w:cs="Times New Roman"/>
                <w:color w:val="auto"/>
                <w:sz w:val="21"/>
                <w:szCs w:val="21"/>
                <w:highlight w:val="none"/>
                <w:lang w:val="en-US" w:eastAsia="zh-CN"/>
              </w:rPr>
              <w:t>+0.088</w:t>
            </w:r>
          </w:p>
        </w:tc>
      </w:tr>
      <w:tr w14:paraId="66170D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61" w:type="dxa"/>
            <w:vMerge w:val="continue"/>
            <w:vAlign w:val="center"/>
          </w:tcPr>
          <w:p w14:paraId="4D1267F9">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rPr>
            </w:pPr>
          </w:p>
        </w:tc>
        <w:tc>
          <w:tcPr>
            <w:tcW w:w="1762" w:type="dxa"/>
            <w:vAlign w:val="center"/>
          </w:tcPr>
          <w:p w14:paraId="0B2A62CB">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rPr>
            </w:pPr>
            <w:r>
              <w:rPr>
                <w:rFonts w:hint="default" w:ascii="Times New Roman" w:hAnsi="Times New Roman" w:cs="Times New Roman"/>
                <w:color w:val="auto"/>
                <w:sz w:val="21"/>
                <w:szCs w:val="21"/>
              </w:rPr>
              <w:t>氨氮</w:t>
            </w:r>
          </w:p>
        </w:tc>
        <w:tc>
          <w:tcPr>
            <w:tcW w:w="1583" w:type="dxa"/>
            <w:vAlign w:val="center"/>
          </w:tcPr>
          <w:p w14:paraId="727EC023">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0.020 </w:t>
            </w:r>
          </w:p>
        </w:tc>
        <w:tc>
          <w:tcPr>
            <w:tcW w:w="1276" w:type="dxa"/>
            <w:vAlign w:val="center"/>
          </w:tcPr>
          <w:p w14:paraId="74A44E8E">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701" w:type="dxa"/>
            <w:vAlign w:val="center"/>
          </w:tcPr>
          <w:p w14:paraId="1CC65B94">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559" w:type="dxa"/>
            <w:vAlign w:val="center"/>
          </w:tcPr>
          <w:p w14:paraId="49F7A227">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highlight w:val="none"/>
                <w:lang w:val="en-US" w:eastAsia="zh-CN"/>
              </w:rPr>
              <w:t>0.002</w:t>
            </w:r>
          </w:p>
        </w:tc>
        <w:tc>
          <w:tcPr>
            <w:tcW w:w="1373" w:type="dxa"/>
            <w:vAlign w:val="center"/>
          </w:tcPr>
          <w:p w14:paraId="30CF9723">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935" w:type="dxa"/>
            <w:vAlign w:val="center"/>
          </w:tcPr>
          <w:p w14:paraId="25B4730E">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w:t>
            </w:r>
            <w:r>
              <w:rPr>
                <w:rFonts w:hint="eastAsia" w:cs="Times New Roman"/>
                <w:i w:val="0"/>
                <w:iCs w:val="0"/>
                <w:color w:val="auto"/>
                <w:kern w:val="0"/>
                <w:sz w:val="21"/>
                <w:szCs w:val="21"/>
                <w:u w:val="none"/>
                <w:lang w:val="en-US" w:eastAsia="zh-CN" w:bidi="ar"/>
              </w:rPr>
              <w:t>2</w:t>
            </w:r>
          </w:p>
        </w:tc>
        <w:tc>
          <w:tcPr>
            <w:tcW w:w="1436" w:type="dxa"/>
            <w:vAlign w:val="center"/>
          </w:tcPr>
          <w:p w14:paraId="73B603EA">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eastAsia" w:cs="Times New Roman"/>
                <w:color w:val="auto"/>
                <w:sz w:val="21"/>
                <w:szCs w:val="21"/>
                <w:highlight w:val="none"/>
                <w:lang w:val="en-US" w:eastAsia="zh-CN"/>
              </w:rPr>
              <w:t>+0.002</w:t>
            </w:r>
          </w:p>
        </w:tc>
      </w:tr>
      <w:tr w14:paraId="12D742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61" w:type="dxa"/>
            <w:vMerge w:val="continue"/>
            <w:vAlign w:val="center"/>
          </w:tcPr>
          <w:p w14:paraId="0B32534A">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rPr>
            </w:pPr>
          </w:p>
        </w:tc>
        <w:tc>
          <w:tcPr>
            <w:tcW w:w="1762" w:type="dxa"/>
            <w:vAlign w:val="center"/>
          </w:tcPr>
          <w:p w14:paraId="72950448">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总磷</w:t>
            </w:r>
          </w:p>
        </w:tc>
        <w:tc>
          <w:tcPr>
            <w:tcW w:w="1583" w:type="dxa"/>
            <w:vAlign w:val="center"/>
          </w:tcPr>
          <w:p w14:paraId="1BE6E1EE">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c>
          <w:tcPr>
            <w:tcW w:w="1276" w:type="dxa"/>
            <w:vAlign w:val="center"/>
          </w:tcPr>
          <w:p w14:paraId="2C4AA8C0">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701" w:type="dxa"/>
            <w:vAlign w:val="center"/>
          </w:tcPr>
          <w:p w14:paraId="54CCE4FF">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559" w:type="dxa"/>
            <w:vAlign w:val="center"/>
          </w:tcPr>
          <w:p w14:paraId="03F7DF22">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highlight w:val="none"/>
                <w:lang w:val="en-US" w:eastAsia="zh-CN"/>
              </w:rPr>
              <w:t>0.0005</w:t>
            </w:r>
          </w:p>
        </w:tc>
        <w:tc>
          <w:tcPr>
            <w:tcW w:w="1373" w:type="dxa"/>
            <w:vAlign w:val="center"/>
          </w:tcPr>
          <w:p w14:paraId="7B1CDB1A">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935" w:type="dxa"/>
            <w:vAlign w:val="center"/>
          </w:tcPr>
          <w:p w14:paraId="462F82E4">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0.0025</w:t>
            </w:r>
          </w:p>
        </w:tc>
        <w:tc>
          <w:tcPr>
            <w:tcW w:w="1436" w:type="dxa"/>
            <w:vAlign w:val="center"/>
          </w:tcPr>
          <w:p w14:paraId="4A47A449">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eastAsia" w:cs="Times New Roman"/>
                <w:color w:val="auto"/>
                <w:sz w:val="21"/>
                <w:szCs w:val="21"/>
                <w:highlight w:val="none"/>
                <w:lang w:val="en-US" w:eastAsia="zh-CN"/>
              </w:rPr>
              <w:t>+0.0005</w:t>
            </w:r>
          </w:p>
        </w:tc>
      </w:tr>
      <w:tr w14:paraId="577A63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61" w:type="dxa"/>
            <w:vMerge w:val="restart"/>
            <w:vAlign w:val="center"/>
          </w:tcPr>
          <w:p w14:paraId="17FA2EF1">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一般工业</w:t>
            </w:r>
          </w:p>
          <w:p w14:paraId="3FFC3E0A">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固体废物</w:t>
            </w:r>
          </w:p>
        </w:tc>
        <w:tc>
          <w:tcPr>
            <w:tcW w:w="1762" w:type="dxa"/>
            <w:vAlign w:val="center"/>
          </w:tcPr>
          <w:p w14:paraId="6DBC6A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eastAsia="宋体" w:cs="宋体"/>
                <w:color w:val="auto"/>
                <w:sz w:val="21"/>
                <w:szCs w:val="21"/>
                <w:highlight w:val="none"/>
                <w:lang w:val="en-US" w:eastAsia="zh-CN"/>
              </w:rPr>
              <w:t>废果、</w:t>
            </w:r>
            <w:r>
              <w:rPr>
                <w:rFonts w:hint="eastAsia" w:ascii="Times New Roman" w:hAnsi="Times New Roman" w:cs="Times New Roman"/>
                <w:b w:val="0"/>
                <w:bCs/>
                <w:color w:val="auto"/>
                <w:sz w:val="21"/>
                <w:szCs w:val="21"/>
                <w:highlight w:val="none"/>
                <w:lang w:val="en-US" w:eastAsia="zh-CN"/>
              </w:rPr>
              <w:t>废果皮、废核及废果渣</w:t>
            </w:r>
          </w:p>
        </w:tc>
        <w:tc>
          <w:tcPr>
            <w:tcW w:w="1583" w:type="dxa"/>
            <w:vAlign w:val="center"/>
          </w:tcPr>
          <w:p w14:paraId="336858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rPr>
            </w:pPr>
            <w:r>
              <w:rPr>
                <w:rFonts w:hint="eastAsia" w:cs="Times New Roman"/>
                <w:b w:val="0"/>
                <w:bCs/>
                <w:color w:val="auto"/>
                <w:sz w:val="21"/>
                <w:szCs w:val="21"/>
                <w:highlight w:val="none"/>
                <w:lang w:val="en-US" w:eastAsia="zh-CN"/>
              </w:rPr>
              <w:t>11430</w:t>
            </w:r>
          </w:p>
        </w:tc>
        <w:tc>
          <w:tcPr>
            <w:tcW w:w="1276" w:type="dxa"/>
            <w:vAlign w:val="center"/>
          </w:tcPr>
          <w:p w14:paraId="5190508D">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701" w:type="dxa"/>
            <w:vAlign w:val="center"/>
          </w:tcPr>
          <w:p w14:paraId="3505A87D">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559" w:type="dxa"/>
            <w:vAlign w:val="center"/>
          </w:tcPr>
          <w:p w14:paraId="40D11FBD">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73" w:type="dxa"/>
            <w:vAlign w:val="center"/>
          </w:tcPr>
          <w:p w14:paraId="3381C15A">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935" w:type="dxa"/>
            <w:vAlign w:val="center"/>
          </w:tcPr>
          <w:p w14:paraId="15D36FD7">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11430</w:t>
            </w:r>
          </w:p>
        </w:tc>
        <w:tc>
          <w:tcPr>
            <w:tcW w:w="1436" w:type="dxa"/>
            <w:vAlign w:val="center"/>
          </w:tcPr>
          <w:p w14:paraId="028AD5DC">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r>
      <w:tr w14:paraId="39A26A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61" w:type="dxa"/>
            <w:vMerge w:val="continue"/>
            <w:vAlign w:val="center"/>
          </w:tcPr>
          <w:p w14:paraId="381ACE5E">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rPr>
            </w:pPr>
          </w:p>
        </w:tc>
        <w:tc>
          <w:tcPr>
            <w:tcW w:w="1762" w:type="dxa"/>
            <w:vAlign w:val="center"/>
          </w:tcPr>
          <w:p w14:paraId="68AA72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21"/>
                <w:sz w:val="21"/>
                <w:szCs w:val="21"/>
              </w:rPr>
            </w:pPr>
            <w:r>
              <w:rPr>
                <w:rFonts w:hint="eastAsia" w:ascii="Times New Roman" w:hAnsi="Times New Roman" w:eastAsia="宋体" w:cs="宋体"/>
                <w:color w:val="auto"/>
                <w:sz w:val="21"/>
                <w:szCs w:val="21"/>
                <w:highlight w:val="none"/>
                <w:lang w:val="en-US" w:eastAsia="zh-CN"/>
              </w:rPr>
              <w:t>炉渣</w:t>
            </w:r>
          </w:p>
        </w:tc>
        <w:tc>
          <w:tcPr>
            <w:tcW w:w="1583" w:type="dxa"/>
            <w:vAlign w:val="center"/>
          </w:tcPr>
          <w:p w14:paraId="1E9B27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21"/>
                <w:sz w:val="21"/>
                <w:szCs w:val="21"/>
              </w:rPr>
            </w:pPr>
            <w:r>
              <w:rPr>
                <w:rFonts w:hint="eastAsia" w:ascii="Times New Roman" w:hAnsi="Times New Roman"/>
                <w:color w:val="auto"/>
                <w:sz w:val="21"/>
                <w:szCs w:val="21"/>
                <w:highlight w:val="none"/>
                <w:lang w:val="en-US" w:eastAsia="zh-CN"/>
              </w:rPr>
              <w:t>4.15</w:t>
            </w:r>
          </w:p>
        </w:tc>
        <w:tc>
          <w:tcPr>
            <w:tcW w:w="1276" w:type="dxa"/>
            <w:vAlign w:val="center"/>
          </w:tcPr>
          <w:p w14:paraId="19FE608C">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701" w:type="dxa"/>
            <w:vAlign w:val="center"/>
          </w:tcPr>
          <w:p w14:paraId="01DFE4B2">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559" w:type="dxa"/>
            <w:vAlign w:val="center"/>
          </w:tcPr>
          <w:p w14:paraId="41ABD27E">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35.59</w:t>
            </w:r>
          </w:p>
        </w:tc>
        <w:tc>
          <w:tcPr>
            <w:tcW w:w="1373" w:type="dxa"/>
            <w:vAlign w:val="center"/>
          </w:tcPr>
          <w:p w14:paraId="699CC786">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b w:val="0"/>
                <w:bCs w:val="0"/>
                <w:color w:val="auto"/>
                <w:szCs w:val="21"/>
                <w:highlight w:val="none"/>
                <w:lang w:val="en-US" w:eastAsia="zh-CN"/>
              </w:rPr>
              <w:t>4.15</w:t>
            </w:r>
          </w:p>
        </w:tc>
        <w:tc>
          <w:tcPr>
            <w:tcW w:w="1935" w:type="dxa"/>
            <w:vAlign w:val="center"/>
          </w:tcPr>
          <w:p w14:paraId="78A24558">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35.59</w:t>
            </w:r>
          </w:p>
        </w:tc>
        <w:tc>
          <w:tcPr>
            <w:tcW w:w="1436" w:type="dxa"/>
            <w:vAlign w:val="center"/>
          </w:tcPr>
          <w:p w14:paraId="29542326">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eastAsia"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31.44</w:t>
            </w:r>
          </w:p>
        </w:tc>
      </w:tr>
      <w:tr w14:paraId="657796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61" w:type="dxa"/>
            <w:vMerge w:val="continue"/>
            <w:vAlign w:val="center"/>
          </w:tcPr>
          <w:p w14:paraId="19E335DC">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rPr>
            </w:pPr>
          </w:p>
        </w:tc>
        <w:tc>
          <w:tcPr>
            <w:tcW w:w="1762" w:type="dxa"/>
            <w:vAlign w:val="center"/>
          </w:tcPr>
          <w:p w14:paraId="05F3B8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1"/>
                <w:szCs w:val="21"/>
                <w:lang w:val="en-US" w:eastAsia="zh-CN"/>
              </w:rPr>
            </w:pPr>
            <w:r>
              <w:rPr>
                <w:rFonts w:hint="eastAsia" w:ascii="Times New Roman" w:hAnsi="Times New Roman" w:cs="宋体"/>
                <w:color w:val="auto"/>
                <w:sz w:val="21"/>
                <w:szCs w:val="21"/>
                <w:highlight w:val="none"/>
                <w:lang w:val="en-US" w:eastAsia="zh-CN"/>
              </w:rPr>
              <w:t>除尘灰</w:t>
            </w:r>
          </w:p>
        </w:tc>
        <w:tc>
          <w:tcPr>
            <w:tcW w:w="1583" w:type="dxa"/>
            <w:vAlign w:val="center"/>
          </w:tcPr>
          <w:p w14:paraId="3C785F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21"/>
                <w:sz w:val="21"/>
                <w:szCs w:val="21"/>
              </w:rPr>
            </w:pPr>
            <w:r>
              <w:rPr>
                <w:rFonts w:hint="eastAsia" w:ascii="Times New Roman" w:hAnsi="Times New Roman"/>
                <w:color w:val="auto"/>
                <w:sz w:val="21"/>
                <w:szCs w:val="21"/>
                <w:highlight w:val="none"/>
                <w:lang w:val="en-US" w:eastAsia="zh-CN"/>
              </w:rPr>
              <w:t>0.053</w:t>
            </w:r>
          </w:p>
        </w:tc>
        <w:tc>
          <w:tcPr>
            <w:tcW w:w="1276" w:type="dxa"/>
            <w:vAlign w:val="center"/>
          </w:tcPr>
          <w:p w14:paraId="7F0572B2">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701" w:type="dxa"/>
            <w:vAlign w:val="center"/>
          </w:tcPr>
          <w:p w14:paraId="45F305B2">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559" w:type="dxa"/>
            <w:vAlign w:val="center"/>
          </w:tcPr>
          <w:p w14:paraId="2F84B373">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11.286</w:t>
            </w:r>
          </w:p>
        </w:tc>
        <w:tc>
          <w:tcPr>
            <w:tcW w:w="1373" w:type="dxa"/>
            <w:vAlign w:val="center"/>
          </w:tcPr>
          <w:p w14:paraId="440A21F5">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olor w:val="auto"/>
                <w:sz w:val="21"/>
                <w:szCs w:val="21"/>
                <w:highlight w:val="none"/>
                <w:lang w:val="en-US" w:eastAsia="zh-CN"/>
              </w:rPr>
              <w:t>0.053</w:t>
            </w:r>
          </w:p>
        </w:tc>
        <w:tc>
          <w:tcPr>
            <w:tcW w:w="1935" w:type="dxa"/>
            <w:vAlign w:val="center"/>
          </w:tcPr>
          <w:p w14:paraId="49EB24FA">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11.286</w:t>
            </w:r>
          </w:p>
        </w:tc>
        <w:tc>
          <w:tcPr>
            <w:tcW w:w="1436" w:type="dxa"/>
            <w:vAlign w:val="center"/>
          </w:tcPr>
          <w:p w14:paraId="4CB6D4B7">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eastAsia"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11.233</w:t>
            </w:r>
          </w:p>
        </w:tc>
      </w:tr>
      <w:tr w14:paraId="28595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61" w:type="dxa"/>
            <w:vMerge w:val="continue"/>
            <w:vAlign w:val="center"/>
          </w:tcPr>
          <w:p w14:paraId="10E59589">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rPr>
            </w:pPr>
          </w:p>
        </w:tc>
        <w:tc>
          <w:tcPr>
            <w:tcW w:w="1762" w:type="dxa"/>
            <w:vAlign w:val="center"/>
          </w:tcPr>
          <w:p w14:paraId="14379E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宋体"/>
                <w:color w:val="auto"/>
                <w:sz w:val="21"/>
                <w:szCs w:val="21"/>
                <w:highlight w:val="none"/>
                <w:lang w:val="en-US" w:eastAsia="zh-CN"/>
              </w:rPr>
              <w:t>废培养基</w:t>
            </w:r>
          </w:p>
        </w:tc>
        <w:tc>
          <w:tcPr>
            <w:tcW w:w="1583" w:type="dxa"/>
            <w:vAlign w:val="center"/>
          </w:tcPr>
          <w:p w14:paraId="02A05B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21"/>
                <w:sz w:val="21"/>
                <w:szCs w:val="21"/>
              </w:rPr>
            </w:pPr>
            <w:r>
              <w:rPr>
                <w:rFonts w:hint="eastAsia" w:ascii="Times New Roman" w:hAnsi="Times New Roman"/>
                <w:color w:val="auto"/>
                <w:sz w:val="21"/>
                <w:szCs w:val="21"/>
                <w:highlight w:val="none"/>
                <w:lang w:val="en-US" w:eastAsia="zh-CN"/>
              </w:rPr>
              <w:t>0.003</w:t>
            </w:r>
          </w:p>
        </w:tc>
        <w:tc>
          <w:tcPr>
            <w:tcW w:w="1276" w:type="dxa"/>
            <w:vAlign w:val="center"/>
          </w:tcPr>
          <w:p w14:paraId="14CCE13D">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701" w:type="dxa"/>
            <w:vAlign w:val="center"/>
          </w:tcPr>
          <w:p w14:paraId="01AEDB9A">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559" w:type="dxa"/>
            <w:vAlign w:val="center"/>
          </w:tcPr>
          <w:p w14:paraId="05308B93">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73" w:type="dxa"/>
            <w:vAlign w:val="center"/>
          </w:tcPr>
          <w:p w14:paraId="3B3C2B6D">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935" w:type="dxa"/>
            <w:vAlign w:val="center"/>
          </w:tcPr>
          <w:p w14:paraId="30CF6371">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1436" w:type="dxa"/>
            <w:vAlign w:val="center"/>
          </w:tcPr>
          <w:p w14:paraId="3932446D">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r>
      <w:tr w14:paraId="71B5B7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61" w:type="dxa"/>
            <w:vMerge w:val="continue"/>
            <w:vAlign w:val="center"/>
          </w:tcPr>
          <w:p w14:paraId="35324982">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rPr>
            </w:pPr>
          </w:p>
        </w:tc>
        <w:tc>
          <w:tcPr>
            <w:tcW w:w="1762" w:type="dxa"/>
            <w:vAlign w:val="center"/>
          </w:tcPr>
          <w:p w14:paraId="765509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21"/>
                <w:sz w:val="21"/>
                <w:szCs w:val="21"/>
              </w:rPr>
            </w:pPr>
            <w:r>
              <w:rPr>
                <w:rFonts w:hint="eastAsia" w:ascii="Times New Roman" w:hAnsi="Times New Roman" w:cs="Times New Roman"/>
                <w:b w:val="0"/>
                <w:bCs/>
                <w:color w:val="auto"/>
                <w:sz w:val="21"/>
                <w:szCs w:val="21"/>
                <w:highlight w:val="none"/>
                <w:lang w:val="en-US" w:eastAsia="zh-CN"/>
              </w:rPr>
              <w:t>废反渗透膜</w:t>
            </w:r>
          </w:p>
        </w:tc>
        <w:tc>
          <w:tcPr>
            <w:tcW w:w="1583" w:type="dxa"/>
            <w:vAlign w:val="center"/>
          </w:tcPr>
          <w:p w14:paraId="36A46E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21"/>
                <w:sz w:val="21"/>
                <w:szCs w:val="21"/>
              </w:rPr>
            </w:pPr>
            <w:r>
              <w:rPr>
                <w:rFonts w:hint="eastAsia" w:ascii="Times New Roman" w:hAnsi="Times New Roman" w:cs="Times New Roman"/>
                <w:b w:val="0"/>
                <w:bCs/>
                <w:color w:val="auto"/>
                <w:sz w:val="21"/>
                <w:szCs w:val="21"/>
                <w:highlight w:val="none"/>
                <w:lang w:val="en-US" w:eastAsia="zh-CN"/>
              </w:rPr>
              <w:t>0.05</w:t>
            </w:r>
          </w:p>
        </w:tc>
        <w:tc>
          <w:tcPr>
            <w:tcW w:w="1276" w:type="dxa"/>
            <w:vAlign w:val="center"/>
          </w:tcPr>
          <w:p w14:paraId="15E02EA3">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701" w:type="dxa"/>
            <w:vAlign w:val="center"/>
          </w:tcPr>
          <w:p w14:paraId="0CD0F20F">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559" w:type="dxa"/>
            <w:vAlign w:val="center"/>
          </w:tcPr>
          <w:p w14:paraId="33605DFB">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73" w:type="dxa"/>
            <w:vAlign w:val="center"/>
          </w:tcPr>
          <w:p w14:paraId="3956ED12">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935" w:type="dxa"/>
            <w:vAlign w:val="center"/>
          </w:tcPr>
          <w:p w14:paraId="363DA132">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1436" w:type="dxa"/>
            <w:vAlign w:val="center"/>
          </w:tcPr>
          <w:p w14:paraId="56B51CEB">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r>
      <w:tr w14:paraId="2A722B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61" w:type="dxa"/>
            <w:vMerge w:val="continue"/>
            <w:vAlign w:val="center"/>
          </w:tcPr>
          <w:p w14:paraId="183B57E7">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rPr>
            </w:pPr>
          </w:p>
        </w:tc>
        <w:tc>
          <w:tcPr>
            <w:tcW w:w="1762" w:type="dxa"/>
            <w:vAlign w:val="center"/>
          </w:tcPr>
          <w:p w14:paraId="1A24A9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cs="宋体"/>
                <w:color w:val="auto"/>
                <w:sz w:val="21"/>
                <w:szCs w:val="21"/>
                <w:highlight w:val="none"/>
                <w:lang w:val="en-US" w:eastAsia="zh-CN"/>
              </w:rPr>
              <w:t>废包装材料</w:t>
            </w:r>
          </w:p>
        </w:tc>
        <w:tc>
          <w:tcPr>
            <w:tcW w:w="1583" w:type="dxa"/>
            <w:vAlign w:val="center"/>
          </w:tcPr>
          <w:p w14:paraId="11BCB1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21"/>
                <w:sz w:val="21"/>
                <w:szCs w:val="21"/>
              </w:rPr>
            </w:pPr>
            <w:r>
              <w:rPr>
                <w:rFonts w:hint="eastAsia" w:ascii="Times New Roman" w:hAnsi="Times New Roman" w:cs="Times New Roman"/>
                <w:b w:val="0"/>
                <w:bCs/>
                <w:color w:val="auto"/>
                <w:sz w:val="21"/>
                <w:szCs w:val="21"/>
                <w:highlight w:val="none"/>
                <w:lang w:val="en-US" w:eastAsia="zh-CN"/>
              </w:rPr>
              <w:t>0.1</w:t>
            </w:r>
          </w:p>
        </w:tc>
        <w:tc>
          <w:tcPr>
            <w:tcW w:w="1276" w:type="dxa"/>
            <w:vAlign w:val="center"/>
          </w:tcPr>
          <w:p w14:paraId="547BBBEF">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701" w:type="dxa"/>
            <w:vAlign w:val="center"/>
          </w:tcPr>
          <w:p w14:paraId="7692F9A9">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559" w:type="dxa"/>
            <w:vAlign w:val="center"/>
          </w:tcPr>
          <w:p w14:paraId="458FC510">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73" w:type="dxa"/>
            <w:vAlign w:val="center"/>
          </w:tcPr>
          <w:p w14:paraId="5FE9B91E">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935" w:type="dxa"/>
            <w:vAlign w:val="center"/>
          </w:tcPr>
          <w:p w14:paraId="57164358">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436" w:type="dxa"/>
            <w:vAlign w:val="center"/>
          </w:tcPr>
          <w:p w14:paraId="2A77FB7D">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r>
      <w:tr w14:paraId="3FFE6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61" w:type="dxa"/>
            <w:vMerge w:val="continue"/>
            <w:vAlign w:val="center"/>
          </w:tcPr>
          <w:p w14:paraId="16BBA159">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rPr>
            </w:pPr>
          </w:p>
        </w:tc>
        <w:tc>
          <w:tcPr>
            <w:tcW w:w="1762" w:type="dxa"/>
            <w:vAlign w:val="center"/>
          </w:tcPr>
          <w:p w14:paraId="0C1B6C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污水处理设施污泥</w:t>
            </w:r>
          </w:p>
        </w:tc>
        <w:tc>
          <w:tcPr>
            <w:tcW w:w="1583" w:type="dxa"/>
            <w:vAlign w:val="center"/>
          </w:tcPr>
          <w:p w14:paraId="33C7A9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276" w:type="dxa"/>
            <w:vAlign w:val="center"/>
          </w:tcPr>
          <w:p w14:paraId="770EFE5C">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13.56</w:t>
            </w:r>
          </w:p>
        </w:tc>
        <w:tc>
          <w:tcPr>
            <w:tcW w:w="1701" w:type="dxa"/>
            <w:vAlign w:val="center"/>
          </w:tcPr>
          <w:p w14:paraId="15649043">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1559" w:type="dxa"/>
            <w:vAlign w:val="center"/>
          </w:tcPr>
          <w:p w14:paraId="75329A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0"/>
                <w:sz w:val="21"/>
                <w:szCs w:val="21"/>
                <w:lang w:val="en-US" w:eastAsia="zh-CN" w:bidi="ar-SA"/>
              </w:rPr>
              <w:t>13.56</w:t>
            </w:r>
          </w:p>
        </w:tc>
        <w:tc>
          <w:tcPr>
            <w:tcW w:w="1373" w:type="dxa"/>
            <w:vAlign w:val="center"/>
          </w:tcPr>
          <w:p w14:paraId="24CBAF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935" w:type="dxa"/>
            <w:vAlign w:val="center"/>
          </w:tcPr>
          <w:p w14:paraId="4DF04A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13.56</w:t>
            </w:r>
          </w:p>
        </w:tc>
        <w:tc>
          <w:tcPr>
            <w:tcW w:w="1436" w:type="dxa"/>
            <w:vAlign w:val="center"/>
          </w:tcPr>
          <w:p w14:paraId="425281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01FC5D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61" w:type="dxa"/>
            <w:vMerge w:val="restart"/>
            <w:vAlign w:val="center"/>
          </w:tcPr>
          <w:p w14:paraId="1A7569E9">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eastAsiaTheme="minorEastAsia"/>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危废废物</w:t>
            </w:r>
          </w:p>
        </w:tc>
        <w:tc>
          <w:tcPr>
            <w:tcW w:w="1762" w:type="dxa"/>
            <w:vAlign w:val="center"/>
          </w:tcPr>
          <w:p w14:paraId="5077D5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olor w:val="auto"/>
                <w:sz w:val="21"/>
                <w:szCs w:val="21"/>
                <w:highlight w:val="none"/>
                <w:lang w:val="en-US" w:eastAsia="zh-CN"/>
              </w:rPr>
              <w:t>废冷冻油</w:t>
            </w:r>
          </w:p>
        </w:tc>
        <w:tc>
          <w:tcPr>
            <w:tcW w:w="1583" w:type="dxa"/>
            <w:vAlign w:val="center"/>
          </w:tcPr>
          <w:p w14:paraId="4D4373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21"/>
                <w:sz w:val="21"/>
                <w:szCs w:val="21"/>
                <w:lang w:val="en-US"/>
              </w:rPr>
            </w:pPr>
            <w:r>
              <w:rPr>
                <w:rFonts w:hint="eastAsia" w:cs="Times New Roman"/>
                <w:b w:val="0"/>
                <w:bCs/>
                <w:color w:val="auto"/>
                <w:sz w:val="21"/>
                <w:szCs w:val="21"/>
                <w:highlight w:val="none"/>
                <w:lang w:val="en-US" w:eastAsia="zh-CN"/>
              </w:rPr>
              <w:t>0.1</w:t>
            </w:r>
          </w:p>
        </w:tc>
        <w:tc>
          <w:tcPr>
            <w:tcW w:w="1276" w:type="dxa"/>
            <w:vAlign w:val="center"/>
          </w:tcPr>
          <w:p w14:paraId="6DEAE80E">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701" w:type="dxa"/>
            <w:vAlign w:val="center"/>
          </w:tcPr>
          <w:p w14:paraId="3F9ED2E4">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559" w:type="dxa"/>
            <w:vAlign w:val="center"/>
          </w:tcPr>
          <w:p w14:paraId="33B039FA">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73" w:type="dxa"/>
            <w:vAlign w:val="center"/>
          </w:tcPr>
          <w:p w14:paraId="4DBAF9D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935" w:type="dxa"/>
            <w:vAlign w:val="center"/>
          </w:tcPr>
          <w:p w14:paraId="0E6509C6">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eastAsia" w:cs="Times New Roman"/>
                <w:i w:val="0"/>
                <w:iCs w:val="0"/>
                <w:color w:val="auto"/>
                <w:kern w:val="0"/>
                <w:sz w:val="21"/>
                <w:szCs w:val="21"/>
                <w:u w:val="none"/>
                <w:lang w:val="en-US" w:eastAsia="zh-CN" w:bidi="ar"/>
              </w:rPr>
              <w:t>0.1</w:t>
            </w:r>
          </w:p>
        </w:tc>
        <w:tc>
          <w:tcPr>
            <w:tcW w:w="1436" w:type="dxa"/>
            <w:vAlign w:val="center"/>
          </w:tcPr>
          <w:p w14:paraId="311488BD">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r>
      <w:tr w14:paraId="5FB154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61" w:type="dxa"/>
            <w:vMerge w:val="continue"/>
            <w:vAlign w:val="center"/>
          </w:tcPr>
          <w:p w14:paraId="766E1565">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eastAsiaTheme="minorEastAsia"/>
                <w:snapToGrid w:val="0"/>
                <w:color w:val="auto"/>
                <w:kern w:val="21"/>
                <w:sz w:val="21"/>
                <w:szCs w:val="21"/>
                <w:lang w:val="en-US" w:eastAsia="zh-CN"/>
              </w:rPr>
            </w:pPr>
          </w:p>
        </w:tc>
        <w:tc>
          <w:tcPr>
            <w:tcW w:w="1762" w:type="dxa"/>
            <w:vAlign w:val="center"/>
          </w:tcPr>
          <w:p w14:paraId="2B3057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废包装桶</w:t>
            </w:r>
          </w:p>
        </w:tc>
        <w:tc>
          <w:tcPr>
            <w:tcW w:w="1583" w:type="dxa"/>
            <w:vAlign w:val="center"/>
          </w:tcPr>
          <w:p w14:paraId="05E4B1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cs="Times New Roman"/>
                <w:snapToGrid w:val="0"/>
                <w:color w:val="auto"/>
                <w:kern w:val="21"/>
                <w:sz w:val="21"/>
                <w:szCs w:val="21"/>
              </w:rPr>
            </w:pPr>
            <w:r>
              <w:rPr>
                <w:rFonts w:hint="eastAsia" w:ascii="Times New Roman" w:hAnsi="Times New Roman" w:eastAsia="宋体" w:cs="Times New Roman"/>
                <w:smallCaps w:val="0"/>
                <w:color w:val="auto"/>
                <w:kern w:val="2"/>
                <w:sz w:val="21"/>
                <w:szCs w:val="21"/>
                <w:highlight w:val="none"/>
                <w:vertAlign w:val="baseline"/>
                <w:lang w:val="en-US" w:eastAsia="zh-CN" w:bidi="ar"/>
              </w:rPr>
              <w:t>1.5</w:t>
            </w:r>
          </w:p>
        </w:tc>
        <w:tc>
          <w:tcPr>
            <w:tcW w:w="1276" w:type="dxa"/>
            <w:vAlign w:val="center"/>
          </w:tcPr>
          <w:p w14:paraId="71A87004">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701" w:type="dxa"/>
            <w:vAlign w:val="center"/>
          </w:tcPr>
          <w:p w14:paraId="58E8F25C">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w:t>
            </w:r>
          </w:p>
        </w:tc>
        <w:tc>
          <w:tcPr>
            <w:tcW w:w="1559" w:type="dxa"/>
            <w:vAlign w:val="center"/>
          </w:tcPr>
          <w:p w14:paraId="19EB8C0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73" w:type="dxa"/>
            <w:vAlign w:val="center"/>
          </w:tcPr>
          <w:p w14:paraId="1547FA19">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935" w:type="dxa"/>
            <w:vAlign w:val="center"/>
          </w:tcPr>
          <w:p w14:paraId="498CC985">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436" w:type="dxa"/>
            <w:vAlign w:val="center"/>
          </w:tcPr>
          <w:p w14:paraId="7797D156">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r>
    </w:tbl>
    <w:p w14:paraId="3FCBC53E">
      <w:pPr>
        <w:pStyle w:val="42"/>
        <w:spacing w:beforeLines="80" w:after="24"/>
        <w:jc w:val="left"/>
        <w:rPr>
          <w:rFonts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14:paraId="20F340B4">
      <w:pPr>
        <w:rPr>
          <w:color w:val="auto"/>
        </w:rPr>
      </w:pPr>
    </w:p>
    <w:sectPr>
      <w:footerReference r:id="rId8" w:type="default"/>
      <w:pgSz w:w="16838" w:h="11906" w:orient="landscape"/>
      <w:pgMar w:top="1531" w:right="1701" w:bottom="1531" w:left="1701" w:header="851" w:footer="851"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新宋体-18030">
    <w:altName w:val="宋体"/>
    <w:panose1 w:val="00000000000000000000"/>
    <w:charset w:val="00"/>
    <w:family w:val="auto"/>
    <w:pitch w:val="default"/>
    <w:sig w:usb0="00000000" w:usb1="00000000" w:usb2="00000000"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86"/>
    <w:family w:val="auto"/>
    <w:pitch w:val="default"/>
    <w:sig w:usb0="00000000" w:usb1="00000000" w:usb2="00000000" w:usb3="00000000" w:csb0="00040000" w:csb1="00000000"/>
  </w:font>
  <w:font w:name="TimesNewRomanPS-BoldMT">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FZSSK--GBK1-0">
    <w:altName w:val="宋体"/>
    <w:panose1 w:val="00000000000000000000"/>
    <w:charset w:val="86"/>
    <w:family w:val="auto"/>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5A02B">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216CB">
    <w:pPr>
      <w:pStyle w:val="15"/>
      <w:framePr w:wrap="around" w:vAnchor="text" w:hAnchor="margin" w:xAlign="center" w:y="1"/>
      <w:rPr>
        <w:rStyle w:val="26"/>
      </w:rPr>
    </w:pPr>
    <w:r>
      <w:fldChar w:fldCharType="begin"/>
    </w:r>
    <w:r>
      <w:rPr>
        <w:rStyle w:val="26"/>
      </w:rPr>
      <w:instrText xml:space="preserve">PAGE  </w:instrText>
    </w:r>
    <w:r>
      <w:fldChar w:fldCharType="end"/>
    </w:r>
  </w:p>
  <w:p w14:paraId="5A29B04A">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10C39">
    <w:pPr>
      <w:pStyle w:val="15"/>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0A7F0">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B10A7F0">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630B9">
    <w:pPr>
      <w:pStyle w:val="15"/>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87A1AB">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487A1AB">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04D41">
    <w:pPr>
      <w:pStyle w:val="15"/>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C1C815">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0C1C815">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CEE5B">
    <w:pPr>
      <w:pStyle w:val="15"/>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5A4DAC">
                          <w:pPr>
                            <w:pStyle w:val="15"/>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F5A4DAC">
                    <w:pPr>
                      <w:pStyle w:val="15"/>
                    </w:pPr>
                    <w:r>
                      <w:fldChar w:fldCharType="begin"/>
                    </w:r>
                    <w:r>
                      <w:instrText xml:space="preserve"> PAGE  \* MERGEFORMAT </w:instrText>
                    </w:r>
                    <w:r>
                      <w:fldChar w:fldCharType="separate"/>
                    </w:r>
                    <w:r>
                      <w:t>89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4B98CB"/>
    <w:multiLevelType w:val="singleLevel"/>
    <w:tmpl w:val="104B98CB"/>
    <w:lvl w:ilvl="0" w:tentative="0">
      <w:start w:val="4"/>
      <w:numFmt w:val="decimal"/>
      <w:suff w:val="nothing"/>
      <w:lvlText w:val="%1、"/>
      <w:lvlJc w:val="left"/>
    </w:lvl>
  </w:abstractNum>
  <w:abstractNum w:abstractNumId="1">
    <w:nsid w:val="3BE46633"/>
    <w:multiLevelType w:val="multilevel"/>
    <w:tmpl w:val="3BE46633"/>
    <w:lvl w:ilvl="0" w:tentative="0">
      <w:start w:val="1"/>
      <w:numFmt w:val="decimal"/>
      <w:lvlText w:val="%1、"/>
      <w:lvlJc w:val="left"/>
      <w:pPr>
        <w:ind w:left="857" w:hanging="375"/>
      </w:pPr>
      <w:rPr>
        <w:rFonts w:hint="default"/>
        <w:b/>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48550C06"/>
    <w:multiLevelType w:val="singleLevel"/>
    <w:tmpl w:val="48550C06"/>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3">
    <w:nsid w:val="561E173D"/>
    <w:multiLevelType w:val="multilevel"/>
    <w:tmpl w:val="561E173D"/>
    <w:lvl w:ilvl="0" w:tentative="0">
      <w:start w:val="1"/>
      <w:numFmt w:val="decimal"/>
      <w:suff w:val="space"/>
      <w:lvlText w:val="%1"/>
      <w:lvlJc w:val="left"/>
      <w:pPr>
        <w:tabs>
          <w:tab w:val="left" w:pos="0"/>
        </w:tabs>
        <w:ind w:left="0" w:firstLine="0"/>
      </w:pPr>
      <w:rPr>
        <w:rFonts w:hint="default" w:ascii="Times New Roman" w:hAnsi="Times New Roman" w:eastAsia="宋体" w:cs="宋体"/>
      </w:rPr>
    </w:lvl>
    <w:lvl w:ilvl="1" w:tentative="0">
      <w:start w:val="1"/>
      <w:numFmt w:val="decimal"/>
      <w:suff w:val="space"/>
      <w:lvlText w:val="%1.%2"/>
      <w:lvlJc w:val="left"/>
      <w:pPr>
        <w:tabs>
          <w:tab w:val="left" w:pos="284"/>
        </w:tabs>
        <w:ind w:left="284" w:firstLine="0"/>
      </w:pPr>
      <w:rPr>
        <w:rFonts w:hint="default" w:ascii="Times New Roman" w:hAnsi="Times New Roman" w:eastAsia="宋体" w:cs="宋体"/>
      </w:rPr>
    </w:lvl>
    <w:lvl w:ilvl="2" w:tentative="0">
      <w:start w:val="1"/>
      <w:numFmt w:val="decimal"/>
      <w:pStyle w:val="5"/>
      <w:suff w:val="space"/>
      <w:lvlText w:val="%1.%2.%3"/>
      <w:lvlJc w:val="left"/>
      <w:pPr>
        <w:tabs>
          <w:tab w:val="left" w:pos="0"/>
        </w:tabs>
        <w:ind w:left="0" w:firstLine="0"/>
      </w:pPr>
      <w:rPr>
        <w:rFonts w:hint="default" w:ascii="Times New Roman" w:hAnsi="Times New Roman" w:eastAsia="宋体" w:cs="宋体"/>
      </w:rPr>
    </w:lvl>
    <w:lvl w:ilvl="3" w:tentative="0">
      <w:start w:val="1"/>
      <w:numFmt w:val="decimal"/>
      <w:suff w:val="space"/>
      <w:lvlText w:val="%1.%2.%3.%4"/>
      <w:lvlJc w:val="left"/>
      <w:pPr>
        <w:tabs>
          <w:tab w:val="left" w:pos="0"/>
        </w:tabs>
        <w:ind w:left="0" w:firstLine="0"/>
      </w:pPr>
      <w:rPr>
        <w:rFonts w:hint="default" w:ascii="Times New Roman" w:hAnsi="Times New Roman" w:eastAsia="宋体" w:cs="宋体"/>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1"/>
        </w:tabs>
        <w:ind w:left="1151" w:hanging="1151"/>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jNWMyYWY2MzkzYzdiYjk3ZjJmMTQyNTU0Y2UwYmIifQ=="/>
  </w:docVars>
  <w:rsids>
    <w:rsidRoot w:val="00172A27"/>
    <w:rsid w:val="00005FDE"/>
    <w:rsid w:val="0001261B"/>
    <w:rsid w:val="00021100"/>
    <w:rsid w:val="00051CB7"/>
    <w:rsid w:val="00071362"/>
    <w:rsid w:val="000A43BA"/>
    <w:rsid w:val="000A7ADF"/>
    <w:rsid w:val="000C6EB3"/>
    <w:rsid w:val="000D4BAC"/>
    <w:rsid w:val="000D7DC7"/>
    <w:rsid w:val="001139C8"/>
    <w:rsid w:val="00123F3B"/>
    <w:rsid w:val="00172A27"/>
    <w:rsid w:val="001862B0"/>
    <w:rsid w:val="001B6C60"/>
    <w:rsid w:val="001D0504"/>
    <w:rsid w:val="001D26C5"/>
    <w:rsid w:val="001F1257"/>
    <w:rsid w:val="00205687"/>
    <w:rsid w:val="002147A5"/>
    <w:rsid w:val="0022128F"/>
    <w:rsid w:val="0022409C"/>
    <w:rsid w:val="002B4159"/>
    <w:rsid w:val="00304D8B"/>
    <w:rsid w:val="00334BCF"/>
    <w:rsid w:val="003470B2"/>
    <w:rsid w:val="00364AF1"/>
    <w:rsid w:val="00367D6E"/>
    <w:rsid w:val="003919B7"/>
    <w:rsid w:val="0039581F"/>
    <w:rsid w:val="003A3FE1"/>
    <w:rsid w:val="003A4684"/>
    <w:rsid w:val="003D1806"/>
    <w:rsid w:val="003E7BA8"/>
    <w:rsid w:val="00474E93"/>
    <w:rsid w:val="004E54A3"/>
    <w:rsid w:val="004E5810"/>
    <w:rsid w:val="00511486"/>
    <w:rsid w:val="005122FF"/>
    <w:rsid w:val="0051783E"/>
    <w:rsid w:val="00546089"/>
    <w:rsid w:val="00591D30"/>
    <w:rsid w:val="005D18D5"/>
    <w:rsid w:val="005D7F8F"/>
    <w:rsid w:val="005E75E0"/>
    <w:rsid w:val="00611372"/>
    <w:rsid w:val="00611E8C"/>
    <w:rsid w:val="00656245"/>
    <w:rsid w:val="00663880"/>
    <w:rsid w:val="006C4FD7"/>
    <w:rsid w:val="006F19DA"/>
    <w:rsid w:val="0071116F"/>
    <w:rsid w:val="00715B91"/>
    <w:rsid w:val="007166A2"/>
    <w:rsid w:val="00733D47"/>
    <w:rsid w:val="0076014D"/>
    <w:rsid w:val="00776CC6"/>
    <w:rsid w:val="00785861"/>
    <w:rsid w:val="007B0282"/>
    <w:rsid w:val="007B5417"/>
    <w:rsid w:val="007F4142"/>
    <w:rsid w:val="00831053"/>
    <w:rsid w:val="00831AD1"/>
    <w:rsid w:val="008713A5"/>
    <w:rsid w:val="00876B32"/>
    <w:rsid w:val="00882B3D"/>
    <w:rsid w:val="00882EA0"/>
    <w:rsid w:val="00891095"/>
    <w:rsid w:val="00896843"/>
    <w:rsid w:val="008A6C2F"/>
    <w:rsid w:val="0093675C"/>
    <w:rsid w:val="00946F84"/>
    <w:rsid w:val="009525B3"/>
    <w:rsid w:val="009536A8"/>
    <w:rsid w:val="009768D6"/>
    <w:rsid w:val="009A5100"/>
    <w:rsid w:val="009B70A8"/>
    <w:rsid w:val="009D348E"/>
    <w:rsid w:val="009E64A9"/>
    <w:rsid w:val="009F0D20"/>
    <w:rsid w:val="00A3295D"/>
    <w:rsid w:val="00A329A1"/>
    <w:rsid w:val="00A3590B"/>
    <w:rsid w:val="00A36F5D"/>
    <w:rsid w:val="00A5031E"/>
    <w:rsid w:val="00A851CA"/>
    <w:rsid w:val="00AA76A7"/>
    <w:rsid w:val="00AC19E6"/>
    <w:rsid w:val="00AE260F"/>
    <w:rsid w:val="00B365A2"/>
    <w:rsid w:val="00B468A6"/>
    <w:rsid w:val="00B47810"/>
    <w:rsid w:val="00B7442B"/>
    <w:rsid w:val="00BA7ABF"/>
    <w:rsid w:val="00BD2D3A"/>
    <w:rsid w:val="00BD6768"/>
    <w:rsid w:val="00BE0E94"/>
    <w:rsid w:val="00C35E4C"/>
    <w:rsid w:val="00C40443"/>
    <w:rsid w:val="00C6503A"/>
    <w:rsid w:val="00C75B88"/>
    <w:rsid w:val="00CD393A"/>
    <w:rsid w:val="00CE3121"/>
    <w:rsid w:val="00D007E4"/>
    <w:rsid w:val="00D01E9E"/>
    <w:rsid w:val="00D43826"/>
    <w:rsid w:val="00D45C4C"/>
    <w:rsid w:val="00D60B6D"/>
    <w:rsid w:val="00DD50EE"/>
    <w:rsid w:val="00E06D99"/>
    <w:rsid w:val="00E2557E"/>
    <w:rsid w:val="00E33C68"/>
    <w:rsid w:val="00E63E7A"/>
    <w:rsid w:val="00E825E1"/>
    <w:rsid w:val="00EB78A7"/>
    <w:rsid w:val="00EF5B13"/>
    <w:rsid w:val="00EF7006"/>
    <w:rsid w:val="00F03639"/>
    <w:rsid w:val="00F13869"/>
    <w:rsid w:val="00F30C40"/>
    <w:rsid w:val="00F74244"/>
    <w:rsid w:val="00F7781A"/>
    <w:rsid w:val="00FA18ED"/>
    <w:rsid w:val="00FA1CA3"/>
    <w:rsid w:val="00FF34B3"/>
    <w:rsid w:val="011078C7"/>
    <w:rsid w:val="011F474C"/>
    <w:rsid w:val="01341807"/>
    <w:rsid w:val="01477945"/>
    <w:rsid w:val="017E2A82"/>
    <w:rsid w:val="01AA1407"/>
    <w:rsid w:val="01B832A9"/>
    <w:rsid w:val="023B322A"/>
    <w:rsid w:val="027C3466"/>
    <w:rsid w:val="02816AB1"/>
    <w:rsid w:val="0293255D"/>
    <w:rsid w:val="02F67590"/>
    <w:rsid w:val="037D5D1F"/>
    <w:rsid w:val="039443B8"/>
    <w:rsid w:val="03C50E3C"/>
    <w:rsid w:val="03F6755F"/>
    <w:rsid w:val="03FB660C"/>
    <w:rsid w:val="040A02A1"/>
    <w:rsid w:val="041B4CA9"/>
    <w:rsid w:val="0428557E"/>
    <w:rsid w:val="04C16817"/>
    <w:rsid w:val="04D5511C"/>
    <w:rsid w:val="053B7B5E"/>
    <w:rsid w:val="05750FEF"/>
    <w:rsid w:val="059454B6"/>
    <w:rsid w:val="05AC1759"/>
    <w:rsid w:val="05EE52AE"/>
    <w:rsid w:val="06075C0A"/>
    <w:rsid w:val="06240B39"/>
    <w:rsid w:val="065169B7"/>
    <w:rsid w:val="06BC14B2"/>
    <w:rsid w:val="06BD229F"/>
    <w:rsid w:val="06CB295A"/>
    <w:rsid w:val="070E4E53"/>
    <w:rsid w:val="071B0474"/>
    <w:rsid w:val="07347935"/>
    <w:rsid w:val="076402A0"/>
    <w:rsid w:val="079B25E0"/>
    <w:rsid w:val="07B57FF6"/>
    <w:rsid w:val="07FD6B1D"/>
    <w:rsid w:val="08122176"/>
    <w:rsid w:val="08193505"/>
    <w:rsid w:val="088A0AD5"/>
    <w:rsid w:val="08A3301A"/>
    <w:rsid w:val="08A9139C"/>
    <w:rsid w:val="08C96CD9"/>
    <w:rsid w:val="08F1563F"/>
    <w:rsid w:val="09167A09"/>
    <w:rsid w:val="09684744"/>
    <w:rsid w:val="098903AF"/>
    <w:rsid w:val="099C43EE"/>
    <w:rsid w:val="0A355303"/>
    <w:rsid w:val="0A8865DB"/>
    <w:rsid w:val="0B5B58B0"/>
    <w:rsid w:val="0B5E0019"/>
    <w:rsid w:val="0BDB58C1"/>
    <w:rsid w:val="0BF13228"/>
    <w:rsid w:val="0BF34DDF"/>
    <w:rsid w:val="0BF7590B"/>
    <w:rsid w:val="0C1C35C4"/>
    <w:rsid w:val="0C3D5287"/>
    <w:rsid w:val="0C4A0131"/>
    <w:rsid w:val="0C6805B7"/>
    <w:rsid w:val="0CAC4948"/>
    <w:rsid w:val="0CEF2A86"/>
    <w:rsid w:val="0D051E9D"/>
    <w:rsid w:val="0D1C7510"/>
    <w:rsid w:val="0D3813B1"/>
    <w:rsid w:val="0D6671EC"/>
    <w:rsid w:val="0D674D12"/>
    <w:rsid w:val="0D951880"/>
    <w:rsid w:val="0DFF13DA"/>
    <w:rsid w:val="0E007C2F"/>
    <w:rsid w:val="0E0C604D"/>
    <w:rsid w:val="0E517078"/>
    <w:rsid w:val="0E755186"/>
    <w:rsid w:val="0E8E5690"/>
    <w:rsid w:val="0E9438E5"/>
    <w:rsid w:val="0EB675B9"/>
    <w:rsid w:val="100625C1"/>
    <w:rsid w:val="101801C7"/>
    <w:rsid w:val="106D43EE"/>
    <w:rsid w:val="10B657AF"/>
    <w:rsid w:val="10C174F3"/>
    <w:rsid w:val="10C73DBE"/>
    <w:rsid w:val="11361248"/>
    <w:rsid w:val="116B3023"/>
    <w:rsid w:val="118A115F"/>
    <w:rsid w:val="11BD4E2C"/>
    <w:rsid w:val="11D47DB0"/>
    <w:rsid w:val="11EE155E"/>
    <w:rsid w:val="11FB0B9E"/>
    <w:rsid w:val="128D6FC9"/>
    <w:rsid w:val="12B97DBE"/>
    <w:rsid w:val="12E9710D"/>
    <w:rsid w:val="13682F98"/>
    <w:rsid w:val="13712447"/>
    <w:rsid w:val="13946135"/>
    <w:rsid w:val="13CA16CE"/>
    <w:rsid w:val="13F6294C"/>
    <w:rsid w:val="140F27BD"/>
    <w:rsid w:val="142E0338"/>
    <w:rsid w:val="14970B44"/>
    <w:rsid w:val="14F228AB"/>
    <w:rsid w:val="14F82861"/>
    <w:rsid w:val="150115A9"/>
    <w:rsid w:val="15033573"/>
    <w:rsid w:val="154B3BED"/>
    <w:rsid w:val="154C316C"/>
    <w:rsid w:val="15BC5109"/>
    <w:rsid w:val="15C8154F"/>
    <w:rsid w:val="15E6385D"/>
    <w:rsid w:val="16150C04"/>
    <w:rsid w:val="16404052"/>
    <w:rsid w:val="16556678"/>
    <w:rsid w:val="16695657"/>
    <w:rsid w:val="167F0660"/>
    <w:rsid w:val="16AB3EC2"/>
    <w:rsid w:val="172123D6"/>
    <w:rsid w:val="17451C21"/>
    <w:rsid w:val="17486195"/>
    <w:rsid w:val="17AD6F65"/>
    <w:rsid w:val="17DD79FA"/>
    <w:rsid w:val="17FD24FB"/>
    <w:rsid w:val="18336B09"/>
    <w:rsid w:val="189D1475"/>
    <w:rsid w:val="18DF7C12"/>
    <w:rsid w:val="194748FA"/>
    <w:rsid w:val="199928CB"/>
    <w:rsid w:val="19B1359D"/>
    <w:rsid w:val="19CD047B"/>
    <w:rsid w:val="1A077661"/>
    <w:rsid w:val="1A0E6ACF"/>
    <w:rsid w:val="1A0F29BA"/>
    <w:rsid w:val="1A2E2E40"/>
    <w:rsid w:val="1A3C1DEC"/>
    <w:rsid w:val="1A475967"/>
    <w:rsid w:val="1A9C427F"/>
    <w:rsid w:val="1AEE0821"/>
    <w:rsid w:val="1AFE6CB6"/>
    <w:rsid w:val="1B0E43FD"/>
    <w:rsid w:val="1B1124C3"/>
    <w:rsid w:val="1B371A34"/>
    <w:rsid w:val="1B397CEE"/>
    <w:rsid w:val="1B42447A"/>
    <w:rsid w:val="1B7314DB"/>
    <w:rsid w:val="1B9133C8"/>
    <w:rsid w:val="1BC739A5"/>
    <w:rsid w:val="1BE41A20"/>
    <w:rsid w:val="1BF17AB2"/>
    <w:rsid w:val="1C222C58"/>
    <w:rsid w:val="1C463555"/>
    <w:rsid w:val="1C7B4C46"/>
    <w:rsid w:val="1C7B4DFC"/>
    <w:rsid w:val="1C986C81"/>
    <w:rsid w:val="1CB57848"/>
    <w:rsid w:val="1CD147AE"/>
    <w:rsid w:val="1D00796F"/>
    <w:rsid w:val="1D177BDA"/>
    <w:rsid w:val="1D886D0B"/>
    <w:rsid w:val="1D903573"/>
    <w:rsid w:val="1D983E6F"/>
    <w:rsid w:val="1DA33B45"/>
    <w:rsid w:val="1DC77DB8"/>
    <w:rsid w:val="1DC87348"/>
    <w:rsid w:val="1DE81558"/>
    <w:rsid w:val="1E104434"/>
    <w:rsid w:val="1E130702"/>
    <w:rsid w:val="1E8C402A"/>
    <w:rsid w:val="1EE066D3"/>
    <w:rsid w:val="1EF34658"/>
    <w:rsid w:val="1F6115C2"/>
    <w:rsid w:val="1F7600F9"/>
    <w:rsid w:val="1F780AD6"/>
    <w:rsid w:val="1FB45B95"/>
    <w:rsid w:val="1FF16DE9"/>
    <w:rsid w:val="202B1BD0"/>
    <w:rsid w:val="20317098"/>
    <w:rsid w:val="20967A57"/>
    <w:rsid w:val="20AF45AF"/>
    <w:rsid w:val="211511D9"/>
    <w:rsid w:val="211A5ECC"/>
    <w:rsid w:val="212F0E9B"/>
    <w:rsid w:val="21367CA5"/>
    <w:rsid w:val="21663C39"/>
    <w:rsid w:val="21896002"/>
    <w:rsid w:val="218F36A2"/>
    <w:rsid w:val="21AC2E38"/>
    <w:rsid w:val="21B67BEC"/>
    <w:rsid w:val="21FE57EE"/>
    <w:rsid w:val="21FE64EE"/>
    <w:rsid w:val="22362E71"/>
    <w:rsid w:val="224946C1"/>
    <w:rsid w:val="226F3F88"/>
    <w:rsid w:val="22C87961"/>
    <w:rsid w:val="230D02F1"/>
    <w:rsid w:val="231109D0"/>
    <w:rsid w:val="23475472"/>
    <w:rsid w:val="234E4553"/>
    <w:rsid w:val="23AE0B4E"/>
    <w:rsid w:val="23C4732A"/>
    <w:rsid w:val="23C709DE"/>
    <w:rsid w:val="23D46034"/>
    <w:rsid w:val="23F07BA6"/>
    <w:rsid w:val="24154B88"/>
    <w:rsid w:val="2483647E"/>
    <w:rsid w:val="249B6814"/>
    <w:rsid w:val="24D63021"/>
    <w:rsid w:val="25321EBD"/>
    <w:rsid w:val="253F4476"/>
    <w:rsid w:val="2546034B"/>
    <w:rsid w:val="256E5F03"/>
    <w:rsid w:val="257C7B41"/>
    <w:rsid w:val="25836A16"/>
    <w:rsid w:val="259F37DC"/>
    <w:rsid w:val="25DE322B"/>
    <w:rsid w:val="25E640C7"/>
    <w:rsid w:val="25FA68C7"/>
    <w:rsid w:val="26301CEE"/>
    <w:rsid w:val="265D788F"/>
    <w:rsid w:val="2673225B"/>
    <w:rsid w:val="26AC3B1E"/>
    <w:rsid w:val="26BE1B32"/>
    <w:rsid w:val="26F7797C"/>
    <w:rsid w:val="271F52BE"/>
    <w:rsid w:val="272311EB"/>
    <w:rsid w:val="273D0B66"/>
    <w:rsid w:val="27AA13F3"/>
    <w:rsid w:val="27D36040"/>
    <w:rsid w:val="27DD30F2"/>
    <w:rsid w:val="28153891"/>
    <w:rsid w:val="2819287B"/>
    <w:rsid w:val="28377363"/>
    <w:rsid w:val="28550131"/>
    <w:rsid w:val="294206B6"/>
    <w:rsid w:val="2944442E"/>
    <w:rsid w:val="299668DF"/>
    <w:rsid w:val="29B63F62"/>
    <w:rsid w:val="2A3D0E7D"/>
    <w:rsid w:val="2A420242"/>
    <w:rsid w:val="2B7D4776"/>
    <w:rsid w:val="2B84143C"/>
    <w:rsid w:val="2B9845BD"/>
    <w:rsid w:val="2BF04FB9"/>
    <w:rsid w:val="2C3B74EA"/>
    <w:rsid w:val="2C9E3E55"/>
    <w:rsid w:val="2CA253AC"/>
    <w:rsid w:val="2CA46042"/>
    <w:rsid w:val="2CA90A4C"/>
    <w:rsid w:val="2CBF1022"/>
    <w:rsid w:val="2CE75294"/>
    <w:rsid w:val="2D0438CC"/>
    <w:rsid w:val="2D175908"/>
    <w:rsid w:val="2D185785"/>
    <w:rsid w:val="2D1E73A5"/>
    <w:rsid w:val="2DB65DE1"/>
    <w:rsid w:val="2DBB77CF"/>
    <w:rsid w:val="2DF22F97"/>
    <w:rsid w:val="2E114AFB"/>
    <w:rsid w:val="2E457528"/>
    <w:rsid w:val="2E4D5BDF"/>
    <w:rsid w:val="2EA26F3D"/>
    <w:rsid w:val="2EA74B17"/>
    <w:rsid w:val="2ECE6548"/>
    <w:rsid w:val="2EE7117B"/>
    <w:rsid w:val="2F0022E8"/>
    <w:rsid w:val="2F015C6E"/>
    <w:rsid w:val="2F5007E6"/>
    <w:rsid w:val="2F6A118F"/>
    <w:rsid w:val="2F6F3887"/>
    <w:rsid w:val="30085E07"/>
    <w:rsid w:val="30285EDA"/>
    <w:rsid w:val="304A5BCA"/>
    <w:rsid w:val="30B57283"/>
    <w:rsid w:val="31244B45"/>
    <w:rsid w:val="31516E7A"/>
    <w:rsid w:val="31B0392F"/>
    <w:rsid w:val="32292413"/>
    <w:rsid w:val="322E5B00"/>
    <w:rsid w:val="32634095"/>
    <w:rsid w:val="3264046A"/>
    <w:rsid w:val="32770A74"/>
    <w:rsid w:val="327E6664"/>
    <w:rsid w:val="32A852AA"/>
    <w:rsid w:val="32E04E37"/>
    <w:rsid w:val="32EE0F67"/>
    <w:rsid w:val="33A819B6"/>
    <w:rsid w:val="33B401DD"/>
    <w:rsid w:val="342F63C8"/>
    <w:rsid w:val="34557DDA"/>
    <w:rsid w:val="3457515C"/>
    <w:rsid w:val="34767465"/>
    <w:rsid w:val="34853B4C"/>
    <w:rsid w:val="34A36369"/>
    <w:rsid w:val="34C12DD7"/>
    <w:rsid w:val="34CB013A"/>
    <w:rsid w:val="35092088"/>
    <w:rsid w:val="354439D0"/>
    <w:rsid w:val="35D94948"/>
    <w:rsid w:val="36390447"/>
    <w:rsid w:val="365107A6"/>
    <w:rsid w:val="36A6383E"/>
    <w:rsid w:val="36D55760"/>
    <w:rsid w:val="36F668C1"/>
    <w:rsid w:val="373D070E"/>
    <w:rsid w:val="37B218D9"/>
    <w:rsid w:val="38170F5F"/>
    <w:rsid w:val="382611A3"/>
    <w:rsid w:val="382947EF"/>
    <w:rsid w:val="38351008"/>
    <w:rsid w:val="383513E6"/>
    <w:rsid w:val="38371259"/>
    <w:rsid w:val="38A01758"/>
    <w:rsid w:val="38D315C7"/>
    <w:rsid w:val="38E71AC4"/>
    <w:rsid w:val="391D5313"/>
    <w:rsid w:val="39395B1F"/>
    <w:rsid w:val="395C3DAE"/>
    <w:rsid w:val="39B63060"/>
    <w:rsid w:val="3A2160C5"/>
    <w:rsid w:val="3A895270"/>
    <w:rsid w:val="3AC0768C"/>
    <w:rsid w:val="3AED5FA8"/>
    <w:rsid w:val="3B1479D8"/>
    <w:rsid w:val="3B163750"/>
    <w:rsid w:val="3B712735"/>
    <w:rsid w:val="3B911029"/>
    <w:rsid w:val="3B9316DA"/>
    <w:rsid w:val="3B9B3980"/>
    <w:rsid w:val="3BA11C66"/>
    <w:rsid w:val="3BC75E7D"/>
    <w:rsid w:val="3BF910A8"/>
    <w:rsid w:val="3C243C4B"/>
    <w:rsid w:val="3C3D6F3F"/>
    <w:rsid w:val="3C3D7980"/>
    <w:rsid w:val="3C732AC2"/>
    <w:rsid w:val="3C853325"/>
    <w:rsid w:val="3CB13731"/>
    <w:rsid w:val="3CCD55EC"/>
    <w:rsid w:val="3D0043D3"/>
    <w:rsid w:val="3D1E4B3E"/>
    <w:rsid w:val="3D740B8B"/>
    <w:rsid w:val="3D9B618F"/>
    <w:rsid w:val="3D9C056F"/>
    <w:rsid w:val="3DE606EB"/>
    <w:rsid w:val="3DF83223"/>
    <w:rsid w:val="3E126C58"/>
    <w:rsid w:val="3E340389"/>
    <w:rsid w:val="3E5A1314"/>
    <w:rsid w:val="3E692D16"/>
    <w:rsid w:val="3E714183"/>
    <w:rsid w:val="3F0A0FE9"/>
    <w:rsid w:val="3F277CDA"/>
    <w:rsid w:val="3F485313"/>
    <w:rsid w:val="3F58786B"/>
    <w:rsid w:val="3F753A10"/>
    <w:rsid w:val="3FEA6E4A"/>
    <w:rsid w:val="400F3B40"/>
    <w:rsid w:val="40381A73"/>
    <w:rsid w:val="407A652F"/>
    <w:rsid w:val="4099122F"/>
    <w:rsid w:val="40FC085C"/>
    <w:rsid w:val="410E65BC"/>
    <w:rsid w:val="411F4496"/>
    <w:rsid w:val="412C1F7C"/>
    <w:rsid w:val="413C46BC"/>
    <w:rsid w:val="414F3518"/>
    <w:rsid w:val="419A4021"/>
    <w:rsid w:val="41A41083"/>
    <w:rsid w:val="420B5C33"/>
    <w:rsid w:val="4261357B"/>
    <w:rsid w:val="429B11F7"/>
    <w:rsid w:val="42AB1602"/>
    <w:rsid w:val="42CE3D7B"/>
    <w:rsid w:val="42DE0263"/>
    <w:rsid w:val="42EB101F"/>
    <w:rsid w:val="42ED4D97"/>
    <w:rsid w:val="43383352"/>
    <w:rsid w:val="433E2BA2"/>
    <w:rsid w:val="43837540"/>
    <w:rsid w:val="43B12268"/>
    <w:rsid w:val="43D82A4D"/>
    <w:rsid w:val="43EE7FB9"/>
    <w:rsid w:val="44010309"/>
    <w:rsid w:val="4427682D"/>
    <w:rsid w:val="44562B3F"/>
    <w:rsid w:val="44AA780A"/>
    <w:rsid w:val="44B82135"/>
    <w:rsid w:val="44C2239D"/>
    <w:rsid w:val="450C71FA"/>
    <w:rsid w:val="452F78E8"/>
    <w:rsid w:val="45642C3D"/>
    <w:rsid w:val="456F05B2"/>
    <w:rsid w:val="458978FD"/>
    <w:rsid w:val="45C951A4"/>
    <w:rsid w:val="45CB7181"/>
    <w:rsid w:val="45D7640D"/>
    <w:rsid w:val="45DB1614"/>
    <w:rsid w:val="46010751"/>
    <w:rsid w:val="46021521"/>
    <w:rsid w:val="462C1AB8"/>
    <w:rsid w:val="466246BC"/>
    <w:rsid w:val="466E4440"/>
    <w:rsid w:val="46784972"/>
    <w:rsid w:val="467956FC"/>
    <w:rsid w:val="469F2EBC"/>
    <w:rsid w:val="46B5206F"/>
    <w:rsid w:val="46CB36A6"/>
    <w:rsid w:val="46F43381"/>
    <w:rsid w:val="47267C32"/>
    <w:rsid w:val="478E5BF3"/>
    <w:rsid w:val="47A65E5C"/>
    <w:rsid w:val="4819662E"/>
    <w:rsid w:val="481F2AF0"/>
    <w:rsid w:val="484336AB"/>
    <w:rsid w:val="48522F43"/>
    <w:rsid w:val="48963088"/>
    <w:rsid w:val="492F7333"/>
    <w:rsid w:val="49570A61"/>
    <w:rsid w:val="49595DD3"/>
    <w:rsid w:val="49880FAD"/>
    <w:rsid w:val="4999080B"/>
    <w:rsid w:val="499E07E8"/>
    <w:rsid w:val="49AA39E1"/>
    <w:rsid w:val="49AE498D"/>
    <w:rsid w:val="49F66C27"/>
    <w:rsid w:val="49FD1715"/>
    <w:rsid w:val="49FD3E3C"/>
    <w:rsid w:val="4A58168F"/>
    <w:rsid w:val="4A5A185A"/>
    <w:rsid w:val="4A84403E"/>
    <w:rsid w:val="4AB60164"/>
    <w:rsid w:val="4ADF76BB"/>
    <w:rsid w:val="4B0E40F9"/>
    <w:rsid w:val="4B1402B9"/>
    <w:rsid w:val="4B2C6678"/>
    <w:rsid w:val="4B3B37A7"/>
    <w:rsid w:val="4B687FE2"/>
    <w:rsid w:val="4BA32377"/>
    <w:rsid w:val="4BC250C7"/>
    <w:rsid w:val="4BEA4B69"/>
    <w:rsid w:val="4C6820BE"/>
    <w:rsid w:val="4CD11285"/>
    <w:rsid w:val="4CDC7872"/>
    <w:rsid w:val="4D815D4D"/>
    <w:rsid w:val="4D927F9B"/>
    <w:rsid w:val="4DBF37D4"/>
    <w:rsid w:val="4DC62DB4"/>
    <w:rsid w:val="4DDF79D2"/>
    <w:rsid w:val="4DE72A0B"/>
    <w:rsid w:val="4DF5782E"/>
    <w:rsid w:val="4DF62D80"/>
    <w:rsid w:val="4DF94F37"/>
    <w:rsid w:val="4E131761"/>
    <w:rsid w:val="4E6814B3"/>
    <w:rsid w:val="4E6B6B36"/>
    <w:rsid w:val="4F49551B"/>
    <w:rsid w:val="4FD911C4"/>
    <w:rsid w:val="4FF52BAA"/>
    <w:rsid w:val="50277D8E"/>
    <w:rsid w:val="50643BA8"/>
    <w:rsid w:val="5066262C"/>
    <w:rsid w:val="509D42B1"/>
    <w:rsid w:val="50FE0D52"/>
    <w:rsid w:val="510C2D80"/>
    <w:rsid w:val="516769B8"/>
    <w:rsid w:val="51750075"/>
    <w:rsid w:val="51BE156A"/>
    <w:rsid w:val="51C6699F"/>
    <w:rsid w:val="51DF4444"/>
    <w:rsid w:val="51E859D5"/>
    <w:rsid w:val="51EE0B2B"/>
    <w:rsid w:val="51FC5705"/>
    <w:rsid w:val="52160121"/>
    <w:rsid w:val="52285DEB"/>
    <w:rsid w:val="52621723"/>
    <w:rsid w:val="52A2690E"/>
    <w:rsid w:val="52B57A60"/>
    <w:rsid w:val="52BB368F"/>
    <w:rsid w:val="52CD22E8"/>
    <w:rsid w:val="52CD6993"/>
    <w:rsid w:val="53135C11"/>
    <w:rsid w:val="53227641"/>
    <w:rsid w:val="536E3732"/>
    <w:rsid w:val="536F1D83"/>
    <w:rsid w:val="5379456E"/>
    <w:rsid w:val="538035C5"/>
    <w:rsid w:val="538515FF"/>
    <w:rsid w:val="541977FF"/>
    <w:rsid w:val="5488491F"/>
    <w:rsid w:val="54C16083"/>
    <w:rsid w:val="55106705"/>
    <w:rsid w:val="55B6370E"/>
    <w:rsid w:val="55B93FC1"/>
    <w:rsid w:val="55E96B09"/>
    <w:rsid w:val="55F311E4"/>
    <w:rsid w:val="56187F25"/>
    <w:rsid w:val="561A0EB8"/>
    <w:rsid w:val="561E75CF"/>
    <w:rsid w:val="563C00B7"/>
    <w:rsid w:val="56C500AD"/>
    <w:rsid w:val="56D94AC8"/>
    <w:rsid w:val="56E11772"/>
    <w:rsid w:val="56E11C93"/>
    <w:rsid w:val="570B47A6"/>
    <w:rsid w:val="57194218"/>
    <w:rsid w:val="571C1EF8"/>
    <w:rsid w:val="57936D3D"/>
    <w:rsid w:val="5804772E"/>
    <w:rsid w:val="587B479B"/>
    <w:rsid w:val="589D7043"/>
    <w:rsid w:val="58DA3D16"/>
    <w:rsid w:val="58E53CE2"/>
    <w:rsid w:val="58F72073"/>
    <w:rsid w:val="59161438"/>
    <w:rsid w:val="592F3F03"/>
    <w:rsid w:val="59396B30"/>
    <w:rsid w:val="593E31E5"/>
    <w:rsid w:val="5941471B"/>
    <w:rsid w:val="59AD6BD6"/>
    <w:rsid w:val="59C77E08"/>
    <w:rsid w:val="59FD1893"/>
    <w:rsid w:val="5A3C11E6"/>
    <w:rsid w:val="5A3D7F5A"/>
    <w:rsid w:val="5A831147"/>
    <w:rsid w:val="5AA314BD"/>
    <w:rsid w:val="5ABB1358"/>
    <w:rsid w:val="5B0647F0"/>
    <w:rsid w:val="5B3752F1"/>
    <w:rsid w:val="5B4348A7"/>
    <w:rsid w:val="5B4B673D"/>
    <w:rsid w:val="5B932A7D"/>
    <w:rsid w:val="5BCB6BC4"/>
    <w:rsid w:val="5C10335F"/>
    <w:rsid w:val="5C427AD9"/>
    <w:rsid w:val="5C475CF4"/>
    <w:rsid w:val="5C543089"/>
    <w:rsid w:val="5CCD7CBB"/>
    <w:rsid w:val="5CF8460C"/>
    <w:rsid w:val="5D0343E4"/>
    <w:rsid w:val="5D331782"/>
    <w:rsid w:val="5D670241"/>
    <w:rsid w:val="5D71624F"/>
    <w:rsid w:val="5D752101"/>
    <w:rsid w:val="5D9600A9"/>
    <w:rsid w:val="5D9F0F2C"/>
    <w:rsid w:val="5DA00F30"/>
    <w:rsid w:val="5E167440"/>
    <w:rsid w:val="5E413D91"/>
    <w:rsid w:val="5E534784"/>
    <w:rsid w:val="5E541D16"/>
    <w:rsid w:val="5F4F71ED"/>
    <w:rsid w:val="5F5226F9"/>
    <w:rsid w:val="5F65716A"/>
    <w:rsid w:val="5F9E226B"/>
    <w:rsid w:val="601F7D51"/>
    <w:rsid w:val="60216F89"/>
    <w:rsid w:val="60253EB8"/>
    <w:rsid w:val="608A1A1F"/>
    <w:rsid w:val="608C5C01"/>
    <w:rsid w:val="60B62814"/>
    <w:rsid w:val="60B81261"/>
    <w:rsid w:val="61192740"/>
    <w:rsid w:val="61377E0E"/>
    <w:rsid w:val="615F313B"/>
    <w:rsid w:val="61A82491"/>
    <w:rsid w:val="61BC3AF2"/>
    <w:rsid w:val="61C6283F"/>
    <w:rsid w:val="61D15288"/>
    <w:rsid w:val="61D17C40"/>
    <w:rsid w:val="61DC62AA"/>
    <w:rsid w:val="62A17F64"/>
    <w:rsid w:val="62B42D31"/>
    <w:rsid w:val="62F66B2C"/>
    <w:rsid w:val="632D215E"/>
    <w:rsid w:val="63C7091D"/>
    <w:rsid w:val="64517FA3"/>
    <w:rsid w:val="64740A1C"/>
    <w:rsid w:val="648065F1"/>
    <w:rsid w:val="64F8602B"/>
    <w:rsid w:val="650C2B23"/>
    <w:rsid w:val="656B5ACE"/>
    <w:rsid w:val="65B754EE"/>
    <w:rsid w:val="65E73470"/>
    <w:rsid w:val="66072030"/>
    <w:rsid w:val="661D7490"/>
    <w:rsid w:val="661E1E4F"/>
    <w:rsid w:val="6630667E"/>
    <w:rsid w:val="665A551B"/>
    <w:rsid w:val="66842794"/>
    <w:rsid w:val="67144738"/>
    <w:rsid w:val="6768047C"/>
    <w:rsid w:val="6785289B"/>
    <w:rsid w:val="679F2254"/>
    <w:rsid w:val="67C14C80"/>
    <w:rsid w:val="67FB0696"/>
    <w:rsid w:val="68023A34"/>
    <w:rsid w:val="681B702C"/>
    <w:rsid w:val="68232E85"/>
    <w:rsid w:val="68252ED5"/>
    <w:rsid w:val="68670618"/>
    <w:rsid w:val="686D2352"/>
    <w:rsid w:val="68964CA6"/>
    <w:rsid w:val="68CD1043"/>
    <w:rsid w:val="68E8362B"/>
    <w:rsid w:val="690E6AB8"/>
    <w:rsid w:val="692351D1"/>
    <w:rsid w:val="69270753"/>
    <w:rsid w:val="69433143"/>
    <w:rsid w:val="694E22E1"/>
    <w:rsid w:val="69775D94"/>
    <w:rsid w:val="69A055CC"/>
    <w:rsid w:val="69AF27B9"/>
    <w:rsid w:val="69C500A1"/>
    <w:rsid w:val="69C75A92"/>
    <w:rsid w:val="6A437E86"/>
    <w:rsid w:val="6A8D6CDC"/>
    <w:rsid w:val="6AD62431"/>
    <w:rsid w:val="6B2C1649"/>
    <w:rsid w:val="6B304B66"/>
    <w:rsid w:val="6B95216A"/>
    <w:rsid w:val="6BAC13E3"/>
    <w:rsid w:val="6C650E33"/>
    <w:rsid w:val="6C663340"/>
    <w:rsid w:val="6C726189"/>
    <w:rsid w:val="6C805362"/>
    <w:rsid w:val="6CA41FF3"/>
    <w:rsid w:val="6CE40709"/>
    <w:rsid w:val="6CF8601F"/>
    <w:rsid w:val="6CF92406"/>
    <w:rsid w:val="6CFC61C3"/>
    <w:rsid w:val="6D0D64F6"/>
    <w:rsid w:val="6D3E2288"/>
    <w:rsid w:val="6DB225B5"/>
    <w:rsid w:val="6DEE7A91"/>
    <w:rsid w:val="6DF34CD9"/>
    <w:rsid w:val="6DF6430D"/>
    <w:rsid w:val="6DFE5E04"/>
    <w:rsid w:val="6E0472B5"/>
    <w:rsid w:val="6E8B48D5"/>
    <w:rsid w:val="6EA724D5"/>
    <w:rsid w:val="6ED94644"/>
    <w:rsid w:val="6EE1706B"/>
    <w:rsid w:val="6F521098"/>
    <w:rsid w:val="6F6618A9"/>
    <w:rsid w:val="6FA05039"/>
    <w:rsid w:val="6FC21BFD"/>
    <w:rsid w:val="6FD9000D"/>
    <w:rsid w:val="706D7FE8"/>
    <w:rsid w:val="708F7F0E"/>
    <w:rsid w:val="70C328E1"/>
    <w:rsid w:val="70E231B1"/>
    <w:rsid w:val="711D64B1"/>
    <w:rsid w:val="71267542"/>
    <w:rsid w:val="712D6B22"/>
    <w:rsid w:val="71320DC3"/>
    <w:rsid w:val="71582CB1"/>
    <w:rsid w:val="716B764B"/>
    <w:rsid w:val="71926986"/>
    <w:rsid w:val="71955149"/>
    <w:rsid w:val="72564FB8"/>
    <w:rsid w:val="72623CB6"/>
    <w:rsid w:val="726B684E"/>
    <w:rsid w:val="72A34726"/>
    <w:rsid w:val="72BD7A32"/>
    <w:rsid w:val="72C67BC9"/>
    <w:rsid w:val="732C6966"/>
    <w:rsid w:val="73455C77"/>
    <w:rsid w:val="734B2115"/>
    <w:rsid w:val="739015EB"/>
    <w:rsid w:val="73C401CE"/>
    <w:rsid w:val="73DE2356"/>
    <w:rsid w:val="74676DC9"/>
    <w:rsid w:val="746A3BEA"/>
    <w:rsid w:val="74741C42"/>
    <w:rsid w:val="74B80DF9"/>
    <w:rsid w:val="74DF33F1"/>
    <w:rsid w:val="74E47465"/>
    <w:rsid w:val="753722BF"/>
    <w:rsid w:val="753D56FD"/>
    <w:rsid w:val="757A7EB0"/>
    <w:rsid w:val="75DC28C5"/>
    <w:rsid w:val="75EB48B6"/>
    <w:rsid w:val="7647594D"/>
    <w:rsid w:val="7663421D"/>
    <w:rsid w:val="76640E90"/>
    <w:rsid w:val="76712541"/>
    <w:rsid w:val="76947B9D"/>
    <w:rsid w:val="76E05474"/>
    <w:rsid w:val="771842CB"/>
    <w:rsid w:val="772306F8"/>
    <w:rsid w:val="77660C7B"/>
    <w:rsid w:val="778D7D20"/>
    <w:rsid w:val="77A128CD"/>
    <w:rsid w:val="77D6332B"/>
    <w:rsid w:val="77D970B6"/>
    <w:rsid w:val="780E3485"/>
    <w:rsid w:val="78387459"/>
    <w:rsid w:val="78406A27"/>
    <w:rsid w:val="78850FF2"/>
    <w:rsid w:val="789A270C"/>
    <w:rsid w:val="78D33B17"/>
    <w:rsid w:val="78D83818"/>
    <w:rsid w:val="79197C59"/>
    <w:rsid w:val="79654F45"/>
    <w:rsid w:val="79872B48"/>
    <w:rsid w:val="799C2596"/>
    <w:rsid w:val="79A96F62"/>
    <w:rsid w:val="7A1E525A"/>
    <w:rsid w:val="7A230AC3"/>
    <w:rsid w:val="7A4B2D3C"/>
    <w:rsid w:val="7A617A57"/>
    <w:rsid w:val="7A981A09"/>
    <w:rsid w:val="7A9D2EE4"/>
    <w:rsid w:val="7AC22F20"/>
    <w:rsid w:val="7B0970FA"/>
    <w:rsid w:val="7BB05180"/>
    <w:rsid w:val="7BBF30A8"/>
    <w:rsid w:val="7C0E12FE"/>
    <w:rsid w:val="7C296138"/>
    <w:rsid w:val="7C3B3C79"/>
    <w:rsid w:val="7C4405EC"/>
    <w:rsid w:val="7C70483D"/>
    <w:rsid w:val="7C814B0C"/>
    <w:rsid w:val="7C8E31B6"/>
    <w:rsid w:val="7CB41BA4"/>
    <w:rsid w:val="7CC3033B"/>
    <w:rsid w:val="7CC85951"/>
    <w:rsid w:val="7CEA4236"/>
    <w:rsid w:val="7D011F50"/>
    <w:rsid w:val="7D292894"/>
    <w:rsid w:val="7D6A489F"/>
    <w:rsid w:val="7DD800D1"/>
    <w:rsid w:val="7E005357"/>
    <w:rsid w:val="7E8A16D1"/>
    <w:rsid w:val="7EE1032F"/>
    <w:rsid w:val="7EE62641"/>
    <w:rsid w:val="7F347A46"/>
    <w:rsid w:val="7F3B68AE"/>
    <w:rsid w:val="7F607DDA"/>
    <w:rsid w:val="7F696F92"/>
    <w:rsid w:val="7FA73F44"/>
    <w:rsid w:val="7FA97C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iPriority="99" w:semiHidden="0"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qFormat/>
    <w:uiPriority w:val="9"/>
    <w:pPr>
      <w:keepNext/>
      <w:keepLines/>
      <w:spacing w:before="260" w:after="260" w:line="413" w:lineRule="auto"/>
      <w:outlineLvl w:val="1"/>
    </w:pPr>
    <w:rPr>
      <w:rFonts w:ascii="Arial" w:hAnsi="Arial" w:eastAsia="黑体"/>
      <w:b/>
      <w:sz w:val="32"/>
    </w:rPr>
  </w:style>
  <w:style w:type="paragraph" w:styleId="5">
    <w:name w:val="heading 3"/>
    <w:basedOn w:val="1"/>
    <w:next w:val="1"/>
    <w:qFormat/>
    <w:uiPriority w:val="9"/>
    <w:pPr>
      <w:keepNext/>
      <w:keepLines/>
      <w:numPr>
        <w:ilvl w:val="2"/>
        <w:numId w:val="1"/>
      </w:numPr>
      <w:tabs>
        <w:tab w:val="left" w:pos="720"/>
      </w:tabs>
      <w:outlineLvl w:val="2"/>
    </w:pPr>
    <w:rPr>
      <w:b/>
      <w:bCs/>
      <w:kern w:val="0"/>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style>
  <w:style w:type="paragraph" w:styleId="3">
    <w:name w:val="Body Text Indent"/>
    <w:basedOn w:val="1"/>
    <w:next w:val="1"/>
    <w:unhideWhenUsed/>
    <w:qFormat/>
    <w:uiPriority w:val="99"/>
    <w:pPr>
      <w:spacing w:line="500" w:lineRule="atLeast"/>
      <w:ind w:firstLine="360"/>
    </w:pPr>
    <w:rPr>
      <w:sz w:val="24"/>
    </w:rPr>
  </w:style>
  <w:style w:type="paragraph" w:styleId="6">
    <w:name w:val="Normal Indent"/>
    <w:basedOn w:val="1"/>
    <w:next w:val="1"/>
    <w:qFormat/>
    <w:uiPriority w:val="0"/>
    <w:pPr>
      <w:ind w:firstLine="200" w:firstLineChars="200"/>
    </w:pPr>
    <w:rPr>
      <w:rFonts w:ascii="Times New Roman" w:hAnsi="Times New Roman" w:eastAsia="宋体" w:cs="Times New Roman"/>
      <w:sz w:val="28"/>
    </w:rPr>
  </w:style>
  <w:style w:type="paragraph" w:styleId="7">
    <w:name w:val="index 5"/>
    <w:basedOn w:val="1"/>
    <w:next w:val="1"/>
    <w:unhideWhenUsed/>
    <w:qFormat/>
    <w:uiPriority w:val="99"/>
    <w:pPr>
      <w:ind w:left="1680"/>
    </w:pPr>
    <w:rPr>
      <w:rFonts w:eastAsia="Times New Roman"/>
      <w:sz w:val="32"/>
      <w:szCs w:val="24"/>
    </w:rPr>
  </w:style>
  <w:style w:type="paragraph" w:styleId="8">
    <w:name w:val="Document Map"/>
    <w:basedOn w:val="1"/>
    <w:link w:val="58"/>
    <w:semiHidden/>
    <w:unhideWhenUsed/>
    <w:qFormat/>
    <w:uiPriority w:val="99"/>
    <w:rPr>
      <w:rFonts w:ascii="宋体"/>
      <w:sz w:val="18"/>
      <w:szCs w:val="18"/>
    </w:rPr>
  </w:style>
  <w:style w:type="paragraph" w:styleId="9">
    <w:name w:val="annotation text"/>
    <w:basedOn w:val="1"/>
    <w:link w:val="52"/>
    <w:semiHidden/>
    <w:unhideWhenUsed/>
    <w:qFormat/>
    <w:uiPriority w:val="99"/>
    <w:pPr>
      <w:jc w:val="left"/>
    </w:pPr>
  </w:style>
  <w:style w:type="paragraph" w:styleId="10">
    <w:name w:val="Body Text"/>
    <w:basedOn w:val="1"/>
    <w:next w:val="1"/>
    <w:qFormat/>
    <w:uiPriority w:val="0"/>
    <w:pPr>
      <w:widowControl/>
      <w:snapToGrid w:val="0"/>
      <w:spacing w:before="60" w:after="160" w:line="259" w:lineRule="auto"/>
      <w:ind w:right="113"/>
    </w:pPr>
    <w:rPr>
      <w:kern w:val="0"/>
      <w:sz w:val="18"/>
      <w:szCs w:val="20"/>
    </w:rPr>
  </w:style>
  <w:style w:type="paragraph" w:styleId="11">
    <w:name w:val="Plain Text"/>
    <w:basedOn w:val="1"/>
    <w:next w:val="1"/>
    <w:unhideWhenUsed/>
    <w:qFormat/>
    <w:uiPriority w:val="0"/>
    <w:pPr>
      <w:spacing w:line="240" w:lineRule="atLeast"/>
    </w:pPr>
    <w:rPr>
      <w:rFonts w:ascii="宋体" w:hAnsi="Courier New"/>
      <w:sz w:val="28"/>
      <w:szCs w:val="21"/>
    </w:rPr>
  </w:style>
  <w:style w:type="paragraph" w:styleId="12">
    <w:name w:val="List Bullet 5"/>
    <w:basedOn w:val="1"/>
    <w:semiHidden/>
    <w:unhideWhenUsed/>
    <w:qFormat/>
    <w:uiPriority w:val="99"/>
    <w:pPr>
      <w:numPr>
        <w:ilvl w:val="0"/>
        <w:numId w:val="2"/>
      </w:numPr>
    </w:pPr>
  </w:style>
  <w:style w:type="paragraph" w:styleId="13">
    <w:name w:val="Body Text Indent 2"/>
    <w:basedOn w:val="1"/>
    <w:qFormat/>
    <w:uiPriority w:val="0"/>
    <w:pPr>
      <w:tabs>
        <w:tab w:val="left" w:pos="2940"/>
      </w:tabs>
      <w:ind w:left="360"/>
    </w:pPr>
    <w:rPr>
      <w:sz w:val="32"/>
    </w:rPr>
  </w:style>
  <w:style w:type="paragraph" w:styleId="14">
    <w:name w:val="Balloon Text"/>
    <w:basedOn w:val="1"/>
    <w:link w:val="59"/>
    <w:semiHidden/>
    <w:unhideWhenUsed/>
    <w:qFormat/>
    <w:uiPriority w:val="99"/>
    <w:rPr>
      <w:sz w:val="18"/>
      <w:szCs w:val="18"/>
    </w:rPr>
  </w:style>
  <w:style w:type="paragraph" w:styleId="15">
    <w:name w:val="footer"/>
    <w:basedOn w:val="1"/>
    <w:link w:val="39"/>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6">
    <w:name w:val="header"/>
    <w:basedOn w:val="1"/>
    <w:link w:val="38"/>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7">
    <w:name w:val="toc 1"/>
    <w:basedOn w:val="1"/>
    <w:next w:val="1"/>
    <w:qFormat/>
    <w:uiPriority w:val="0"/>
  </w:style>
  <w:style w:type="paragraph" w:styleId="18">
    <w:name w:val="List"/>
    <w:basedOn w:val="1"/>
    <w:qFormat/>
    <w:uiPriority w:val="0"/>
    <w:pPr>
      <w:spacing w:line="320" w:lineRule="exact"/>
      <w:jc w:val="center"/>
    </w:pPr>
    <w:rPr>
      <w:rFonts w:ascii="仿宋_GB2312" w:eastAsia="仿宋_GB2312"/>
      <w:snapToGrid w:val="0"/>
    </w:rPr>
  </w:style>
  <w:style w:type="paragraph" w:styleId="19">
    <w:name w:val="Normal (Web)"/>
    <w:basedOn w:val="1"/>
    <w:link w:val="40"/>
    <w:qFormat/>
    <w:uiPriority w:val="0"/>
    <w:pPr>
      <w:widowControl/>
      <w:spacing w:before="100" w:beforeAutospacing="1" w:after="100" w:afterAutospacing="1"/>
      <w:jc w:val="left"/>
    </w:pPr>
    <w:rPr>
      <w:rFonts w:ascii="宋体" w:hAnsi="宋体" w:cstheme="minorBidi"/>
      <w:sz w:val="24"/>
      <w:szCs w:val="22"/>
    </w:rPr>
  </w:style>
  <w:style w:type="paragraph" w:styleId="20">
    <w:name w:val="annotation subject"/>
    <w:basedOn w:val="9"/>
    <w:next w:val="9"/>
    <w:link w:val="53"/>
    <w:semiHidden/>
    <w:unhideWhenUsed/>
    <w:qFormat/>
    <w:uiPriority w:val="99"/>
    <w:rPr>
      <w:b/>
      <w:bCs/>
    </w:rPr>
  </w:style>
  <w:style w:type="paragraph" w:styleId="21">
    <w:name w:val="Body Text First Indent"/>
    <w:basedOn w:val="10"/>
    <w:next w:val="1"/>
    <w:qFormat/>
    <w:uiPriority w:val="0"/>
    <w:pPr>
      <w:ind w:firstLine="420" w:firstLineChars="100"/>
    </w:pPr>
    <w:rPr>
      <w:rFonts w:ascii="Tahoma" w:hAnsi="Tahoma"/>
      <w:sz w:val="24"/>
    </w:rPr>
  </w:style>
  <w:style w:type="table" w:styleId="23">
    <w:name w:val="Table Grid"/>
    <w:basedOn w:val="22"/>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22"/>
    <w:rPr>
      <w:b/>
    </w:rPr>
  </w:style>
  <w:style w:type="character" w:styleId="26">
    <w:name w:val="page number"/>
    <w:basedOn w:val="24"/>
    <w:qFormat/>
    <w:uiPriority w:val="0"/>
  </w:style>
  <w:style w:type="character" w:styleId="27">
    <w:name w:val="FollowedHyperlink"/>
    <w:basedOn w:val="24"/>
    <w:semiHidden/>
    <w:unhideWhenUsed/>
    <w:qFormat/>
    <w:uiPriority w:val="99"/>
    <w:rPr>
      <w:color w:val="954F72"/>
      <w:u w:val="single"/>
    </w:rPr>
  </w:style>
  <w:style w:type="character" w:styleId="28">
    <w:name w:val="Hyperlink"/>
    <w:basedOn w:val="24"/>
    <w:semiHidden/>
    <w:unhideWhenUsed/>
    <w:qFormat/>
    <w:uiPriority w:val="99"/>
    <w:rPr>
      <w:color w:val="0000FF"/>
      <w:u w:val="single"/>
    </w:rPr>
  </w:style>
  <w:style w:type="character" w:styleId="29">
    <w:name w:val="annotation reference"/>
    <w:basedOn w:val="24"/>
    <w:semiHidden/>
    <w:unhideWhenUsed/>
    <w:qFormat/>
    <w:uiPriority w:val="99"/>
    <w:rPr>
      <w:sz w:val="21"/>
      <w:szCs w:val="21"/>
    </w:rPr>
  </w:style>
  <w:style w:type="paragraph" w:customStyle="1" w:styleId="30">
    <w:name w:val="样式 正文文字缩进 + 小四 首行缩进:  2 字符"/>
    <w:qFormat/>
    <w:uiPriority w:val="0"/>
    <w:pPr>
      <w:widowControl w:val="0"/>
      <w:tabs>
        <w:tab w:val="left" w:pos="0"/>
      </w:tabs>
      <w:spacing w:line="600" w:lineRule="exact"/>
      <w:jc w:val="center"/>
    </w:pPr>
    <w:rPr>
      <w:rFonts w:ascii="Times New Roman" w:hAnsi="Times New Roman" w:eastAsia="宋体" w:cs="Times New Roman"/>
      <w:b/>
      <w:kern w:val="2"/>
      <w:sz w:val="21"/>
      <w:szCs w:val="24"/>
      <w:u w:val="double"/>
      <w:lang w:val="en-US" w:eastAsia="zh-CN" w:bidi="ar-SA"/>
    </w:rPr>
  </w:style>
  <w:style w:type="paragraph" w:customStyle="1" w:styleId="31">
    <w:name w:val="Default"/>
    <w:basedOn w:val="32"/>
    <w:next w:val="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2">
    <w:name w:val="纯文本1"/>
    <w:basedOn w:val="1"/>
    <w:next w:val="1"/>
    <w:qFormat/>
    <w:uiPriority w:val="0"/>
    <w:pPr>
      <w:adjustRightInd w:val="0"/>
    </w:pPr>
    <w:rPr>
      <w:rFonts w:ascii="宋体" w:hAnsi="Courier New"/>
      <w:szCs w:val="20"/>
    </w:rPr>
  </w:style>
  <w:style w:type="paragraph" w:customStyle="1" w:styleId="33">
    <w:name w:val="样式 样式 首行缩进:  2 字符 + 首行缩进:  2 字符"/>
    <w:next w:val="17"/>
    <w:qFormat/>
    <w:uiPriority w:val="0"/>
    <w:pPr>
      <w:widowControl w:val="0"/>
      <w:snapToGrid w:val="0"/>
      <w:spacing w:line="360" w:lineRule="auto"/>
      <w:ind w:firstLine="560" w:firstLineChars="200"/>
      <w:jc w:val="both"/>
    </w:pPr>
    <w:rPr>
      <w:rFonts w:ascii="Times New Roman" w:hAnsi="Times New Roman" w:eastAsia="宋体" w:cs="Times New Roman"/>
      <w:kern w:val="2"/>
      <w:sz w:val="28"/>
      <w:szCs w:val="28"/>
      <w:lang w:val="en-US" w:eastAsia="zh-CN" w:bidi="ar-SA"/>
    </w:rPr>
  </w:style>
  <w:style w:type="paragraph" w:customStyle="1" w:styleId="34">
    <w:name w:val="样式 正文文本缩进 + 行距: 1.5 倍行距"/>
    <w:basedOn w:val="3"/>
    <w:qFormat/>
    <w:uiPriority w:val="0"/>
    <w:pPr>
      <w:tabs>
        <w:tab w:val="left" w:pos="8607"/>
      </w:tabs>
      <w:spacing w:line="360" w:lineRule="auto"/>
      <w:ind w:left="0" w:leftChars="0" w:firstLine="560" w:firstLineChars="200"/>
    </w:pPr>
    <w:rPr>
      <w:rFonts w:cs="宋体"/>
      <w:b/>
      <w:bCs/>
      <w:sz w:val="28"/>
      <w:szCs w:val="20"/>
    </w:rPr>
  </w:style>
  <w:style w:type="paragraph" w:customStyle="1" w:styleId="35">
    <w:name w:val="正  文"/>
    <w:basedOn w:val="1"/>
    <w:next w:val="1"/>
    <w:qFormat/>
    <w:uiPriority w:val="0"/>
    <w:pPr>
      <w:spacing w:line="360" w:lineRule="auto"/>
      <w:ind w:firstLine="560" w:firstLineChars="200"/>
    </w:pPr>
    <w:rPr>
      <w:rFonts w:ascii="宋体" w:hAnsi="宋体" w:cs="仿宋_GB2312"/>
      <w:sz w:val="24"/>
      <w:szCs w:val="28"/>
    </w:rPr>
  </w:style>
  <w:style w:type="paragraph" w:customStyle="1" w:styleId="36">
    <w:name w:val="xl27"/>
    <w:basedOn w:val="1"/>
    <w:next w:val="13"/>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szCs w:val="24"/>
    </w:rPr>
  </w:style>
  <w:style w:type="paragraph" w:customStyle="1" w:styleId="37">
    <w:name w:val="明显引用1"/>
    <w:next w:val="1"/>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38">
    <w:name w:val="页眉 Char"/>
    <w:basedOn w:val="24"/>
    <w:link w:val="16"/>
    <w:qFormat/>
    <w:uiPriority w:val="99"/>
    <w:rPr>
      <w:sz w:val="18"/>
      <w:szCs w:val="18"/>
    </w:rPr>
  </w:style>
  <w:style w:type="character" w:customStyle="1" w:styleId="39">
    <w:name w:val="页脚 Char"/>
    <w:basedOn w:val="24"/>
    <w:link w:val="15"/>
    <w:qFormat/>
    <w:uiPriority w:val="99"/>
    <w:rPr>
      <w:sz w:val="18"/>
      <w:szCs w:val="18"/>
    </w:rPr>
  </w:style>
  <w:style w:type="character" w:customStyle="1" w:styleId="40">
    <w:name w:val="普通(网站) Char"/>
    <w:link w:val="19"/>
    <w:qFormat/>
    <w:locked/>
    <w:uiPriority w:val="0"/>
    <w:rPr>
      <w:rFonts w:ascii="宋体" w:hAnsi="宋体" w:eastAsia="宋体"/>
      <w:sz w:val="24"/>
    </w:rPr>
  </w:style>
  <w:style w:type="character" w:customStyle="1" w:styleId="41">
    <w:name w:val="表格 Char"/>
    <w:link w:val="42"/>
    <w:qFormat/>
    <w:locked/>
    <w:uiPriority w:val="0"/>
    <w:rPr>
      <w:rFonts w:ascii="宋体"/>
    </w:rPr>
  </w:style>
  <w:style w:type="paragraph" w:customStyle="1" w:styleId="42">
    <w:name w:val="表格"/>
    <w:basedOn w:val="43"/>
    <w:next w:val="1"/>
    <w:link w:val="41"/>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paragraph" w:customStyle="1" w:styleId="43">
    <w:name w:val="表格字体"/>
    <w:basedOn w:val="1"/>
    <w:next w:val="1"/>
    <w:qFormat/>
    <w:uiPriority w:val="0"/>
    <w:pPr>
      <w:jc w:val="center"/>
    </w:pPr>
  </w:style>
  <w:style w:type="paragraph" w:customStyle="1" w:styleId="44">
    <w:name w:val="p0"/>
    <w:basedOn w:val="1"/>
    <w:qFormat/>
    <w:uiPriority w:val="0"/>
    <w:pPr>
      <w:widowControl/>
    </w:pPr>
    <w:rPr>
      <w:rFonts w:cs="宋体"/>
      <w:kern w:val="0"/>
      <w:szCs w:val="21"/>
    </w:rPr>
  </w:style>
  <w:style w:type="paragraph" w:customStyle="1" w:styleId="45">
    <w:name w:val="无悬挂正文5号"/>
    <w:basedOn w:val="1"/>
    <w:qFormat/>
    <w:uiPriority w:val="0"/>
    <w:pPr>
      <w:jc w:val="center"/>
    </w:pPr>
  </w:style>
  <w:style w:type="paragraph" w:customStyle="1" w:styleId="46">
    <w:name w:val="环评正文"/>
    <w:basedOn w:val="47"/>
    <w:qFormat/>
    <w:uiPriority w:val="0"/>
    <w:pPr>
      <w:spacing w:beforeLines="30"/>
      <w:ind w:firstLine="480" w:firstLineChars="200"/>
    </w:pPr>
    <w:rPr>
      <w:rFonts w:ascii="Tahoma" w:hAnsi="Tahoma" w:cs="Tahoma"/>
      <w:kern w:val="0"/>
      <w:sz w:val="24"/>
    </w:rPr>
  </w:style>
  <w:style w:type="paragraph" w:customStyle="1" w:styleId="47">
    <w:name w:val="报告表正文"/>
    <w:basedOn w:val="1"/>
    <w:link w:val="72"/>
    <w:qFormat/>
    <w:uiPriority w:val="0"/>
    <w:pPr>
      <w:adjustRightInd w:val="0"/>
      <w:spacing w:line="312" w:lineRule="auto"/>
      <w:ind w:left="113" w:right="113" w:firstLine="482"/>
      <w:jc w:val="left"/>
      <w:textAlignment w:val="baseline"/>
    </w:pPr>
    <w:rPr>
      <w:rFonts w:ascii="Calibri" w:hAnsi="Calibri" w:eastAsia="宋体" w:cs="Times New Roman"/>
      <w:kern w:val="0"/>
      <w:sz w:val="24"/>
      <w:szCs w:val="20"/>
    </w:rPr>
  </w:style>
  <w:style w:type="paragraph" w:customStyle="1" w:styleId="48">
    <w:name w:val="报告"/>
    <w:basedOn w:val="1"/>
    <w:qFormat/>
    <w:uiPriority w:val="0"/>
    <w:pPr>
      <w:adjustRightInd w:val="0"/>
      <w:spacing w:line="360" w:lineRule="auto"/>
      <w:ind w:firstLine="505"/>
      <w:textAlignment w:val="center"/>
    </w:pPr>
    <w:rPr>
      <w:rFonts w:ascii="TimesNewRoman" w:hAnsi="TimesNewRoman"/>
      <w:sz w:val="24"/>
    </w:rPr>
  </w:style>
  <w:style w:type="character" w:customStyle="1" w:styleId="49">
    <w:name w:val="fontstyle01"/>
    <w:basedOn w:val="24"/>
    <w:qFormat/>
    <w:uiPriority w:val="0"/>
    <w:rPr>
      <w:rFonts w:hint="eastAsia" w:ascii="宋体" w:hAnsi="宋体" w:eastAsia="宋体"/>
      <w:color w:val="000000"/>
      <w:sz w:val="24"/>
      <w:szCs w:val="24"/>
    </w:rPr>
  </w:style>
  <w:style w:type="character" w:customStyle="1" w:styleId="50">
    <w:name w:val="fontstyle11"/>
    <w:basedOn w:val="24"/>
    <w:qFormat/>
    <w:uiPriority w:val="0"/>
    <w:rPr>
      <w:rFonts w:hint="default" w:ascii="Times New Roman" w:hAnsi="Times New Roman" w:cs="Times New Roman"/>
      <w:color w:val="000000"/>
      <w:sz w:val="24"/>
      <w:szCs w:val="24"/>
    </w:rPr>
  </w:style>
  <w:style w:type="paragraph" w:customStyle="1" w:styleId="51">
    <w:name w:val="样式7"/>
    <w:basedOn w:val="1"/>
    <w:qFormat/>
    <w:uiPriority w:val="0"/>
    <w:pPr>
      <w:autoSpaceDE w:val="0"/>
      <w:autoSpaceDN w:val="0"/>
      <w:adjustRightInd w:val="0"/>
      <w:spacing w:line="360" w:lineRule="auto"/>
      <w:ind w:firstLine="480" w:firstLineChars="200"/>
      <w:jc w:val="left"/>
      <w:textAlignment w:val="baseline"/>
    </w:pPr>
    <w:rPr>
      <w:rFonts w:hAnsi="宋体"/>
      <w:kern w:val="0"/>
      <w:sz w:val="24"/>
    </w:rPr>
  </w:style>
  <w:style w:type="character" w:customStyle="1" w:styleId="52">
    <w:name w:val="批注文字 Char"/>
    <w:basedOn w:val="24"/>
    <w:link w:val="9"/>
    <w:semiHidden/>
    <w:qFormat/>
    <w:uiPriority w:val="99"/>
    <w:rPr>
      <w:rFonts w:ascii="Times New Roman" w:hAnsi="Times New Roman" w:cs="Times New Roman"/>
      <w:kern w:val="2"/>
      <w:sz w:val="21"/>
      <w:szCs w:val="24"/>
    </w:rPr>
  </w:style>
  <w:style w:type="character" w:customStyle="1" w:styleId="53">
    <w:name w:val="批注主题 Char"/>
    <w:basedOn w:val="52"/>
    <w:link w:val="20"/>
    <w:semiHidden/>
    <w:qFormat/>
    <w:uiPriority w:val="99"/>
    <w:rPr>
      <w:rFonts w:ascii="Times New Roman" w:hAnsi="Times New Roman" w:cs="Times New Roman"/>
      <w:b/>
      <w:bCs/>
      <w:kern w:val="2"/>
      <w:sz w:val="21"/>
      <w:szCs w:val="24"/>
    </w:rPr>
  </w:style>
  <w:style w:type="paragraph" w:customStyle="1" w:styleId="54">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55">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56">
    <w:name w:val="表标题"/>
    <w:basedOn w:val="1"/>
    <w:qFormat/>
    <w:uiPriority w:val="0"/>
    <w:pPr>
      <w:spacing w:line="360" w:lineRule="auto"/>
      <w:jc w:val="center"/>
    </w:pPr>
    <w:rPr>
      <w:rFonts w:eastAsia="仿宋"/>
      <w:b/>
      <w:sz w:val="24"/>
    </w:rPr>
  </w:style>
  <w:style w:type="paragraph" w:customStyle="1" w:styleId="57">
    <w:name w:val="修订3"/>
    <w:hidden/>
    <w:semiHidden/>
    <w:qFormat/>
    <w:uiPriority w:val="99"/>
    <w:rPr>
      <w:rFonts w:ascii="Times New Roman" w:hAnsi="Times New Roman" w:eastAsia="宋体" w:cs="Times New Roman"/>
      <w:kern w:val="2"/>
      <w:sz w:val="21"/>
      <w:szCs w:val="24"/>
      <w:lang w:val="en-US" w:eastAsia="zh-CN" w:bidi="ar-SA"/>
    </w:rPr>
  </w:style>
  <w:style w:type="character" w:customStyle="1" w:styleId="58">
    <w:name w:val="文档结构图 Char"/>
    <w:basedOn w:val="24"/>
    <w:link w:val="8"/>
    <w:semiHidden/>
    <w:qFormat/>
    <w:uiPriority w:val="99"/>
    <w:rPr>
      <w:rFonts w:ascii="宋体"/>
      <w:kern w:val="2"/>
      <w:sz w:val="18"/>
      <w:szCs w:val="18"/>
    </w:rPr>
  </w:style>
  <w:style w:type="character" w:customStyle="1" w:styleId="59">
    <w:name w:val="批注框文本 Char"/>
    <w:basedOn w:val="24"/>
    <w:link w:val="14"/>
    <w:semiHidden/>
    <w:qFormat/>
    <w:uiPriority w:val="99"/>
    <w:rPr>
      <w:kern w:val="2"/>
      <w:sz w:val="18"/>
      <w:szCs w:val="18"/>
    </w:rPr>
  </w:style>
  <w:style w:type="paragraph" w:customStyle="1" w:styleId="60">
    <w:name w:val="Char1 Char Char Char"/>
    <w:basedOn w:val="1"/>
    <w:qFormat/>
    <w:uiPriority w:val="0"/>
    <w:rPr>
      <w:szCs w:val="20"/>
    </w:rPr>
  </w:style>
  <w:style w:type="paragraph" w:customStyle="1" w:styleId="61">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62">
    <w:name w:val="p15"/>
    <w:basedOn w:val="1"/>
    <w:qFormat/>
    <w:uiPriority w:val="0"/>
    <w:pPr>
      <w:widowControl/>
      <w:ind w:firstLine="420"/>
    </w:pPr>
    <w:rPr>
      <w:rFonts w:ascii="Times New Roman" w:hAnsi="Times New Roman" w:cs="Times New Roman"/>
      <w:kern w:val="0"/>
      <w:szCs w:val="21"/>
    </w:rPr>
  </w:style>
  <w:style w:type="paragraph" w:customStyle="1" w:styleId="63">
    <w:name w:val="1正文-报告表"/>
    <w:basedOn w:val="1"/>
    <w:qFormat/>
    <w:uiPriority w:val="0"/>
    <w:pPr>
      <w:ind w:firstLine="480" w:firstLineChars="200"/>
    </w:pPr>
    <w:rPr>
      <w:kern w:val="0"/>
      <w:sz w:val="24"/>
    </w:rPr>
  </w:style>
  <w:style w:type="character" w:customStyle="1" w:styleId="64">
    <w:name w:val="font11"/>
    <w:basedOn w:val="24"/>
    <w:qFormat/>
    <w:uiPriority w:val="0"/>
    <w:rPr>
      <w:rFonts w:hint="default" w:ascii="Times New Roman" w:hAnsi="Times New Roman" w:cs="Times New Roman"/>
      <w:color w:val="000000"/>
      <w:sz w:val="18"/>
      <w:szCs w:val="18"/>
      <w:u w:val="none"/>
    </w:rPr>
  </w:style>
  <w:style w:type="paragraph" w:customStyle="1" w:styleId="65">
    <w:name w:val="表题"/>
    <w:basedOn w:val="3"/>
    <w:next w:val="42"/>
    <w:qFormat/>
    <w:uiPriority w:val="0"/>
    <w:pPr>
      <w:spacing w:before="156" w:beforeLines="50" w:line="480" w:lineRule="exact"/>
    </w:pPr>
    <w:rPr>
      <w:rFonts w:ascii="Times New Roman" w:eastAsia="黑体"/>
      <w:color w:val="FF0000"/>
      <w:szCs w:val="24"/>
    </w:rPr>
  </w:style>
  <w:style w:type="paragraph" w:styleId="66">
    <w:name w:val="No Spacing"/>
    <w:qFormat/>
    <w:uiPriority w:val="99"/>
    <w:pPr>
      <w:widowControl w:val="0"/>
      <w:jc w:val="both"/>
    </w:pPr>
    <w:rPr>
      <w:rFonts w:ascii="Times New Roman" w:hAnsi="Times New Roman" w:eastAsia="宋体" w:cs="Times New Roman"/>
      <w:kern w:val="2"/>
      <w:sz w:val="24"/>
      <w:szCs w:val="24"/>
      <w:lang w:val="en-US" w:eastAsia="zh-CN" w:bidi="ar-SA"/>
    </w:rPr>
  </w:style>
  <w:style w:type="paragraph" w:customStyle="1" w:styleId="67">
    <w:name w:val="1  xt-正文-报告书"/>
    <w:qFormat/>
    <w:uiPriority w:val="0"/>
    <w:pPr>
      <w:widowControl w:val="0"/>
      <w:spacing w:line="360" w:lineRule="auto"/>
      <w:ind w:firstLine="200" w:firstLineChars="200"/>
      <w:jc w:val="both"/>
    </w:pPr>
    <w:rPr>
      <w:rFonts w:ascii="Times New Roman" w:hAnsi="Times New Roman" w:eastAsia="宋体" w:cs="Times New Roman"/>
      <w:snapToGrid w:val="0"/>
      <w:sz w:val="24"/>
      <w:szCs w:val="21"/>
      <w:lang w:val="en-GB" w:eastAsia="zh-CN" w:bidi="ar-SA"/>
    </w:rPr>
  </w:style>
  <w:style w:type="paragraph" w:customStyle="1" w:styleId="68">
    <w:name w:val="正文_7"/>
    <w:qFormat/>
    <w:uiPriority w:val="0"/>
    <w:pPr>
      <w:widowControl w:val="0"/>
      <w:jc w:val="both"/>
    </w:pPr>
    <w:rPr>
      <w:rFonts w:ascii="Calibri" w:hAnsi="Calibri" w:eastAsia="宋体" w:cs="Times New Roman"/>
      <w:kern w:val="2"/>
      <w:sz w:val="21"/>
      <w:lang w:val="en-US" w:eastAsia="zh-CN" w:bidi="ar-SA"/>
    </w:rPr>
  </w:style>
  <w:style w:type="paragraph" w:customStyle="1" w:styleId="69">
    <w:name w:val="环科院正文"/>
    <w:basedOn w:val="1"/>
    <w:qFormat/>
    <w:uiPriority w:val="0"/>
    <w:pPr>
      <w:spacing w:line="480" w:lineRule="exact"/>
      <w:ind w:firstLine="480" w:firstLineChars="200"/>
      <w:jc w:val="left"/>
    </w:pPr>
    <w:rPr>
      <w:rFonts w:ascii="宋体" w:hAnsi="宋体"/>
      <w:color w:val="000000"/>
      <w:kern w:val="0"/>
      <w:sz w:val="24"/>
      <w:szCs w:val="24"/>
    </w:rPr>
  </w:style>
  <w:style w:type="paragraph" w:customStyle="1" w:styleId="70">
    <w:name w:val="Table Paragraph"/>
    <w:basedOn w:val="1"/>
    <w:unhideWhenUsed/>
    <w:qFormat/>
    <w:uiPriority w:val="0"/>
    <w:rPr>
      <w:rFonts w:ascii="Calibri" w:hAnsi="Calibri"/>
      <w:sz w:val="24"/>
      <w:szCs w:val="20"/>
    </w:rPr>
  </w:style>
  <w:style w:type="character" w:customStyle="1" w:styleId="71">
    <w:name w:val="15"/>
    <w:basedOn w:val="24"/>
    <w:qFormat/>
    <w:uiPriority w:val="0"/>
    <w:rPr>
      <w:rFonts w:hint="default" w:ascii="Times New Roman" w:hAnsi="Times New Roman" w:cs="Times New Roman"/>
      <w:color w:val="4D4D4D"/>
    </w:rPr>
  </w:style>
  <w:style w:type="character" w:customStyle="1" w:styleId="72">
    <w:name w:val="111 Char"/>
    <w:link w:val="47"/>
    <w:qFormat/>
    <w:uiPriority w:val="0"/>
    <w:rPr>
      <w:rFonts w:ascii="Calibri" w:hAnsi="Calibri" w:eastAsia="宋体" w:cs="Times New Roman"/>
      <w:kern w:val="0"/>
      <w:sz w:val="24"/>
      <w:szCs w:val="20"/>
    </w:rPr>
  </w:style>
  <w:style w:type="paragraph" w:customStyle="1" w:styleId="73">
    <w:name w:val="无间隔1"/>
    <w:qFormat/>
    <w:uiPriority w:val="0"/>
    <w:pPr>
      <w:widowControl w:val="0"/>
      <w:jc w:val="center"/>
    </w:pPr>
    <w:rPr>
      <w:rFonts w:ascii="Times New Roman" w:hAnsi="Times New Roman" w:eastAsia="宋体" w:cs="黑体"/>
      <w:kern w:val="2"/>
      <w:sz w:val="21"/>
      <w:szCs w:val="22"/>
      <w:lang w:val="en-US" w:eastAsia="zh-CN" w:bidi="ar-SA"/>
    </w:rPr>
  </w:style>
  <w:style w:type="paragraph" w:customStyle="1" w:styleId="74">
    <w:name w:val="表图标题"/>
    <w:next w:val="1"/>
    <w:qFormat/>
    <w:uiPriority w:val="0"/>
    <w:pPr>
      <w:spacing w:before="30" w:beforeLines="30"/>
      <w:jc w:val="center"/>
    </w:pPr>
    <w:rPr>
      <w:rFonts w:ascii="Times New Roman" w:hAnsi="Times New Roman" w:eastAsia="黑体" w:cs="Times New Roman"/>
      <w:b/>
      <w:bCs/>
      <w:sz w:val="21"/>
      <w:szCs w:val="21"/>
      <w:lang w:val="en-US" w:eastAsia="zh-CN" w:bidi="ar-SA"/>
    </w:rPr>
  </w:style>
  <w:style w:type="paragraph" w:customStyle="1" w:styleId="75">
    <w:name w:val="WPSOffice手动目录 1"/>
    <w:qFormat/>
    <w:uiPriority w:val="0"/>
    <w:pPr>
      <w:ind w:leftChars="0"/>
    </w:pPr>
    <w:rPr>
      <w:rFonts w:ascii="Times New Roman" w:hAnsi="Times New Roman" w:eastAsia="宋体" w:cs="Times New Roman"/>
      <w:sz w:val="20"/>
      <w:szCs w:val="20"/>
    </w:rPr>
  </w:style>
  <w:style w:type="character" w:customStyle="1" w:styleId="76">
    <w:name w:val="font21"/>
    <w:basedOn w:val="24"/>
    <w:qFormat/>
    <w:uiPriority w:val="0"/>
    <w:rPr>
      <w:rFonts w:hint="default" w:ascii="Times New Roman" w:hAnsi="Times New Roman" w:cs="Times New Roman"/>
      <w:color w:val="000000"/>
      <w:sz w:val="21"/>
      <w:szCs w:val="21"/>
      <w:u w:val="none"/>
    </w:rPr>
  </w:style>
  <w:style w:type="character" w:customStyle="1" w:styleId="77">
    <w:name w:val="font31"/>
    <w:basedOn w:val="24"/>
    <w:qFormat/>
    <w:uiPriority w:val="0"/>
    <w:rPr>
      <w:rFonts w:hint="default" w:ascii="Times New Roman" w:hAnsi="Times New Roman" w:cs="Times New Roman"/>
      <w:color w:val="000000"/>
      <w:sz w:val="21"/>
      <w:szCs w:val="21"/>
      <w:u w:val="none"/>
      <w:vertAlign w:val="superscript"/>
    </w:rPr>
  </w:style>
  <w:style w:type="character" w:customStyle="1" w:styleId="78">
    <w:name w:val="font01"/>
    <w:basedOn w:val="24"/>
    <w:qFormat/>
    <w:uiPriority w:val="0"/>
    <w:rPr>
      <w:rFonts w:hint="eastAsia" w:ascii="宋体" w:hAnsi="宋体" w:eastAsia="宋体" w:cs="宋体"/>
      <w:color w:val="000000"/>
      <w:sz w:val="21"/>
      <w:szCs w:val="21"/>
      <w:u w:val="none"/>
    </w:rPr>
  </w:style>
  <w:style w:type="character" w:customStyle="1" w:styleId="79">
    <w:name w:val="font41"/>
    <w:basedOn w:val="24"/>
    <w:qFormat/>
    <w:uiPriority w:val="0"/>
    <w:rPr>
      <w:rFonts w:hint="default" w:ascii="Times New Roman" w:hAnsi="Times New Roman" w:cs="Times New Roman"/>
      <w:color w:val="000000"/>
      <w:sz w:val="21"/>
      <w:szCs w:val="21"/>
      <w:u w:val="none"/>
      <w:vertAlign w:val="subscript"/>
    </w:rPr>
  </w:style>
  <w:style w:type="paragraph" w:customStyle="1" w:styleId="80">
    <w:name w:val="表头"/>
    <w:basedOn w:val="1"/>
    <w:qFormat/>
    <w:uiPriority w:val="0"/>
    <w:pPr>
      <w:spacing w:line="240" w:lineRule="auto"/>
      <w:ind w:firstLine="0" w:firstLineChars="0"/>
      <w:jc w:val="center"/>
    </w:pPr>
    <w:rPr>
      <w:rFonts w:hint="eastAsia"/>
      <w:b/>
    </w:rPr>
  </w:style>
  <w:style w:type="paragraph" w:customStyle="1" w:styleId="81">
    <w:name w:val="表格内容"/>
    <w:basedOn w:val="82"/>
    <w:next w:val="1"/>
    <w:qFormat/>
    <w:uiPriority w:val="0"/>
    <w:pPr>
      <w:tabs>
        <w:tab w:val="left" w:pos="375"/>
        <w:tab w:val="center" w:pos="623"/>
      </w:tabs>
      <w:adjustRightInd w:val="0"/>
      <w:snapToGrid w:val="0"/>
      <w:spacing w:line="240" w:lineRule="auto"/>
      <w:ind w:firstLine="0" w:firstLineChars="0"/>
      <w:jc w:val="center"/>
    </w:pPr>
    <w:rPr>
      <w:rFonts w:cs="Times New Roman"/>
      <w:b w:val="0"/>
      <w:kern w:val="0"/>
      <w:sz w:val="21"/>
    </w:rPr>
  </w:style>
  <w:style w:type="paragraph" w:customStyle="1" w:styleId="82">
    <w:name w:val="图表标题"/>
    <w:basedOn w:val="1"/>
    <w:qFormat/>
    <w:uiPriority w:val="0"/>
    <w:pPr>
      <w:spacing w:line="240" w:lineRule="auto"/>
      <w:ind w:firstLine="0" w:firstLineChars="0"/>
      <w:jc w:val="center"/>
    </w:pPr>
    <w:rPr>
      <w:rFonts w:hint="eastAsia" w:ascii="Times New Roman" w:hAnsi="Times New Roman" w:eastAsia="宋体"/>
      <w:b/>
    </w:rPr>
  </w:style>
  <w:style w:type="paragraph" w:customStyle="1" w:styleId="83">
    <w:name w:val="表格文字"/>
    <w:basedOn w:val="1"/>
    <w:next w:val="1"/>
    <w:qFormat/>
    <w:uiPriority w:val="0"/>
    <w:pPr>
      <w:spacing w:line="240" w:lineRule="auto"/>
      <w:ind w:firstLine="0" w:firstLineChars="0"/>
      <w:jc w:val="center"/>
    </w:pPr>
    <w:rPr>
      <w:rFonts w:ascii="Times New Roman" w:hAnsi="Times New Roman" w:eastAsia="宋体"/>
      <w:sz w:val="21"/>
    </w:rPr>
  </w:style>
  <w:style w:type="paragraph" w:customStyle="1" w:styleId="84">
    <w:name w:val="zxj正文z"/>
    <w:basedOn w:val="1"/>
    <w:autoRedefine/>
    <w:qFormat/>
    <w:uiPriority w:val="0"/>
    <w:pPr>
      <w:keepNext w:val="0"/>
      <w:wordWrap/>
      <w:spacing w:line="360" w:lineRule="auto"/>
      <w:ind w:firstLine="420" w:firstLineChars="200"/>
      <w:textAlignment w:val="top"/>
    </w:pPr>
    <w:rPr>
      <w:rFonts w:ascii="Times New Roman" w:hAnsi="Times New Roman" w:eastAsia="宋体"/>
      <w:sz w:val="24"/>
    </w:rPr>
  </w:style>
  <w:style w:type="table" w:customStyle="1" w:styleId="85">
    <w:name w:val="我的表格"/>
    <w:qFormat/>
    <w:uiPriority w:val="99"/>
    <w:pPr>
      <w:adjustRightInd w:val="0"/>
      <w:snapToGrid w:val="0"/>
    </w:pPr>
    <w:tblPr>
      <w:tblBorders>
        <w:top w:val="double" w:color="auto" w:sz="4" w:space="0"/>
        <w:bottom w:val="double" w:color="auto" w:sz="4" w:space="0"/>
        <w:insideH w:val="single" w:color="auto" w:sz="4" w:space="0"/>
        <w:insideV w:val="single" w:color="auto" w:sz="4" w:space="0"/>
      </w:tblBorders>
    </w:tblPr>
    <w:tcPr>
      <w:shd w:val="clear" w:color="auto" w:fill="auto"/>
    </w:tcPr>
    <w:tblStylePr w:type="firstRow">
      <w:rPr>
        <w:rFonts w:eastAsia="宋体"/>
        <w:sz w:val="21"/>
      </w:rPr>
      <w:tcPr>
        <w:shd w:val="clear" w:color="auto" w:fill="D8D8D8"/>
      </w:tcPr>
    </w:tblStylePr>
  </w:style>
  <w:style w:type="character" w:customStyle="1" w:styleId="86">
    <w:name w:val="font81"/>
    <w:basedOn w:val="24"/>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er" Target="foot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emf"/><Relationship Id="rId25" Type="http://schemas.openxmlformats.org/officeDocument/2006/relationships/oleObject" Target="embeddings/oleObject8.bin"/><Relationship Id="rId24" Type="http://schemas.openxmlformats.org/officeDocument/2006/relationships/image" Target="media/image8.emf"/><Relationship Id="rId23" Type="http://schemas.openxmlformats.org/officeDocument/2006/relationships/oleObject" Target="embeddings/oleObject7.bin"/><Relationship Id="rId22" Type="http://schemas.openxmlformats.org/officeDocument/2006/relationships/image" Target="media/image7.emf"/><Relationship Id="rId21" Type="http://schemas.openxmlformats.org/officeDocument/2006/relationships/oleObject" Target="embeddings/oleObject6.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5.emf"/><Relationship Id="rId17" Type="http://schemas.openxmlformats.org/officeDocument/2006/relationships/oleObject" Target="embeddings/oleObject4.bin"/><Relationship Id="rId16" Type="http://schemas.openxmlformats.org/officeDocument/2006/relationships/image" Target="media/image4.emf"/><Relationship Id="rId15" Type="http://schemas.openxmlformats.org/officeDocument/2006/relationships/oleObject" Target="embeddings/oleObject3.bin"/><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39fe89c2-32d4-497c-b04a-eb12ffb96480</errorID>
      <errorWord>监测报告</errorWord>
      <group>L1_Word</group>
      <groupName>字词问题</groupName>
      <ability>L2_Typo</ability>
      <abilityName>字词错误</abilityName>
      <candidateList>
        <item>检测报告</item>
      </candidateList>
      <explain/>
      <paraID>6FBB307C</paraID>
      <start>11</start>
      <end>15</end>
      <status>unmodified</status>
      <modifiedWord/>
      <trackRevisions>false</trackRevisions>
    </reviewItem>
    <reviewItem>
      <errorID>07dbd51d-e720-4001-8ae8-644e1b972a62</errorID>
      <errorWord>监测报告</errorWord>
      <group>L1_Word</group>
      <groupName>字词问题</groupName>
      <ability>L2_Typo</ability>
      <abilityName>字词错误</abilityName>
      <candidateList>
        <item>检测报告</item>
      </candidateList>
      <explain/>
      <paraID>694F36C3</paraID>
      <start>11</start>
      <end>15</end>
      <status>unmodified</status>
      <modifiedWord/>
      <trackRevisions>false</trackRevisions>
    </reviewItem>
    <reviewItem>
      <errorID>2ac1e069-980c-42d7-8452-98c2f9022d6a</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7E420989</paraID>
      <start>6</start>
      <end>9</end>
      <status>unmodified</status>
      <modifiedWord/>
      <trackRevisions>false</trackRevisions>
    </reviewItem>
    <reviewItem>
      <errorID>6ca0a58b-d063-46bf-b822-e45d81ebf2a4</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56D1BCD9</paraID>
      <start>0</start>
      <end>3</end>
      <status>unmodified</status>
      <modifiedWord/>
      <trackRevisions>false</trackRevisions>
    </reviewItem>
    <reviewItem>
      <errorID>e227b648-f609-41a0-90e2-e95cdedfa347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11D1881D</paraID>
      <start>0</start>
      <end>2</end>
      <status>unmodified</status>
      <modifiedWord/>
      <trackRevisions>false</trackRevisions>
    </reviewItem>
    <reviewItem>
      <errorID>2674be88-2a1a-457c-8856-24fcba64c3f5</errorID>
      <errorWord>墨江县</errorWord>
      <group>L1_Knowledge</group>
      <groupName>知识性问题</groupName>
      <ability>L2_Location</ability>
      <abilityName>地名检查</abilityName>
      <candidateList>
        <item>墨江哈尼族自治县</item>
      </candidateList>
      <explain>自治区州县缩写不规范。《地名管理条例》第十八条规定，标识牌、公共平台发布的信息、各类公文证件、学习类公开出版物、地图、法律法规规定等场景范围内必须使用标准地名。</explain>
      <paraID>1244451E</paraID>
      <start>290</start>
      <end>293</end>
      <status>unmodified</status>
      <modifiedWord/>
      <trackRevisions>false</trackRevisions>
    </reviewItem>
    <reviewItem>
      <errorID>81db32dc-c68f-4939-a510-fcaee3ca385e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2AC31F84</paraID>
      <start>0</start>
      <end>2</end>
      <status>unmodified</status>
      <modifiedWord/>
      <trackRevisions>false</trackRevisions>
    </reviewItem>
    <reviewItem>
      <errorID>8a7a8b11-f1db-4c7c-ad8b-b9c71ea2e059</errorID>
      <errorWord>作</errorWord>
      <group>L1_Word</group>
      <groupName>字词问题</groupName>
      <ability>L2_Typo</ability>
      <abilityName>字词错误</abilityName>
      <candidateList>
        <item>做</item>
      </candidateList>
      <explain>存在发音相同字词的误用。</explain>
      <paraID> 21A61BD</paraID>
      <start>71</start>
      <end>72</end>
      <status>unmodified</status>
      <modifiedWord/>
      <trackRevisions>false</trackRevisions>
    </reviewItem>
    <reviewItem>
      <errorID>c6004986-f31c-40be-ae88-c110d6a7379b</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236AA148</paraID>
      <start>152</start>
      <end>155</end>
      <status>unmodified</status>
      <modifiedWord/>
      <trackRevisions>false</trackRevisions>
    </reviewItem>
    <reviewItem>
      <errorID>dcd1c4c9-d025-4b72-b78e-4007eacf0c50</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36D3FD29</paraID>
      <start>204</start>
      <end>207</end>
      <status>unmodified</status>
      <modifiedWord/>
      <trackRevisions>false</trackRevisions>
    </reviewItem>
    <reviewItem>
      <errorID>f5b16710-fa7a-450e-a424-1eb92c117153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64F08EBF</paraID>
      <start>52</start>
      <end>53</end>
      <status>unmodified</status>
      <modifiedWord/>
      <trackRevisions>false</trackRevisions>
    </reviewItem>
    <reviewItem>
      <errorID>cab95546-557b-45f1-a624-816abb5738aa</errorID>
      <errorWord>治要求</errorWord>
      <group>L1_Word</group>
      <groupName>字词问题</groupName>
      <ability>L2_Typo</ability>
      <abilityName>字词错误</abilityName>
      <candidateList>
        <item>要求</item>
      </candidateList>
      <explain>❶〈动〉提出具体愿望或条件，希望得到满足或实现：～转学｜～进步｜严格～自己。❷〈名〉所提出的具体愿望或条件：满足了他的～｜符合规定的～。</explain>
      <paraID>73BDC06C</paraID>
      <start>0</start>
      <end>3</end>
      <status>unmodified</status>
      <modifiedWord/>
      <trackRevisions>false</trackRevisions>
    </reviewItem>
    <reviewItem>
      <errorID>563d5947-4453-43aa-860c-06e63e582024</errorID>
      <errorWord>溶岩</errorWord>
      <group>L1_Word</group>
      <groupName>字词问题</groupName>
      <ability>L2_Typo</ability>
      <abilityName>字词错误</abilityName>
      <candidateList>
        <item>岩溶</item>
      </candidateList>
      <explain/>
      <paraID> 6C71B80</paraID>
      <start>55</start>
      <end>57</end>
      <status>unmodified</status>
      <modifiedWord/>
      <trackRevisions>false</trackRevisions>
    </reviewItem>
    <reviewItem>
      <errorID>9ac0d0ad-6222-4d1d-8ed8-501b0ac556dc</errorID>
      <errorWord>)</errorWord>
      <group>L1_Format</group>
      <groupName>格式问题</groupName>
      <ability>L2_HalfPunc</ability>
      <abilityName>全半角检查</abilityName>
      <candidateList>
        <item>）</item>
      </candidateList>
      <explain>文本全半角错误。</explain>
      <paraID>2410B2E7</paraID>
      <start>46</start>
      <end>47</end>
      <status>unmodified</status>
      <modifiedWord/>
      <trackRevisions>false</trackRevisions>
    </reviewItem>
    <reviewItem>
      <errorID>8bcef62b-94b7-4148-be76-a82c6132281f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A1254A6</paraID>
      <start>49</start>
      <end>50</end>
      <status>unmodified</status>
      <modifiedWord/>
      <trackRevisions>false</trackRevisions>
    </reviewItem>
    <reviewItem>
      <errorID>b7d6335c-1163-4e8e-949c-ae23f5b63253</errorID>
      <errorWord>虑</errorWord>
      <group>L1_Word</group>
      <groupName>字词问题</groupName>
      <ability>L2_Typo</ability>
      <abilityName>字词错误</abilityName>
      <candidateList>
        <item>虑园</item>
      </candidateList>
      <explain/>
      <paraID>5EFE6F0F</paraID>
      <start>62</start>
      <end>63</end>
      <status>unmodified</status>
      <modifiedWord/>
      <trackRevisions>false</trackRevisions>
    </reviewItem>
    <reviewItem>
      <errorID>b1ce5283-44d9-45e2-a2e9-b9e0e40d8ee2</errorID>
      <errorWord>环保基础设施建设</errorWord>
      <group>L1_Political</group>
      <groupName>政治性问题</groupName>
      <ability>L2_Keyword</ability>
      <abilityName>固定表述</abilityName>
      <candidateList>
        <item>环境基础设施建设</item>
      </candidateList>
      <explain>词汇“环境基础设施建设”在特定场景下为固定表述形式，请确认此处的“环保基础设施建设”是否存在不当。</explain>
      <paraID>515FF3E8</paraID>
      <start>4</start>
      <end>12</end>
      <status>unmodified</status>
      <modifiedWord/>
      <trackRevisions>false</trackRevisions>
    </reviewItem>
    <reviewItem>
      <errorID>5cc81bd5-c2c9-4bb9-bc87-4871f387e793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11E2BDDE</paraID>
      <start>0</start>
      <end>2</end>
      <status>unmodified</status>
      <modifiedWord/>
      <trackRevisions>false</trackRevisions>
    </reviewItem>
    <reviewItem>
      <errorID>b7a26d4d-9dd8-4894-95de-6def48cf6a22</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5149D2E2</paraID>
      <start>127</start>
      <end>130</end>
      <status>unmodified</status>
      <modifiedWord/>
      <trackRevisions>false</trackRevisions>
    </reviewItem>
    <reviewItem>
      <errorID>791f2ebd-3009-44d2-84f0-f380e1b182e8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361DB58A</paraID>
      <start>0</start>
      <end>2</end>
      <status>unmodified</status>
      <modifiedWord/>
      <trackRevisions>false</trackRevisions>
    </reviewItem>
    <reviewItem>
      <errorID>25a18458-50cf-4842-b4a1-1d5732bacdbc</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30CB53F9</paraID>
      <start>7</start>
      <end>10</end>
      <status>unmodified</status>
      <modifiedWord/>
      <trackRevisions>false</trackRevisions>
    </reviewItem>
    <reviewItem>
      <errorID>823d5f83-324b-4ae9-8698-a2d596ddd811</errorID>
      <errorWord>年年</errorWord>
      <group>L1_Word</group>
      <groupName>字词问题</groupName>
      <ability>L2_Typo</ability>
      <abilityName>字词错误</abilityName>
      <candidateList>
        <item>年</item>
      </candidateList>
      <explain/>
      <paraID>2F4FC109</paraID>
      <start>16</start>
      <end>18</end>
      <status>unmodified</status>
      <modifiedWord/>
      <trackRevisions>false</trackRevisions>
    </reviewItem>
    <reviewItem>
      <errorID>1d49ddba-a5fd-4034-9ad4-07fca9f741e1</errorID>
      <errorWord>改善</errorWord>
      <group>L1_Word</group>
      <groupName>字词问题</groupName>
      <ability>L2_Typo</ability>
      <abilityName>字词错误</abilityName>
      <candidateList>
        <item>缓解</item>
      </candidateList>
      <explain>“改善～压力”搭配不当，建议修改为“缓解～压力”。</explain>
      <paraID>3D226033</paraID>
      <start>100</start>
      <end>102</end>
      <status>unmodified</status>
      <modifiedWord/>
      <trackRevisions>false</trackRevisions>
    </reviewItem>
    <reviewItem>
      <errorID>57f5685f-bf4e-46b8-94e5-c8923796b3f3</errorID>
      <errorWord>南</errorWord>
      <group>L1_Word</group>
      <groupName>字词问题</groupName>
      <ability>L2_Typo</ability>
      <abilityName>字词错误</abilityName>
      <candidateList>
        <item>南省</item>
      </candidateList>
      <explain/>
      <paraID> 58105DC</paraID>
      <start>30</start>
      <end>31</end>
      <status>unmodified</status>
      <modifiedWord/>
      <trackRevisions>false</trackRevisions>
    </reviewItem>
    <reviewItem>
      <errorID>ca519464-0d9c-45a8-a2e4-7fad1b077baf</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 58105DC</paraID>
      <start>44</start>
      <end>47</end>
      <status>unmodified</status>
      <modifiedWord/>
      <trackRevisions>false</trackRevisions>
    </reviewItem>
    <reviewItem>
      <errorID>42d028cc-eecb-4a87-b89b-840d5e42d0b1</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2366194B</paraID>
      <start>0</start>
      <end>3</end>
      <status>unmodified</status>
      <modifiedWord/>
      <trackRevisions>false</trackRevisions>
    </reviewItem>
    <reviewItem>
      <errorID>17ab1906-aec7-428b-9b2e-12604ab24f18</errorID>
      <errorWord>的</errorWord>
      <group>L1_Word</group>
      <groupName>字词问题</groupName>
      <ability>L2_Typo</ability>
      <abilityName>字词错误</abilityName>
      <candidateList>
        <item>的污</item>
      </candidateList>
      <explain/>
      <paraID>511C58E3</paraID>
      <start>41</start>
      <end>42</end>
      <status>unmodified</status>
      <modifiedWord/>
      <trackRevisions>false</trackRevisions>
    </reviewItem>
    <reviewItem>
      <errorID>45dc5292-6e5a-4f2e-961e-19f122be0d72</errorID>
      <errorWord>，</errorWord>
      <group>L1_Word</group>
      <groupName>字词问题</groupName>
      <ability>L2_Typo</ability>
      <abilityName>字词错误</abilityName>
      <candidateList>
        <item>，在</item>
      </candidateList>
      <explain/>
      <paraID>3E1BED0E</paraID>
      <start>16</start>
      <end>17</end>
      <status>unmodified</status>
      <modifiedWord/>
      <trackRevisions>false</trackRevisions>
    </reviewItem>
    <reviewItem>
      <errorID>29e0e54d-09d6-4a44-a841-0d5902402e07</errorID>
      <errorWord>~</errorWord>
      <group>L1_Format</group>
      <groupName>格式问题</groupName>
      <ability>L2_HalfPunc</ability>
      <abilityName>全半角检查</abilityName>
      <candidateList>
        <item>～</item>
      </candidateList>
      <explain>文本全半角错误。</explain>
      <paraID>3E1BED0E</paraID>
      <start>34</start>
      <end>35</end>
      <status>unmodified</status>
      <modifiedWord/>
      <trackRevisions>false</trackRevisions>
    </reviewItem>
    <reviewItem>
      <errorID>016e7345-6d55-48c8-82d0-a4dcc7269269</errorID>
      <errorWord>达</errorWord>
      <group>L1_Word</group>
      <groupName>字词问题</groupName>
      <ability>L2_Typo</ability>
      <abilityName>字词错误</abilityName>
      <candidateList>
        <item>达到</item>
      </candidateList>
      <explain>〈动〉到（多指抽象事物或程度）：达得到｜达不到｜目的没有～｜～国际水平。</explain>
      <paraID>54B6073A</paraID>
      <start>19</start>
      <end>20</end>
      <status>unmodified</status>
      <modifiedWord/>
      <trackRevisions>false</trackRevisions>
    </reviewItem>
    <reviewItem>
      <errorID>81d43853-0917-4f63-9830-19f891cbd8ac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1BD99E91</paraID>
      <start>0</start>
      <end>2</end>
      <status>unmodified</status>
      <modifiedWord/>
      <trackRevisions>false</trackRevisions>
    </reviewItem>
    <reviewItem>
      <errorID>3bd3387f-602b-4203-85c1-9c9561022e58</errorID>
      <errorWord>环</errorWord>
      <group>L1_Word</group>
      <groupName>字词问题</groupName>
      <ability>L2_Typo</ability>
      <abilityName>字词错误</abilityName>
      <candidateList>
        <item>环境</item>
      </candidateList>
      <explain>〈名〉❶周围的地方：～优美｜～卫生。❷周围的情况和条件：客观～｜工作～。</explain>
      <paraID>26B43F05</paraID>
      <start>63</start>
      <end>64</end>
      <status>unmodified</status>
      <modifiedWord/>
      <trackRevisions>false</trackRevisions>
    </reviewItem>
    <reviewItem>
      <errorID>e40555a2-09d9-43bc-b09a-968dc874ca27</errorID>
      <errorWord>保护</errorWord>
      <group>L1_Word</group>
      <groupName>字词问题</groupName>
      <ability>L2_Typo</ability>
      <abilityName>字词错误</abilityName>
      <candidateList>
        <item>保</item>
      </candidateList>
      <explain/>
      <paraID>26B43F05</paraID>
      <start>64</start>
      <end>66</end>
      <status>unmodified</status>
      <modifiedWord/>
      <trackRevisions>false</trackRevisions>
    </reviewItem>
    <reviewItem>
      <errorID>68906ccd-6695-4a49-ba98-5c2a571a1758</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3C631566</paraID>
      <start>8</start>
      <end>11</end>
      <status>unmodified</status>
      <modifiedWord/>
      <trackRevisions>false</trackRevisions>
    </reviewItem>
    <reviewItem>
      <errorID>c23a4a61-07e9-4449-b147-f1b84ce02f03</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3C631566</paraID>
      <start>34</start>
      <end>37</end>
      <status>unmodified</status>
      <modifiedWord/>
      <trackRevisions>false</trackRevisions>
    </reviewItem>
    <reviewItem>
      <errorID>da0c9df0-4752-4568-9382-6b23c53de52a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2A3A3AA2</paraID>
      <start>0</start>
      <end>2</end>
      <status>unmodified</status>
      <modifiedWord/>
      <trackRevisions>false</trackRevisions>
    </reviewItem>
    <reviewItem>
      <errorID>a051f4a2-00e6-492f-8cc6-ec96b2975cf7</errorID>
      <errorWord>胜</errorWord>
      <group>L1_Word</group>
      <groupName>字词问题</groupName>
      <ability>L2_Typo</ability>
      <abilityName>字词错误</abilityName>
      <candidateList>
        <item>胜区</item>
      </candidateList>
      <explain/>
      <paraID>4DB87570</paraID>
      <start>67</start>
      <end>69</end>
      <status>modified</status>
      <modifiedWord>胜区</modifiedWord>
      <trackRevisions>false</trackRevisions>
    </reviewItem>
    <reviewItem>
      <errorID>5332f303-27f0-4280-abb6-6c8198dd423d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35FDA822</paraID>
      <start>0</start>
      <end>2</end>
      <status>unmodified</status>
      <modifiedWord/>
      <trackRevisions>false</trackRevisions>
    </reviewItem>
    <reviewItem>
      <errorID>e2c3f082-9fa0-4a7f-a86e-f95d8d6e501e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2EDA7DA4</paraID>
      <start>65</start>
      <end>68</end>
      <status>unmodified</status>
      <modifiedWord/>
      <trackRevisions>false</trackRevisions>
    </reviewItem>
    <reviewItem>
      <errorID>b47b0ea0-aee5-4a0f-8c66-2721f37a0256</errorID>
      <errorWord>胜</errorWord>
      <group>L1_Word</group>
      <groupName>字词问题</groupName>
      <ability>L2_Typo</ability>
      <abilityName>字词错误</abilityName>
      <candidateList>
        <item>胜区</item>
      </candidateList>
      <explain/>
      <paraID>2CFFF912</paraID>
      <start>29</start>
      <end>31</end>
      <status>modified</status>
      <modifiedWord>胜区</modifiedWord>
      <trackRevisions>false</trackRevisions>
    </reviewItem>
    <reviewItem>
      <errorID>c45bda56-f579-4663-900d-6a2c204304c2</errorID>
      <errorWord>胜</errorWord>
      <group>L1_Word</group>
      <groupName>字词问题</groupName>
      <ability>L2_Typo</ability>
      <abilityName>字词错误</abilityName>
      <candidateList>
        <item>胜区</item>
      </candidateList>
      <explain/>
      <paraID>2CFFF912</paraID>
      <start>158</start>
      <end>160</end>
      <status>modified</status>
      <modifiedWord>胜区</modifiedWord>
      <trackRevisions>false</trackRevisions>
    </reviewItem>
    <reviewItem>
      <errorID>a32fad74-15f5-4013-91ac-c93e1453291d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36BEB6E</paraID>
      <start>0</start>
      <end>2</end>
      <status>unmodified</status>
      <modifiedWord/>
      <trackRevisions>false</trackRevisions>
    </reviewItem>
    <reviewItem>
      <errorID>caead972-5260-4314-9e30-5777192a7707</errorID>
      <errorWord>》</errorWord>
      <group>L1_Punc</group>
      <groupName>标点问题</groupName>
      <ability>L2_Punc</ability>
      <abilityName>标点符号检查</abilityName>
      <candidateList/>
      <explain/>
      <paraID>177DC938</paraID>
      <start>15</start>
      <end>16</end>
      <status>unmodified</status>
      <modifiedWord/>
      <trackRevisions>false</trackRevisions>
    </reviewItem>
    <reviewItem>
      <errorID>82fe0ce8-376a-411c-aa97-a68f398f5229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1C4950E2</paraID>
      <start>0</start>
      <end>2</end>
      <status>unmodified</status>
      <modifiedWord/>
      <trackRevisions>false</trackRevisions>
    </reviewItem>
    <reviewItem>
      <errorID>dca0f8e2-7123-4166-80ab-8175070dedf0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63BDB5E7</paraID>
      <start>0</start>
      <end>2</end>
      <status>unmodified</status>
      <modifiedWord/>
      <trackRevisions>false</trackRevisions>
    </reviewItem>
    <reviewItem>
      <errorID>165a2d01-c839-471c-b81f-1959f129bceb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6B962DC1</paraID>
      <start>115</start>
      <end>118</end>
      <status>unmodified</status>
      <modifiedWord/>
      <trackRevisions>false</trackRevisions>
    </reviewItem>
    <reviewItem>
      <errorID>063c9d22-0528-4aea-b4d8-1ddcb713ee78</errorID>
      <errorWord>配套分</errorWord>
      <group>L1_Word</group>
      <groupName>字词问题</groupName>
      <ability>L2_Typo</ability>
      <abilityName>字词错误</abilityName>
      <candidateList>
        <item>配套</item>
      </candidateList>
      <explain/>
      <paraID>258C02C1</paraID>
      <start>67</start>
      <end>70</end>
      <status>unmodified</status>
      <modifiedWord/>
      <trackRevisions>false</trackRevisions>
    </reviewItem>
    <reviewItem>
      <errorID>b8db5dfd-6c15-4ac7-a3ff-f265fda14d19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463B4304</paraID>
      <start>0</start>
      <end>2</end>
      <status>unmodified</status>
      <modifiedWord/>
      <trackRevisions>false</trackRevisions>
    </reviewItem>
    <reviewItem>
      <errorID>846764ac-9cba-40b8-803b-8c644bf0a411</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3290EA2</paraID>
      <start>0</start>
      <end>3</end>
      <status>unmodified</status>
      <modifiedWord/>
      <trackRevisions>false</trackRevisions>
    </reviewItem>
    <reviewItem>
      <errorID>d1343b5f-6671-4f01-b5dd-19c4fc8d96fa</errorID>
      <errorWord>是</errorWord>
      <group>L1_Word</group>
      <groupName>字词问题</groupName>
      <ability>L2_Typo</ability>
      <abilityName>字词错误</abilityName>
      <candidateList>
        <item>时</item>
      </candidateList>
      <explain>存在发音相同字词的误用。</explain>
      <paraID>3D7D68C9</paraID>
      <start>56</start>
      <end>57</end>
      <status>unmodified</status>
      <modifiedWord/>
      <trackRevisions>false</trackRevisions>
    </reviewItem>
    <reviewItem>
      <errorID>3ce10dca-118a-42c4-96b6-224e2cb59a7f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56694008</paraID>
      <start>0</start>
      <end>3</end>
      <status>unmodified</status>
      <modifiedWord/>
      <trackRevisions>false</trackRevisions>
    </reviewItem>
    <reviewItem>
      <errorID>a340272e-9f04-4d91-815f-78f7676496cb</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22C07E18</paraID>
      <start>0</start>
      <end>3</end>
      <status>unmodified</status>
      <modifiedWord/>
      <trackRevisions>false</trackRevisions>
    </reviewItem>
    <reviewItem>
      <errorID>62a9ef01-33aa-47e9-b071-3e4474706a3b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68547E2F</paraID>
      <start>0</start>
      <end>2</end>
      <status>unmodified</status>
      <modifiedWord/>
      <trackRevisions>false</trackRevisions>
    </reviewItem>
    <reviewItem>
      <errorID>b9592180-7074-4852-a0f1-bb83d157af18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5FF49992</paraID>
      <start>0</start>
      <end>2</end>
      <status>unmodified</status>
      <modifiedWord/>
      <trackRevisions>false</trackRevisions>
    </reviewItem>
    <reviewItem>
      <errorID>d22eee58-c91d-4f2d-902c-820a82df71ce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51FFD3BE</paraID>
      <start>0</start>
      <end>2</end>
      <status>unmodified</status>
      <modifiedWord/>
      <trackRevisions>false</trackRevisions>
    </reviewItem>
    <reviewItem>
      <errorID>f48eea37-369d-43da-9579-5b19cc170a9a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602063B2</paraID>
      <start>0</start>
      <end>2</end>
      <status>unmodified</status>
      <modifiedWord/>
      <trackRevisions>false</trackRevisions>
    </reviewItem>
    <reviewItem>
      <errorID>18040369-ebcb-4e3f-8d8c-aa7a9a427a19</errorID>
      <errorWord>孳生</errorWord>
      <group>L1_Word</group>
      <groupName>字词问题</groupName>
      <ability>L2_Alias</ability>
      <abilityName>也作/曾用词</abilityName>
      <candidateList>
        <item>滋生</item>
      </candidateList>
      <explain>词汇[孳生]为不规范表述或旧称，其规范书面表述为[滋生]。</explain>
      <paraID>602063B2</paraID>
      <start>13</start>
      <end>15</end>
      <status>unmodified</status>
      <modifiedWord/>
      <trackRevisions>false</trackRevisions>
    </reviewItem>
    <reviewItem>
      <errorID>0d7ea111-6cf5-4ce5-9fe6-85bedbbc448c</errorID>
      <errorWord>孳生</errorWord>
      <group>L1_Word</group>
      <groupName>字词问题</groupName>
      <ability>L2_Alias</ability>
      <abilityName>也作/曾用词</abilityName>
      <candidateList>
        <item>滋生</item>
      </candidateList>
      <explain>词汇[孳生]为不规范表述或旧称，其规范书面表述为[滋生]。</explain>
      <paraID>33E057FC</paraID>
      <start>13</start>
      <end>15</end>
      <status>unmodified</status>
      <modifiedWord/>
      <trackRevisions>false</trackRevisions>
    </reviewItem>
    <reviewItem>
      <errorID>529a45be-8a83-4c55-99a5-6a4a8e8655e1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68EB5BF7</paraID>
      <start>0</start>
      <end>2</end>
      <status>unmodified</status>
      <modifiedWord/>
      <trackRevisions>false</trackRevisions>
    </reviewItem>
    <reviewItem>
      <errorID>88a7dc11-df46-4d6a-8c6d-651290fb9f7e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AC4088E</paraID>
      <start>0</start>
      <end>2</end>
      <status>unmodified</status>
      <modifiedWord/>
      <trackRevisions>false</trackRevisions>
    </reviewItem>
    <reviewItem>
      <errorID>be6cfc17-a803-4944-ab8b-5cffa8892bb4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4C9C4D62</paraID>
      <start>0</start>
      <end>2</end>
      <status>unmodified</status>
      <modifiedWord/>
      <trackRevisions>false</trackRevisions>
    </reviewItem>
    <reviewItem>
      <errorID>cd54ebaf-2c96-410d-8184-d1c4b739fb98</errorID>
      <errorWord>、或者</errorWord>
      <group>L1_Word</group>
      <groupName>字词问题</groupName>
      <ability>L2_Typo</ability>
      <abilityName>字词错误</abilityName>
      <candidateList>
        <item>，或者</item>
      </candidateList>
      <explain/>
      <paraID>4C9C4D62</paraID>
      <start>17</start>
      <end>20</end>
      <status>unmodified</status>
      <modifiedWord/>
      <trackRevisions>false</trackRevisions>
    </reviewItem>
    <reviewItem>
      <errorID>04989250-f278-458d-a10f-0d4e0f641840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3A37BAEB</paraID>
      <start>43</start>
      <end>44</end>
      <status>unmodified</status>
      <modifiedWord/>
      <trackRevisions>false</trackRevisions>
    </reviewItem>
    <reviewItem>
      <errorID>0f7f2a77-14fa-4240-9e1f-884a2d1a1d4a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6BD92F48</paraID>
      <start>0</start>
      <end>2</end>
      <status>unmodified</status>
      <modifiedWord/>
      <trackRevisions>false</trackRevisions>
    </reviewItem>
    <reviewItem>
      <errorID>275ce34c-dcbb-4b3d-85c0-a2e9fbc954dc</errorID>
      <errorWord>孳生</errorWord>
      <group>L1_Word</group>
      <groupName>字词问题</groupName>
      <ability>L2_Alias</ability>
      <abilityName>也作/曾用词</abilityName>
      <candidateList>
        <item>滋生</item>
      </candidateList>
      <explain>词汇[孳生]为不规范表述或旧称，其规范书面表述为[滋生]。</explain>
      <paraID>6BD92F48</paraID>
      <start>33</start>
      <end>35</end>
      <status>unmodified</status>
      <modifiedWord/>
      <trackRevisions>false</trackRevisions>
    </reviewItem>
    <reviewItem>
      <errorID>3df97e4c-4b94-430e-be01-f8aa64b761f1</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408C3E58</paraID>
      <start>21</start>
      <end>22</end>
      <status>unmodified</status>
      <modifiedWord/>
      <trackRevisions>false</trackRevisions>
    </reviewItem>
    <reviewItem>
      <errorID>4be455b2-8619-45b9-b174-ee143246330c</errorID>
      <errorWord>孳生</errorWord>
      <group>L1_Word</group>
      <groupName>字词问题</groupName>
      <ability>L2_Alias</ability>
      <abilityName>也作/曾用词</abilityName>
      <candidateList>
        <item>滋生</item>
      </candidateList>
      <explain>词汇[孳生]为不规范表述或旧称，其规范书面表述为[滋生]。</explain>
      <paraID>408C3E58</paraID>
      <start>27</start>
      <end>29</end>
      <status>unmodified</status>
      <modifiedWord/>
      <trackRevisions>false</trackRevisions>
    </reviewItem>
    <reviewItem>
      <errorID>2bc6e34b-9c64-4528-a2d1-4fc9dce8b149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7FC47EE2</paraID>
      <start>0</start>
      <end>2</end>
      <status>unmodified</status>
      <modifiedWord/>
      <trackRevisions>false</trackRevisions>
    </reviewItem>
    <reviewItem>
      <errorID>2fe5ecc8-794a-444a-a247-db57fc5de047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5CE6E6DD</paraID>
      <start>0</start>
      <end>2</end>
      <status>unmodified</status>
      <modifiedWord/>
      <trackRevisions>false</trackRevisions>
    </reviewItem>
    <reviewItem>
      <errorID>8bf16164-944b-4db7-9519-15c37ebb1652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52D16A7B</paraID>
      <start>0</start>
      <end>2</end>
      <status>unmodified</status>
      <modifiedWord/>
      <trackRevisions>false</trackRevisions>
    </reviewItem>
    <reviewItem>
      <errorID>d9874678-c984-4ff0-ae4e-a505b8f5d84d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4832B53D</paraID>
      <start>0</start>
      <end>2</end>
      <status>unmodified</status>
      <modifiedWord/>
      <trackRevisions>false</trackRevisions>
    </reviewItem>
    <reviewItem>
      <errorID>c811e45f-6e13-4f47-938f-e1bf58e4487e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353D0ACC</paraID>
      <start>0</start>
      <end>2</end>
      <status>unmodified</status>
      <modifiedWord/>
      <trackRevisions>false</trackRevisions>
    </reviewItem>
    <reviewItem>
      <errorID>6a7ef3b6-7477-43a2-84f9-bdf9ea26ce87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777C1619</paraID>
      <start>0</start>
      <end>2</end>
      <status>unmodified</status>
      <modifiedWord/>
      <trackRevisions>false</trackRevisions>
    </reviewItem>
    <reviewItem>
      <errorID>4cab8af7-c4cd-4c59-a697-431bfd52285f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35D9DDBC</paraID>
      <start>0</start>
      <end>2</end>
      <status>unmodified</status>
      <modifiedWord/>
      <trackRevisions>false</trackRevisions>
    </reviewItem>
    <reviewItem>
      <errorID>f175945d-668e-430f-9c69-22844f173e77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7D81F1D9</paraID>
      <start>0</start>
      <end>2</end>
      <status>unmodified</status>
      <modifiedWord/>
      <trackRevisions>false</trackRevisions>
    </reviewItem>
    <reviewItem>
      <errorID>7452c80f-30dd-46dc-9dbb-52e6848e2b70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6CCC7F40</paraID>
      <start>0</start>
      <end>2</end>
      <status>unmodified</status>
      <modifiedWord/>
      <trackRevisions>false</trackRevisions>
    </reviewItem>
    <reviewItem>
      <errorID>f3bf9121-185b-4ce3-b4ce-292c972531aa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53BD5DEE</paraID>
      <start>0</start>
      <end>2</end>
      <status>unmodified</status>
      <modifiedWord/>
      <trackRevisions>false</trackRevisions>
    </reviewItem>
    <reviewItem>
      <errorID>54513ae5-d2ae-41fa-87b7-743d2605366e</errorID>
      <errorWord>孳生</errorWord>
      <group>L1_Word</group>
      <groupName>字词问题</groupName>
      <ability>L2_Alias</ability>
      <abilityName>也作/曾用词</abilityName>
      <candidateList>
        <item>滋生</item>
      </candidateList>
      <explain>词汇[孳生]为不规范表述或旧称，其规范书面表述为[滋生]。</explain>
      <paraID>53BD5DEE</paraID>
      <start>50</start>
      <end>52</end>
      <status>unmodified</status>
      <modifiedWord/>
      <trackRevisions>false</trackRevisions>
    </reviewItem>
    <reviewItem>
      <errorID>ec365d51-d2dd-48bd-98e5-9c9aaf124af1</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62DC1FB1</paraID>
      <start>30</start>
      <end>31</end>
      <status>unmodified</status>
      <modifiedWord/>
      <trackRevisions>false</trackRevisions>
    </reviewItem>
    <reviewItem>
      <errorID>9cd982a9-57c6-42e5-a65c-c1b97ff60d66</errorID>
      <errorWord>孳生</errorWord>
      <group>L1_Word</group>
      <groupName>字词问题</groupName>
      <ability>L2_Alias</ability>
      <abilityName>也作/曾用词</abilityName>
      <candidateList>
        <item>滋生</item>
      </candidateList>
      <explain>词汇[孳生]为不规范表述或旧称，其规范书面表述为[滋生]。</explain>
      <paraID>62DC1FB1</paraID>
      <start>57</start>
      <end>59</end>
      <status>unmodified</status>
      <modifiedWord/>
      <trackRevisions>false</trackRevisions>
    </reviewItem>
    <reviewItem>
      <errorID>b948465e-c299-4ed1-9971-eff748a534d4</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274B32FF</paraID>
      <start>0</start>
      <end>3</end>
      <status>unmodified</status>
      <modifiedWord/>
      <trackRevisions>false</trackRevisions>
    </reviewItem>
    <reviewItem>
      <errorID>c7547d89-3434-49a7-9e47-82a5af832c75</errorID>
      <errorWord>；，</errorWord>
      <group>L1_Punc</group>
      <groupName>标点问题</groupName>
      <ability>L2_Punc</ability>
      <abilityName>标点符号检查</abilityName>
      <candidateList>
        <item>；</item>
      </candidateList>
      <explain/>
      <paraID>33E8AC32</paraID>
      <start>94</start>
      <end>96</end>
      <status>unmodified</status>
      <modifiedWord/>
      <trackRevisions>false</trackRevisions>
    </reviewItem>
    <reviewItem>
      <errorID>3c90916a-08b4-42fd-bf63-f991e6c2ebb8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7E577248</paraID>
      <start>0</start>
      <end>2</end>
      <status>unmodified</status>
      <modifiedWord/>
      <trackRevisions>false</trackRevisions>
    </reviewItem>
    <reviewItem>
      <errorID>adcf23c9-6ca6-4309-b5b9-a4d4b40d17dd</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568DC9E4</paraID>
      <start>32</start>
      <end>35</end>
      <status>unmodified</status>
      <modifiedWord/>
      <trackRevisions>false</trackRevisions>
    </reviewItem>
    <reviewItem>
      <errorID>6854d092-6b27-4e55-8d0f-c85413237d84</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6F236A3A</paraID>
      <start>19</start>
      <end>22</end>
      <status>unmodified</status>
      <modifiedWord/>
      <trackRevisions>false</trackRevisions>
    </reviewItem>
    <reviewItem>
      <errorID>ab8687be-a85a-4a3a-9e60-162bf26c4158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6775A07F</paraID>
      <start>0</start>
      <end>2</end>
      <status>unmodified</status>
      <modifiedWord/>
      <trackRevisions>false</trackRevisions>
    </reviewItem>
    <reviewItem>
      <errorID>8a849469-5b2d-40c7-ab2b-f12699e1a516</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31F564FB</paraID>
      <start>11</start>
      <end>14</end>
      <status>unmodified</status>
      <modifiedWord/>
      <trackRevisions>false</trackRevisions>
    </reviewItem>
    <reviewItem>
      <errorID>6767b22a-2da5-4370-afe1-5dcb758de642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8D19AFE</paraID>
      <start>0</start>
      <end>2</end>
      <status>unmodified</status>
      <modifiedWord/>
      <trackRevisions>false</trackRevisions>
    </reviewItem>
    <reviewItem>
      <errorID>2f64b83c-8b2e-40f9-85fd-8a9fba47943f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6C0078FB</paraID>
      <start>0</start>
      <end>2</end>
      <status>unmodified</status>
      <modifiedWord/>
      <trackRevisions>false</trackRevisions>
    </reviewItem>
    <reviewItem>
      <errorID>c0c11725-079a-4e56-a02c-6010b8a4b56e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447CE008</paraID>
      <start>0</start>
      <end>2</end>
      <status>unmodified</status>
      <modifiedWord/>
      <trackRevisions>false</trackRevisions>
    </reviewItem>
    <reviewItem>
      <errorID>5f0eb55e-fdc5-4142-92a7-dde438c7d001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A98E6D6</paraID>
      <start>0</start>
      <end>2</end>
      <status>unmodified</status>
      <modifiedWord/>
      <trackRevisions>false</trackRevisions>
    </reviewItem>
    <reviewItem>
      <errorID>0e8a23ae-db1a-499d-8cc1-69110b3be188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4773A45E</paraID>
      <start>0</start>
      <end>2</end>
      <status>unmodified</status>
      <modifiedWord/>
      <trackRevisions>false</trackRevisions>
    </reviewItem>
    <reviewItem>
      <errorID>e4fe4609-fcd7-4260-af89-ffbb83d87d8a</errorID>
      <errorWord>用排水</errorWord>
      <group>L1_Word</group>
      <groupName>字词问题</groupName>
      <ability>L2_Typo</ability>
      <abilityName>字词错误</abilityName>
      <candidateList>
        <item>供排水</item>
      </candidateList>
      <explain/>
      <paraID>2B8EBA6F</paraID>
      <start>11</start>
      <end>14</end>
      <status>unmodified</status>
      <modifiedWord/>
      <trackRevisions>false</trackRevisions>
    </reviewItem>
    <reviewItem>
      <errorID>1db1f7d2-1a62-4d7b-87bd-5e4ee7312260</errorID>
      <errorWord>（</errorWord>
      <group>L1_Format</group>
      <groupName>格式问题</groupName>
      <ability>L2_HalfPunc</ability>
      <abilityName>全半角检查</abilityName>
      <candidateList>
        <item>(</item>
      </candidateList>
      <explain>文本全半角错误。</explain>
      <paraID>52ECE509</paraID>
      <start>0</start>
      <end>1</end>
      <status>unmodified</status>
      <modifiedWord/>
      <trackRevisions>false</trackRevisions>
    </reviewItem>
    <reviewItem>
      <errorID>92d12478-7288-420c-a3d5-81ae7478b683</errorID>
      <errorWord>）</errorWord>
      <group>L1_Format</group>
      <groupName>格式问题</groupName>
      <ability>L2_HalfPunc</ability>
      <abilityName>全半角检查</abilityName>
      <candidateList>
        <item>)</item>
      </candidateList>
      <explain>文本全半角错误。</explain>
      <paraID>52ECE509</paraID>
      <start>5</start>
      <end>6</end>
      <status>unmodified</status>
      <modifiedWord/>
      <trackRevisions>false</trackRevisions>
    </reviewItem>
    <reviewItem>
      <errorID>14f080d3-6ffa-4fca-92ae-144bd18234dc</errorID>
      <errorWord>（</errorWord>
      <group>L1_Format</group>
      <groupName>格式问题</groupName>
      <ability>L2_HalfPunc</ability>
      <abilityName>全半角检查</abilityName>
      <candidateList>
        <item>(</item>
      </candidateList>
      <explain>文本全半角错误。</explain>
      <paraID>3AE41E6B</paraID>
      <start>0</start>
      <end>1</end>
      <status>unmodified</status>
      <modifiedWord/>
      <trackRevisions>false</trackRevisions>
    </reviewItem>
    <reviewItem>
      <errorID>171118f7-0d3f-4e11-8c22-d058762541c0</errorID>
      <errorWord>）</errorWord>
      <group>L1_Format</group>
      <groupName>格式问题</groupName>
      <ability>L2_HalfPunc</ability>
      <abilityName>全半角检查</abilityName>
      <candidateList>
        <item>)</item>
      </candidateList>
      <explain>文本全半角错误。</explain>
      <paraID>3AE41E6B</paraID>
      <start>5</start>
      <end>6</end>
      <status>unmodified</status>
      <modifiedWord/>
      <trackRevisions>false</trackRevisions>
    </reviewItem>
    <reviewItem>
      <errorID>f2f431f5-6524-4433-8266-f6b8ffbdbcd2</errorID>
      <errorWord>（</errorWord>
      <group>L1_Format</group>
      <groupName>格式问题</groupName>
      <ability>L2_HalfPunc</ability>
      <abilityName>全半角检查</abilityName>
      <candidateList>
        <item>(</item>
      </candidateList>
      <explain>文本全半角错误。</explain>
      <paraID>498AD585</paraID>
      <start>0</start>
      <end>1</end>
      <status>unmodified</status>
      <modifiedWord/>
      <trackRevisions>false</trackRevisions>
    </reviewItem>
    <reviewItem>
      <errorID>c76a41b3-7a88-4d47-a38c-e048de2c4502</errorID>
      <errorWord>）</errorWord>
      <group>L1_Format</group>
      <groupName>格式问题</groupName>
      <ability>L2_HalfPunc</ability>
      <abilityName>全半角检查</abilityName>
      <candidateList>
        <item>)</item>
      </candidateList>
      <explain>文本全半角错误。</explain>
      <paraID>498AD585</paraID>
      <start>5</start>
      <end>6</end>
      <status>unmodified</status>
      <modifiedWord/>
      <trackRevisions>false</trackRevisions>
    </reviewItem>
    <reviewItem>
      <errorID>75418462-ac2e-4a97-a5f5-5ab0ba8277b1</errorID>
      <errorWord>锅炉排水</errorWord>
      <group>L1_Knowledge</group>
      <groupName>知识性问题</groupName>
      <ability>L2_Term</ability>
      <abilityName>专业术语</abilityName>
      <candidateList>
        <item>锅炉排污</item>
      </candidateList>
      <explain/>
      <paraID>6E86AB74</paraID>
      <start>23</start>
      <end>27</end>
      <status>unmodified</status>
      <modifiedWord/>
      <trackRevisions>false</trackRevisions>
    </reviewItem>
    <reviewItem>
      <errorID>73918400-0900-40c7-83fb-0252f71b2790</errorID>
      <errorWord>量量</errorWord>
      <group>L1_Word</group>
      <groupName>字词问题</groupName>
      <ability>L2_Typo</ability>
      <abilityName>字词错误</abilityName>
      <candidateList>
        <item>量</item>
      </candidateList>
      <explain/>
      <paraID>6E86AB74</paraID>
      <start>28</start>
      <end>30</end>
      <status>unmodified</status>
      <modifiedWord/>
      <trackRevisions>false</trackRevisions>
    </reviewItem>
    <reviewItem>
      <errorID>1a34e4cc-7ba9-421f-98b6-01d99c0004e0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7CB5752</paraID>
      <start>0</start>
      <end>2</end>
      <status>unmodified</status>
      <modifiedWord/>
      <trackRevisions>false</trackRevisions>
    </reviewItem>
    <reviewItem>
      <errorID>c72c490e-2d59-4c92-8535-c4aed7b749c3</errorID>
      <errorWord>后后</errorWord>
      <group>L1_Word</group>
      <groupName>字词问题</groupName>
      <ability>L2_Typo</ability>
      <abilityName>字词错误</abilityName>
      <candidateList>
        <item>后</item>
      </candidateList>
      <explain>❶君主的妻子：皇～｜～妃。❷古代称君主：商之先～。❸（Hòu）〈名〉姓。</explain>
      <paraID>309A6ABC</paraID>
      <start>55</start>
      <end>57</end>
      <status>unmodified</status>
      <modifiedWord/>
      <trackRevisions>false</trackRevisions>
    </reviewItem>
    <reviewItem>
      <errorID>207c85e1-ca8d-4e93-bdd5-49ed7ea98d1a</errorID>
      <errorWord>技</errorWord>
      <group>L1_Word</group>
      <groupName>字词问题</groupName>
      <ability>L2_Typo</ability>
      <abilityName>字词错误</abilityName>
      <candidateList>
        <item>技术</item>
      </candidateList>
      <explain>〈名〉❶人类在认识自然和利用自然的过程中积累起来并在生产劳动中体现出来的经验和知识，也泛指其他操作方面的技巧：钻研～｜～先进。❷指技术装备：～改造。</explain>
      <paraID>5268C1D5</paraID>
      <start>2</start>
      <end>3</end>
      <status>unmodified</status>
      <modifiedWord/>
      <trackRevisions>false</trackRevisions>
    </reviewItem>
    <reviewItem>
      <errorID>8d0ea9c1-0d9a-4f73-83ea-a29afb056768</errorID>
      <errorWord>技</errorWord>
      <group>L1_Word</group>
      <groupName>字词问题</groupName>
      <ability>L2_Typo</ability>
      <abilityName>字词错误</abilityName>
      <candidateList>
        <item>技术</item>
      </candidateList>
      <explain>〈名〉❶人类在认识自然和利用自然的过程中积累起来并在生产劳动中体现出来的经验和知识，也泛指其他操作方面的技巧：钻研～｜～先进。❷指技术装备：～改造。</explain>
      <paraID>48E086A0</paraID>
      <start>2</start>
      <end>3</end>
      <status>unmodified</status>
      <modifiedWord/>
      <trackRevisions>false</trackRevisions>
    </reviewItem>
    <reviewItem>
      <errorID>b370813c-8eb4-4233-b27c-35f58e5f3e1d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200C9893</paraID>
      <start>0</start>
      <end>2</end>
      <status>unmodified</status>
      <modifiedWord/>
      <trackRevisions>false</trackRevisions>
    </reviewItem>
    <reviewItem>
      <errorID>92d743e9-191b-432d-a89b-fa0c308a5dd6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152365A3</paraID>
      <start>0</start>
      <end>3</end>
      <status>unmodified</status>
      <modifiedWord/>
      <trackRevisions>false</trackRevisions>
    </reviewItem>
    <reviewItem>
      <errorID>9271d0ef-4032-4c33-858c-3892169b0479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40BA0BEA</paraID>
      <start>0</start>
      <end>3</end>
      <status>unmodified</status>
      <modifiedWord/>
      <trackRevisions>false</trackRevisions>
    </reviewItem>
    <reviewItem>
      <errorID>78a1bf51-64cd-4da8-afa8-f014f65389c1</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1CBD66BB</paraID>
      <start>64</start>
      <end>65</end>
      <status>unmodified</status>
      <modifiedWord/>
      <trackRevisions>false</trackRevisions>
    </reviewItem>
    <reviewItem>
      <errorID>58db7d39-3e9b-4b69-bb75-b458e882a396</errorID>
      <errorWord>94%~95%</errorWord>
      <group>L1_Knowledge</group>
      <groupName>知识性问题</groupName>
      <ability>L2_Knowledge</ability>
      <abilityName>其他知识</abilityName>
      <candidateList>
        <item>94%～95%</item>
      </candidateList>
      <explain>1. “94%~95%”中的单位“%”仅出现在后一个数字上，容易引起歧义；根据《现代汉语标点符号数字用法规范手册》，数字表示范围两边需要使用统一的格式。2. 根据标点国标 4.13 中的规则，数字、时间或地域连接符应使用（视觉上更长的）“—”或“～”。</explain>
      <paraID>4553D3BD</paraID>
      <start>10</start>
      <end>17</end>
      <status>unmodified</status>
      <modifiedWord/>
      <trackRevisions>false</trackRevisions>
    </reviewItem>
    <reviewItem>
      <errorID>aafd165a-e940-475a-9912-3a774b69d780</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6F7D5864</paraID>
      <start>20</start>
      <end>23</end>
      <status>unmodified</status>
      <modifiedWord/>
      <trackRevisions>false</trackRevisions>
    </reviewItem>
    <reviewItem>
      <errorID>1537e234-ad77-41b6-99c6-588b5edfc19c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6F600489</paraID>
      <start>0</start>
      <end>2</end>
      <status>unmodified</status>
      <modifiedWord/>
      <trackRevisions>false</trackRevisions>
    </reviewItem>
    <reviewItem>
      <errorID>edd081ee-1d92-426d-a2d8-062cf49a2e8f</errorID>
      <errorWord>套</errorWord>
      <group>L1_Knowledge</group>
      <groupName>知识性问题</groupName>
      <ability>L2_Knowledge</ability>
      <abilityName>其他知识</abilityName>
      <candidateList>
        <item>条</item>
      </candidateList>
      <explain/>
      <paraID>  F268A0</paraID>
      <start>39</start>
      <end>40</end>
      <status>unmodified</status>
      <modifiedWord/>
      <trackRevisions>false</trackRevisions>
    </reviewItem>
    <reviewItem>
      <errorID>b74d6cc2-6fe4-4352-b47b-e876704fd393</errorID>
      <errorWord>罐装</errorWord>
      <group>L1_Word</group>
      <groupName>字词问题</groupName>
      <ability>L2_Typo</ability>
      <abilityName>字词错误</abilityName>
      <candidateList>
        <item>灌装</item>
      </candidateList>
      <explain>存在发音相同字词的误用。</explain>
      <paraID>53403484</paraID>
      <start>28</start>
      <end>30</end>
      <status>modified</status>
      <modifiedWord>灌装</modifiedWord>
      <trackRevisions>false</trackRevisions>
    </reviewItem>
    <reviewItem>
      <errorID>664d9141-1526-465b-b2d6-35c0fcf8cdfb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5F31EB06</paraID>
      <start>0</start>
      <end>2</end>
      <status>unmodified</status>
      <modifiedWord/>
      <trackRevisions>false</trackRevisions>
    </reviewItem>
    <reviewItem>
      <errorID>a7959df0-f4f8-43f3-8536-43fe919d8aa6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7EDF9660</paraID>
      <start>0</start>
      <end>2</end>
      <status>unmodified</status>
      <modifiedWord/>
      <trackRevisions>false</trackRevisions>
    </reviewItem>
    <reviewItem>
      <errorID>32d60785-da51-463a-8bae-3c4a66160b94</errorID>
      <errorWord>其它水果</errorWord>
      <group>L1_Word</group>
      <groupName>字词问题</groupName>
      <ability>L2_Alias</ability>
      <abilityName>也作/曾用词</abilityName>
      <candidateList>
        <item>其他水果</item>
      </candidateList>
      <explain>词汇[其它水果]为不规范表述或旧称，其规范书面表述为[其他水果]。</explain>
      <paraID>2478EE2F</paraID>
      <start>0</start>
      <end>4</end>
      <status>unmodified</status>
      <modifiedWord/>
      <trackRevisions>false</trackRevisions>
    </reviewItem>
    <reviewItem>
      <errorID>f1830904-e85d-429a-90e2-5813a7120420</errorID>
      <errorWord>1%~2%</errorWord>
      <group>L1_Knowledge</group>
      <groupName>知识性问题</groupName>
      <ability>L2_Knowledge</ability>
      <abilityName>其他知识</abilityName>
      <candidateList>
        <item>1%～2%</item>
      </candidateList>
      <explain>1. “1%~2%”中的单位“%”仅出现在后一个数字上，容易引起歧义；根据《现代汉语标点符号数字用法规范手册》，数字表示范围两边需要使用统一的格式。2. 根据标点国标 4.13 中的规则，数字、时间或地域连接符应使用（视觉上更长的）“—”或“～”。</explain>
      <paraID>3BBF7507</paraID>
      <start>7</start>
      <end>12</end>
      <status>unmodified</status>
      <modifiedWord/>
      <trackRevisions>false</trackRevisions>
    </reviewItem>
    <reviewItem>
      <errorID>c0d52d0e-9600-42fb-af37-da8ea285fd92</errorID>
      <errorWord>(</errorWord>
      <group>L1_Format</group>
      <groupName>格式问题</groupName>
      <ability>L2_HalfPunc</ability>
      <abilityName>全半角检查</abilityName>
      <candidateList>
        <item>（</item>
      </candidateList>
      <explain>文本全半角错误。</explain>
      <paraID>3FC8B5F4</paraID>
      <start>11</start>
      <end>12</end>
      <status>unmodified</status>
      <modifiedWord/>
      <trackRevisions>false</trackRevisions>
    </reviewItem>
    <reviewItem>
      <errorID>d712fbb5-1338-4390-bbcb-5c4c7c382d8b</errorID>
      <errorWord>)</errorWord>
      <group>L1_Format</group>
      <groupName>格式问题</groupName>
      <ability>L2_HalfPunc</ability>
      <abilityName>全半角检查</abilityName>
      <candidateList>
        <item>）</item>
      </candidateList>
      <explain>文本全半角错误。</explain>
      <paraID>3FC8B5F4</paraID>
      <start>16</start>
      <end>17</end>
      <status>unmodified</status>
      <modifiedWord/>
      <trackRevisions>false</trackRevisions>
    </reviewItem>
    <reviewItem>
      <errorID>8d445edd-20f9-42ef-bf5d-f7358c6a57c5</errorID>
      <errorWord>马玲薯</errorWord>
      <group>L1_Word</group>
      <groupName>字词问题</groupName>
      <ability>L2_Typo</ability>
      <abilityName>字词错误</abilityName>
      <candidateList>
        <item>马铃薯</item>
      </candidateList>
      <explain/>
      <paraID>5B1BC1B8</paraID>
      <start>0</start>
      <end>3</end>
      <status>unmodified</status>
      <modifiedWord/>
      <trackRevisions>false</trackRevisions>
    </reviewItem>
    <reviewItem>
      <errorID>7754f502-70ee-4419-9bd1-1b6cf1f0936b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6402823C</paraID>
      <start>0</start>
      <end>2</end>
      <status>unmodified</status>
      <modifiedWord/>
      <trackRevisions>false</trackRevisions>
    </reviewItem>
    <reviewItem>
      <errorID>db31dc0b-eec9-4a15-8439-a291081af976</errorID>
      <errorWord>KW</errorWord>
      <group>L1_Word</group>
      <groupName>字词问题</groupName>
      <ability>L2_Typo</ability>
      <abilityName>字词错误</abilityName>
      <candidateList>
        <item>kW</item>
      </candidateList>
      <explain/>
      <paraID>5E061C2D</paraID>
      <start>32</start>
      <end>34</end>
      <status>unmodified</status>
      <modifiedWord/>
      <trackRevisions>false</trackRevisions>
    </reviewItem>
    <reviewItem>
      <errorID>9b8a8ff6-ac8e-4fc2-a8c4-8717480035da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1980DE82</paraID>
      <start>0</start>
      <end>2</end>
      <status>unmodified</status>
      <modifiedWord/>
      <trackRevisions>false</trackRevisions>
    </reviewItem>
    <reviewItem>
      <errorID>b5b05f82-5b0e-4a81-8133-dc94e0ccb025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33DC8226</paraID>
      <start>0</start>
      <end>2</end>
      <status>unmodified</status>
      <modifiedWord/>
      <trackRevisions>false</trackRevisions>
    </reviewItem>
    <reviewItem>
      <errorID>50b40114-8c15-43b2-843e-132bdfdeeb65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2D021E44</paraID>
      <start>0</start>
      <end>2</end>
      <status>unmodified</status>
      <modifiedWord/>
      <trackRevisions>false</trackRevisions>
    </reviewItem>
    <reviewItem>
      <errorID>2c72df8f-1e08-4756-8de3-bad7347e1807</errorID>
      <errorWord>（</errorWord>
      <group>L1_Format</group>
      <groupName>格式问题</groupName>
      <ability>L2_HalfPunc</ability>
      <abilityName>全半角检查</abilityName>
      <candidateList>
        <item>(</item>
      </candidateList>
      <explain>文本全半角错误。</explain>
      <paraID>15E92A92</paraID>
      <start>0</start>
      <end>1</end>
      <status>unmodified</status>
      <modifiedWord/>
      <trackRevisions>false</trackRevisions>
    </reviewItem>
    <reviewItem>
      <errorID>da810132-aea8-430c-9ff7-09cfc99e6681</errorID>
      <errorWord>）</errorWord>
      <group>L1_Format</group>
      <groupName>格式问题</groupName>
      <ability>L2_HalfPunc</ability>
      <abilityName>全半角检查</abilityName>
      <candidateList>
        <item>)</item>
      </candidateList>
      <explain>文本全半角错误。</explain>
      <paraID>15E92A92</paraID>
      <start>6</start>
      <end>7</end>
      <status>unmodified</status>
      <modifiedWord/>
      <trackRevisions>false</trackRevisions>
    </reviewItem>
    <reviewItem>
      <errorID>ae89eb88-03d4-42c5-a7ab-e27d7112d24e</errorID>
      <errorWord>（</errorWord>
      <group>L1_Format</group>
      <groupName>格式问题</groupName>
      <ability>L2_HalfPunc</ability>
      <abilityName>全半角检查</abilityName>
      <candidateList>
        <item>(</item>
      </candidateList>
      <explain>文本全半角错误。</explain>
      <paraID>3AA1DBD2</paraID>
      <start>0</start>
      <end>1</end>
      <status>unmodified</status>
      <modifiedWord/>
      <trackRevisions>false</trackRevisions>
    </reviewItem>
    <reviewItem>
      <errorID>279d5910-813e-4ba4-a53c-7f6e4d0d16c7</errorID>
      <errorWord>）</errorWord>
      <group>L1_Format</group>
      <groupName>格式问题</groupName>
      <ability>L2_HalfPunc</ability>
      <abilityName>全半角检查</abilityName>
      <candidateList>
        <item>)</item>
      </candidateList>
      <explain>文本全半角错误。</explain>
      <paraID>3AA1DBD2</paraID>
      <start>6</start>
      <end>7</end>
      <status>unmodified</status>
      <modifiedWord/>
      <trackRevisions>false</trackRevisions>
    </reviewItem>
    <reviewItem>
      <errorID>198c45e5-d26c-44bb-bb05-61a190e9a2ef</errorID>
      <errorWord>（</errorWord>
      <group>L1_Format</group>
      <groupName>格式问题</groupName>
      <ability>L2_HalfPunc</ability>
      <abilityName>全半角检查</abilityName>
      <candidateList>
        <item>(</item>
      </candidateList>
      <explain>文本全半角错误。</explain>
      <paraID>3197ECC6</paraID>
      <start>0</start>
      <end>1</end>
      <status>unmodified</status>
      <modifiedWord/>
      <trackRevisions>false</trackRevisions>
    </reviewItem>
    <reviewItem>
      <errorID>21738945-a2bf-4d40-9620-063147de732d</errorID>
      <errorWord>）</errorWord>
      <group>L1_Format</group>
      <groupName>格式问题</groupName>
      <ability>L2_HalfPunc</ability>
      <abilityName>全半角检查</abilityName>
      <candidateList>
        <item>)</item>
      </candidateList>
      <explain>文本全半角错误。</explain>
      <paraID>3197ECC6</paraID>
      <start>5</start>
      <end>6</end>
      <status>unmodified</status>
      <modifiedWord/>
      <trackRevisions>false</trackRevisions>
    </reviewItem>
    <reviewItem>
      <errorID>4ce8dc5d-e276-4c4e-93df-89fc9170e4ef</errorID>
      <errorWord>～</errorWord>
      <group>L1_Format</group>
      <groupName>格式问题</groupName>
      <ability>L2_HalfPunc</ability>
      <abilityName>全半角检查</abilityName>
      <candidateList>
        <item>~</item>
      </candidateList>
      <explain>文本全半角错误。</explain>
      <paraID> FB805DC</paraID>
      <start>3</start>
      <end>4</end>
      <status>unmodified</status>
      <modifiedWord/>
      <trackRevisions>false</trackRevisions>
    </reviewItem>
    <reviewItem>
      <errorID>f925daa4-2982-42de-88af-8357db615d65</errorID>
      <errorWord>)</errorWord>
      <group>L1_Format</group>
      <groupName>格式问题</groupName>
      <ability>L2_HalfPunc</ability>
      <abilityName>全半角检查</abilityName>
      <candidateList>
        <item>）</item>
      </candidateList>
      <explain>文本全半角错误。</explain>
      <paraID> 4307B34</paraID>
      <start>64</start>
      <end>65</end>
      <status>unmodified</status>
      <modifiedWord/>
      <trackRevisions>false</trackRevisions>
    </reviewItem>
    <reviewItem>
      <errorID>5361f3ed-0ef8-413c-af6c-afd2dc2c63ac</errorID>
      <errorWord>)</errorWord>
      <group>L1_Format</group>
      <groupName>格式问题</groupName>
      <ability>L2_HalfPunc</ability>
      <abilityName>全半角检查</abilityName>
      <candidateList>
        <item>）</item>
      </candidateList>
      <explain>文本全半角错误。</explain>
      <paraID> 4307B34</paraID>
      <start>76</start>
      <end>77</end>
      <status>unmodified</status>
      <modifiedWord/>
      <trackRevisions>false</trackRevisions>
    </reviewItem>
    <reviewItem>
      <errorID>2bebdc6c-684b-493d-bdf1-db6647197007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1C6B2D76</paraID>
      <start>0</start>
      <end>2</end>
      <status>unmodified</status>
      <modifiedWord/>
      <trackRevisions>false</trackRevisions>
    </reviewItem>
    <reviewItem>
      <errorID>5e387326-3269-499f-a783-9d1cfcc129a9</errorID>
      <errorWord>(</errorWord>
      <group>L1_Format</group>
      <groupName>格式问题</groupName>
      <ability>L2_HalfPunc</ability>
      <abilityName>全半角检查</abilityName>
      <candidateList>
        <item>（</item>
      </candidateList>
      <explain>文本全半角错误。</explain>
      <paraID>1EC7A672</paraID>
      <start>3</start>
      <end>4</end>
      <status>unmodified</status>
      <modifiedWord/>
      <trackRevisions>false</trackRevisions>
    </reviewItem>
    <reviewItem>
      <errorID>bc77d4f9-7430-424f-9f4a-da9e59f5afa6</errorID>
      <errorWord>)</errorWord>
      <group>L1_Format</group>
      <groupName>格式问题</groupName>
      <ability>L2_HalfPunc</ability>
      <abilityName>全半角检查</abilityName>
      <candidateList>
        <item>）</item>
      </candidateList>
      <explain>文本全半角错误。</explain>
      <paraID>1EC7A672</paraID>
      <start>9</start>
      <end>10</end>
      <status>unmodified</status>
      <modifiedWord/>
      <trackRevisions>false</trackRevisions>
    </reviewItem>
    <reviewItem>
      <errorID>5fb76955-a80b-4510-81de-acd1f265f1e4</errorID>
      <errorWord>(</errorWord>
      <group>L1_Format</group>
      <groupName>格式问题</groupName>
      <ability>L2_HalfPunc</ability>
      <abilityName>全半角检查</abilityName>
      <candidateList>
        <item>（</item>
      </candidateList>
      <explain>文本全半角错误。</explain>
      <paraID>703D9811</paraID>
      <start>3</start>
      <end>4</end>
      <status>unmodified</status>
      <modifiedWord/>
      <trackRevisions>false</trackRevisions>
    </reviewItem>
    <reviewItem>
      <errorID>c7bc3ebc-1737-481a-96e6-427786862f80</errorID>
      <errorWord>)</errorWord>
      <group>L1_Format</group>
      <groupName>格式问题</groupName>
      <ability>L2_HalfPunc</ability>
      <abilityName>全半角检查</abilityName>
      <candidateList>
        <item>）</item>
      </candidateList>
      <explain>文本全半角错误。</explain>
      <paraID>703D9811</paraID>
      <start>7</start>
      <end>8</end>
      <status>unmodified</status>
      <modifiedWord/>
      <trackRevisions>false</trackRevisions>
    </reviewItem>
    <reviewItem>
      <errorID>f76fece0-49f8-4bdb-b665-207bc181872c</errorID>
      <errorWord>(</errorWord>
      <group>L1_Format</group>
      <groupName>格式问题</groupName>
      <ability>L2_HalfPunc</ability>
      <abilityName>全半角检查</abilityName>
      <candidateList>
        <item>（</item>
      </candidateList>
      <explain>文本全半角错误。</explain>
      <paraID>3E84F968</paraID>
      <start>4</start>
      <end>5</end>
      <status>unmodified</status>
      <modifiedWord/>
      <trackRevisions>false</trackRevisions>
    </reviewItem>
    <reviewItem>
      <errorID>43dc0951-795d-4af3-82c7-c56c2f1c0158</errorID>
      <errorWord>)</errorWord>
      <group>L1_Format</group>
      <groupName>格式问题</groupName>
      <ability>L2_HalfPunc</ability>
      <abilityName>全半角检查</abilityName>
      <candidateList>
        <item>）</item>
      </candidateList>
      <explain>文本全半角错误。</explain>
      <paraID>3E84F968</paraID>
      <start>8</start>
      <end>9</end>
      <status>unmodified</status>
      <modifiedWord/>
      <trackRevisions>false</trackRevisions>
    </reviewItem>
    <reviewItem>
      <errorID>d77742d2-0a7b-4da2-b87d-3bde2fbb65d4</errorID>
      <errorWord>(</errorWord>
      <group>L1_Format</group>
      <groupName>格式问题</groupName>
      <ability>L2_HalfPunc</ability>
      <abilityName>全半角检查</abilityName>
      <candidateList>
        <item>（</item>
      </candidateList>
      <explain>文本全半角错误。</explain>
      <paraID> 80E1A4E</paraID>
      <start>3</start>
      <end>4</end>
      <status>unmodified</status>
      <modifiedWord/>
      <trackRevisions>false</trackRevisions>
    </reviewItem>
    <reviewItem>
      <errorID>a30b942f-a348-4f22-aa1f-36cd070f3482</errorID>
      <errorWord>)</errorWord>
      <group>L1_Format</group>
      <groupName>格式问题</groupName>
      <ability>L2_HalfPunc</ability>
      <abilityName>全半角检查</abilityName>
      <candidateList>
        <item>）</item>
      </candidateList>
      <explain>文本全半角错误。</explain>
      <paraID> 80E1A4E</paraID>
      <start>9</start>
      <end>10</end>
      <status>unmodified</status>
      <modifiedWord/>
      <trackRevisions>false</trackRevisions>
    </reviewItem>
    <reviewItem>
      <errorID>ea3d3173-dcaf-4ece-bf43-d960e78f20b5</errorID>
      <errorWord>(</errorWord>
      <group>L1_Format</group>
      <groupName>格式问题</groupName>
      <ability>L2_HalfPunc</ability>
      <abilityName>全半角检查</abilityName>
      <candidateList>
        <item>（</item>
      </candidateList>
      <explain>文本全半角错误。</explain>
      <paraID>37975A6B</paraID>
      <start>2</start>
      <end>3</end>
      <status>unmodified</status>
      <modifiedWord/>
      <trackRevisions>false</trackRevisions>
    </reviewItem>
    <reviewItem>
      <errorID>26930cb7-b547-4669-ae80-85f047c0b75b</errorID>
      <errorWord>)</errorWord>
      <group>L1_Format</group>
      <groupName>格式问题</groupName>
      <ability>L2_HalfPunc</ability>
      <abilityName>全半角检查</abilityName>
      <candidateList>
        <item>）</item>
      </candidateList>
      <explain>文本全半角错误。</explain>
      <paraID>37975A6B</paraID>
      <start>6</start>
      <end>7</end>
      <status>unmodified</status>
      <modifiedWord/>
      <trackRevisions>false</trackRevisions>
    </reviewItem>
    <reviewItem>
      <errorID>15a667ce-657b-42a0-920e-3ede2ef41580</errorID>
      <errorWord>(</errorWord>
      <group>L1_Format</group>
      <groupName>格式问题</groupName>
      <ability>L2_HalfPunc</ability>
      <abilityName>全半角检查</abilityName>
      <candidateList>
        <item>（</item>
      </candidateList>
      <explain>文本全半角错误。</explain>
      <paraID>3A196D11</paraID>
      <start>2</start>
      <end>3</end>
      <status>unmodified</status>
      <modifiedWord/>
      <trackRevisions>false</trackRevisions>
    </reviewItem>
    <reviewItem>
      <errorID>754a3be5-5546-4699-a478-d3717d439853</errorID>
      <errorWord>)</errorWord>
      <group>L1_Format</group>
      <groupName>格式问题</groupName>
      <ability>L2_HalfPunc</ability>
      <abilityName>全半角检查</abilityName>
      <candidateList>
        <item>）</item>
      </candidateList>
      <explain>文本全半角错误。</explain>
      <paraID>3A196D11</paraID>
      <start>6</start>
      <end>7</end>
      <status>unmodified</status>
      <modifiedWord/>
      <trackRevisions>false</trackRevisions>
    </reviewItem>
    <reviewItem>
      <errorID>ff5550bf-664d-4ef6-8681-137adb905c60</errorID>
      <errorWord>，</errorWord>
      <group>L1_Word</group>
      <groupName>字词问题</groupName>
      <ability>L2_Typo</ability>
      <abilityName>字词错误</abilityName>
      <candidateList>
        <item>，在</item>
      </candidateList>
      <explain/>
      <paraID>5F81E784</paraID>
      <start>21</start>
      <end>22</end>
      <status>unmodified</status>
      <modifiedWord/>
      <trackRevisions>false</trackRevisions>
    </reviewItem>
    <reviewItem>
      <errorID>ea243113-e996-4666-adc8-96012f475e96</errorID>
      <errorWord>“</errorWord>
      <group>L1_Punc</group>
      <groupName>标点问题</groupName>
      <ability>L2_Punc</ability>
      <abilityName>标点符号检查</abilityName>
      <candidateList/>
      <explain/>
      <paraID>4F8E81EE</paraID>
      <start>73</start>
      <end>74</end>
      <status>unmodified</status>
      <modifiedWord/>
      <trackRevisions>false</trackRevisions>
    </reviewItem>
    <reviewItem>
      <errorID>663eeb30-a3a4-4fa3-b464-9a4bece9e6a4</errorID>
      <errorWord>“</errorWord>
      <group>L1_Punc</group>
      <groupName>标点问题</groupName>
      <ability>L2_Punc</ability>
      <abilityName>标点符号检查</abilityName>
      <candidateList/>
      <explain/>
      <paraID>4F8E81EE</paraID>
      <start>87</start>
      <end>88</end>
      <status>unmodified</status>
      <modifiedWord/>
      <trackRevisions>false</trackRevisions>
    </reviewItem>
    <reviewItem>
      <errorID>d4999565-b334-44e0-aaa5-e839e881bf13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7EAE5058</paraID>
      <start>9</start>
      <end>10</end>
      <status>unmodified</status>
      <modifiedWord/>
      <trackRevisions>false</trackRevisions>
    </reviewItem>
    <reviewItem>
      <errorID>ae845c86-be9c-4c3f-8fde-784946f5dd10</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7EAE5058</paraID>
      <start>18</start>
      <end>21</end>
      <status>unmodified</status>
      <modifiedWord/>
      <trackRevisions>false</trackRevisions>
    </reviewItem>
    <reviewItem>
      <errorID>9accd46c-ca83-4e49-b1ef-bafbffbf8de6</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7EAE5058</paraID>
      <start>54</start>
      <end>57</end>
      <status>unmodified</status>
      <modifiedWord/>
      <trackRevisions>false</trackRevisions>
    </reviewItem>
    <reviewItem>
      <errorID>ab92f307-86ed-43d6-bbb0-9ea97f229dc3</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7EAE5058</paraID>
      <start>138</start>
      <end>141</end>
      <status>unmodified</status>
      <modifiedWord/>
      <trackRevisions>false</trackRevisions>
    </reviewItem>
    <reviewItem>
      <errorID>50505c7e-2ad0-4eb8-8692-ec252f3ec857</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33C2454B</paraID>
      <start>12</start>
      <end>15</end>
      <status>unmodified</status>
      <modifiedWord/>
      <trackRevisions>false</trackRevisions>
    </reviewItem>
    <reviewItem>
      <errorID>07990152-dc1b-4ed4-8e21-8801bfa4daa0</errorID>
      <errorWord>年</errorWord>
      <group>L1_Word</group>
      <groupName>字词问题</groupName>
      <ability>L2_Typo</ability>
      <abilityName>字词错误</abilityName>
      <candidateList>
        <item>年度</item>
      </candidateList>
      <explain/>
      <paraID>15B51F1B</paraID>
      <start>0</start>
      <end>1</end>
      <status>unmodified</status>
      <modifiedWord/>
      <trackRevisions>false</trackRevisions>
    </reviewItem>
    <reviewItem>
      <errorID>cbe44845-1f21-428c-ab6a-dec485d57cf5</errorID>
      <errorWord>（</errorWord>
      <group>L1_Format</group>
      <groupName>格式问题</groupName>
      <ability>L2_HalfPunc</ability>
      <abilityName>全半角检查</abilityName>
      <candidateList>
        <item>(</item>
      </candidateList>
      <explain>文本全半角错误。</explain>
      <paraID>70D1BCBE</paraID>
      <start>0</start>
      <end>1</end>
      <status>unmodified</status>
      <modifiedWord/>
      <trackRevisions>false</trackRevisions>
    </reviewItem>
    <reviewItem>
      <errorID>8a27e775-b580-468f-8db2-64dcc9d6ed15</errorID>
      <errorWord>）</errorWord>
      <group>L1_Format</group>
      <groupName>格式问题</groupName>
      <ability>L2_HalfPunc</ability>
      <abilityName>全半角检查</abilityName>
      <candidateList>
        <item>)</item>
      </candidateList>
      <explain>文本全半角错误。</explain>
      <paraID>70D1BCBE</paraID>
      <start>6</start>
      <end>7</end>
      <status>unmodified</status>
      <modifiedWord/>
      <trackRevisions>false</trackRevisions>
    </reviewItem>
    <reviewItem>
      <errorID>85796e6a-1010-48bb-90ff-89c3c4f95240</errorID>
      <errorWord>（</errorWord>
      <group>L1_Format</group>
      <groupName>格式问题</groupName>
      <ability>L2_HalfPunc</ability>
      <abilityName>全半角检查</abilityName>
      <candidateList>
        <item>(</item>
      </candidateList>
      <explain>文本全半角错误。</explain>
      <paraID>46CEFB8B</paraID>
      <start>0</start>
      <end>1</end>
      <status>unmodified</status>
      <modifiedWord/>
      <trackRevisions>false</trackRevisions>
    </reviewItem>
    <reviewItem>
      <errorID>6ff8a83c-ec9f-496b-a351-96fa5fd402d2</errorID>
      <errorWord>）</errorWord>
      <group>L1_Format</group>
      <groupName>格式问题</groupName>
      <ability>L2_HalfPunc</ability>
      <abilityName>全半角检查</abilityName>
      <candidateList>
        <item>)</item>
      </candidateList>
      <explain>文本全半角错误。</explain>
      <paraID>46CEFB8B</paraID>
      <start>6</start>
      <end>7</end>
      <status>unmodified</status>
      <modifiedWord/>
      <trackRevisions>false</trackRevisions>
    </reviewItem>
    <reviewItem>
      <errorID>3751ca0d-96ce-4480-a37b-67e1288655f5</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6BD75083</paraID>
      <start>12</start>
      <end>15</end>
      <status>unmodified</status>
      <modifiedWord/>
      <trackRevisions>false</trackRevisions>
    </reviewItem>
    <reviewItem>
      <errorID>7c5f07a2-9fdc-427f-857a-3a841796ea49</errorID>
      <errorWord>）</errorWord>
      <group>L1_Format</group>
      <groupName>格式问题</groupName>
      <ability>L2_HalfPunc</ability>
      <abilityName>全半角检查</abilityName>
      <candidateList>
        <item>)</item>
      </candidateList>
      <explain>文本全半角错误。</explain>
      <paraID> 350D325</paraID>
      <start>1</start>
      <end>2</end>
      <status>unmodified</status>
      <modifiedWord/>
      <trackRevisions>false</trackRevisions>
    </reviewItem>
    <reviewItem>
      <errorID>f23eb11c-eea6-4885-a9a9-744f27d17e51</errorID>
      <errorWord>（</errorWord>
      <group>L1_Format</group>
      <groupName>格式问题</groupName>
      <ability>L2_HalfPunc</ability>
      <abilityName>全半角检查</abilityName>
      <candidateList>
        <item>(</item>
      </candidateList>
      <explain>文本全半角错误。</explain>
      <paraID>3C7E262F</paraID>
      <start>3</start>
      <end>4</end>
      <status>unmodified</status>
      <modifiedWord/>
      <trackRevisions>false</trackRevisions>
    </reviewItem>
    <reviewItem>
      <errorID>b69628d1-492c-423e-9844-9423208416e6</errorID>
      <errorWord>）</errorWord>
      <group>L1_Format</group>
      <groupName>格式问题</groupName>
      <ability>L2_HalfPunc</ability>
      <abilityName>全半角检查</abilityName>
      <candidateList>
        <item>)</item>
      </candidateList>
      <explain>文本全半角错误。</explain>
      <paraID>3C7E262F</paraID>
      <start>9</start>
      <end>10</end>
      <status>unmodified</status>
      <modifiedWord/>
      <trackRevisions>false</trackRevisions>
    </reviewItem>
    <reviewItem>
      <errorID>9ca7cf8d-b174-4e3c-a2f0-763897e0ef8c</errorID>
      <errorWord>）</errorWord>
      <group>L1_Format</group>
      <groupName>格式问题</groupName>
      <ability>L2_HalfPunc</ability>
      <abilityName>全半角检查</abilityName>
      <candidateList>
        <item>)</item>
      </candidateList>
      <explain>文本全半角错误。</explain>
      <paraID>58640095</paraID>
      <start>1</start>
      <end>2</end>
      <status>unmodified</status>
      <modifiedWord/>
      <trackRevisions>false</trackRevisions>
    </reviewItem>
    <reviewItem>
      <errorID>c4bdc9a4-0299-478a-8f67-7a5f6cc0daf9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A99CF2D</paraID>
      <start>88</start>
      <end>89</end>
      <status>unmodified</status>
      <modifiedWord/>
      <trackRevisions>false</trackRevisions>
    </reviewItem>
    <reviewItem>
      <errorID>947cb88a-1738-4f3d-869a-3ac7e5b51a0d</errorID>
      <errorWord>~</errorWord>
      <group>L1_Format</group>
      <groupName>格式问题</groupName>
      <ability>L2_HalfPunc</ability>
      <abilityName>全半角检查</abilityName>
      <candidateList>
        <item>～</item>
      </candidateList>
      <explain>文本全半角错误。</explain>
      <paraID>4D54FB29</paraID>
      <start>5</start>
      <end>6</end>
      <status>unmodified</status>
      <modifiedWord/>
      <trackRevisions>false</trackRevisions>
    </reviewItem>
    <reviewItem>
      <errorID>dcd84cdd-e7e2-4d08-8c43-1a9754944a84</errorID>
      <errorWord>~</errorWord>
      <group>L1_Format</group>
      <groupName>格式问题</groupName>
      <ability>L2_HalfPunc</ability>
      <abilityName>全半角检查</abilityName>
      <candidateList>
        <item>～</item>
      </candidateList>
      <explain>文本全半角错误。</explain>
      <paraID>6E4FF477</paraID>
      <start>5</start>
      <end>6</end>
      <status>unmodified</status>
      <modifiedWord/>
      <trackRevisions>false</trackRevisions>
    </reviewItem>
    <reviewItem>
      <errorID>163db428-1c78-4999-9e5c-5c319561733f</errorID>
      <errorWord>~</errorWord>
      <group>L1_Format</group>
      <groupName>格式问题</groupName>
      <ability>L2_HalfPunc</ability>
      <abilityName>全半角检查</abilityName>
      <candidateList>
        <item>～</item>
      </candidateList>
      <explain>文本全半角错误。</explain>
      <paraID>1C99D3B9</paraID>
      <start>5</start>
      <end>6</end>
      <status>unmodified</status>
      <modifiedWord/>
      <trackRevisions>false</trackRevisions>
    </reviewItem>
    <reviewItem>
      <errorID>ae383179-daaa-4111-99b9-9904e2f3cbba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57CF6BEF</paraID>
      <start>0</start>
      <end>2</end>
      <status>unmodified</status>
      <modifiedWord/>
      <trackRevisions>false</trackRevisions>
    </reviewItem>
    <reviewItem>
      <errorID>8b4876fc-475b-450f-867b-7d0cc14b26cb</errorID>
      <errorWord>III类</errorWord>
      <group>L1_Knowledge</group>
      <groupName>知识性问题</groupName>
      <ability>L2_Knowledge</ability>
      <abilityName>其他知识</abilityName>
      <candidateList>
        <item>Ⅲ类</item>
      </candidateList>
      <explain/>
      <paraID>20C5CB48</paraID>
      <start>113</start>
      <end>117</end>
      <status>unmodified</status>
      <modifiedWord/>
      <trackRevisions>false</trackRevisions>
    </reviewItem>
    <reviewItem>
      <errorID>a987ce74-fe54-4b8c-a712-0e9090835dd7</errorID>
      <errorWord>与</errorWord>
      <group>L1_Word</group>
      <groupName>字词问题</groupName>
      <ability>L2_Typo</ability>
      <abilityName>字词错误</abilityName>
      <candidateList>
        <item>月</item>
      </candidateList>
      <explain/>
      <paraID>45CB6083</paraID>
      <start>121</start>
      <end>122</end>
      <status>unmodified</status>
      <modifiedWord/>
      <trackRevisions>false</trackRevisions>
    </reviewItem>
    <reviewItem>
      <errorID>2f51a885-9765-44c9-ae71-f104c49b8ff5</errorID>
      <errorWord>价</errorWord>
      <group>L1_Word</group>
      <groupName>字词问题</groupName>
      <ability>L2_Typo</ability>
      <abilityName>字词错误</abilityName>
      <candidateList>
        <item>价为</item>
      </candidateList>
      <explain/>
      <paraID>45CB6083</paraID>
      <start>146</start>
      <end>147</end>
      <status>unmodified</status>
      <modifiedWord/>
      <trackRevisions>false</trackRevisions>
    </reviewItem>
    <reviewItem>
      <errorID>7f320296-7e5f-472f-9f40-0f4019671701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7CD816B5</paraID>
      <start>0</start>
      <end>2</end>
      <status>unmodified</status>
      <modifiedWord/>
      <trackRevisions>false</trackRevisions>
    </reviewItem>
    <reviewItem>
      <errorID>45c159b6-d3d7-4a37-a86a-5043ae668d27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15541D68</paraID>
      <start>0</start>
      <end>2</end>
      <status>unmodified</status>
      <modifiedWord/>
      <trackRevisions>false</trackRevisions>
    </reviewItem>
    <reviewItem>
      <errorID>72988b39-7f5d-45c1-b79d-9f20ad977304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2E69A7C3</paraID>
      <start>0</start>
      <end>2</end>
      <status>unmodified</status>
      <modifiedWord/>
      <trackRevisions>false</trackRevisions>
    </reviewItem>
    <reviewItem>
      <errorID>4f67d1e9-2c5b-4ca7-b117-d69d9563a108</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7C212F69</paraID>
      <start>20</start>
      <end>23</end>
      <status>unmodified</status>
      <modifiedWord/>
      <trackRevisions>false</trackRevisions>
    </reviewItem>
    <reviewItem>
      <errorID>afc9d425-b8ea-4ee2-8e5c-d5084ce597c9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59E1BCE7</paraID>
      <start>0</start>
      <end>2</end>
      <status>unmodified</status>
      <modifiedWord/>
      <trackRevisions>false</trackRevisions>
    </reviewItem>
    <reviewItem>
      <errorID>7884ddd2-45e8-4969-a4a9-24990560e8f7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4959D274</paraID>
      <start>0</start>
      <end>2</end>
      <status>unmodified</status>
      <modifiedWord/>
      <trackRevisions>false</trackRevisions>
    </reviewItem>
    <reviewItem>
      <errorID>1fa4ea04-2734-4f22-94d8-9550e68364d1</errorID>
      <errorWord>，。</errorWord>
      <group>L1_Punc</group>
      <groupName>标点问题</groupName>
      <ability>L2_Punc</ability>
      <abilityName>标点符号检查</abilityName>
      <candidateList>
        <item>，</item>
      </candidateList>
      <explain/>
      <paraID>3EE34F40</paraID>
      <start>32</start>
      <end>34</end>
      <status>unmodified</status>
      <modifiedWord/>
      <trackRevisions>false</trackRevisions>
    </reviewItem>
    <reviewItem>
      <errorID>61c7f54e-2c2d-4978-b071-ef0633e056a3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1016DA41</paraID>
      <start>0</start>
      <end>2</end>
      <status>unmodified</status>
      <modifiedWord/>
      <trackRevisions>false</trackRevisions>
    </reviewItem>
    <reviewItem>
      <errorID>7e7bc6cb-864b-462d-88c3-0c00893887dc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5FAB999E</paraID>
      <start>0</start>
      <end>2</end>
      <status>unmodified</status>
      <modifiedWord/>
      <trackRevisions>false</trackRevisions>
    </reviewItem>
    <reviewItem>
      <errorID>7767d601-b9b0-4208-8e93-61708921fbf5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5B9318D4</paraID>
      <start>0</start>
      <end>2</end>
      <status>unmodified</status>
      <modifiedWord/>
      <trackRevisions>false</trackRevisions>
    </reviewItem>
    <reviewItem>
      <errorID>a04c98c6-78b9-4bd7-bc11-81e8cf5d398a</errorID>
      <errorWord>III</errorWord>
      <group>L1_Knowledge</group>
      <groupName>知识性问题</groupName>
      <ability>L2_Knowledge</ability>
      <abilityName>其他知识</abilityName>
      <candidateList>
        <item>Ⅲ</item>
      </candidateList>
      <explain/>
      <paraID>2054CC93</paraID>
      <start>25</start>
      <end>28</end>
      <status>unmodified</status>
      <modifiedWord/>
      <trackRevisions>false</trackRevisions>
    </reviewItem>
    <reviewItem>
      <errorID>cf17f668-a9b0-43ee-aa8d-bb2ef90625ec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2EC78F18</paraID>
      <start>0</start>
      <end>2</end>
      <status>unmodified</status>
      <modifiedWord/>
      <trackRevisions>false</trackRevisions>
    </reviewItem>
    <reviewItem>
      <errorID>0e845549-c835-4f8c-be0d-d773582fc1f9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47E27AF5</paraID>
      <start>0</start>
      <end>2</end>
      <status>unmodified</status>
      <modifiedWord/>
      <trackRevisions>false</trackRevisions>
    </reviewItem>
    <reviewItem>
      <errorID>160513f2-4532-43bf-a9f2-a33b9c8ceccb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7497D9C3</paraID>
      <start>0</start>
      <end>2</end>
      <status>unmodified</status>
      <modifiedWord/>
      <trackRevisions>false</trackRevisions>
    </reviewItem>
    <reviewItem>
      <errorID>4512c8f5-6f1b-45e8-a181-3ab3030b9a91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6E07A18E</paraID>
      <start>0</start>
      <end>2</end>
      <status>unmodified</status>
      <modifiedWord/>
      <trackRevisions>false</trackRevisions>
    </reviewItem>
    <reviewItem>
      <errorID>24950b72-8ca1-4aea-aa8b-8a08f7e8117d</errorID>
      <errorWord>(</errorWord>
      <group>L1_Format</group>
      <groupName>格式问题</groupName>
      <ability>L2_HalfPunc</ability>
      <abilityName>全半角检查</abilityName>
      <candidateList>
        <item>（</item>
      </candidateList>
      <explain>文本全半角错误。</explain>
      <paraID>522922EE</paraID>
      <start>2</start>
      <end>3</end>
      <status>unmodified</status>
      <modifiedWord/>
      <trackRevisions>false</trackRevisions>
    </reviewItem>
    <reviewItem>
      <errorID>c965ad1d-948d-4c6a-9dd7-45f63eaae3dd</errorID>
      <errorWord>)</errorWord>
      <group>L1_Format</group>
      <groupName>格式问题</groupName>
      <ability>L2_HalfPunc</ability>
      <abilityName>全半角检查</abilityName>
      <candidateList>
        <item>）</item>
      </candidateList>
      <explain>文本全半角错误。</explain>
      <paraID>522922EE</paraID>
      <start>8</start>
      <end>9</end>
      <status>unmodified</status>
      <modifiedWord/>
      <trackRevisions>false</trackRevisions>
    </reviewItem>
    <reviewItem>
      <errorID>19eb8635-62ca-44c9-b5d1-490d1cf5744d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D91D802</paraID>
      <start>0</start>
      <end>2</end>
      <status>unmodified</status>
      <modifiedWord/>
      <trackRevisions>false</trackRevisions>
    </reviewItem>
    <reviewItem>
      <errorID>1c821aee-9485-428d-a809-fa8187f956bc</errorID>
      <errorWord>（</errorWord>
      <group>L1_Punc</group>
      <groupName>标点问题</groupName>
      <ability>L2_Punc</ability>
      <abilityName>标点符号检查</abilityName>
      <candidateList/>
      <explain/>
      <paraID>29FCFFF7</paraID>
      <start>4</start>
      <end>5</end>
      <status>unmodified</status>
      <modifiedWord/>
      <trackRevisions>false</trackRevisions>
    </reviewItem>
    <reviewItem>
      <errorID>4a8e2c7e-4d24-4090-8110-99a591d3f75c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3F0CB1EA</paraID>
      <start>0</start>
      <end>2</end>
      <status>unmodified</status>
      <modifiedWord/>
      <trackRevisions>false</trackRevisions>
    </reviewItem>
    <reviewItem>
      <errorID>d68c1d0d-0f75-4c31-9d3f-7420633992b5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21BAB2FF</paraID>
      <start>0</start>
      <end>2</end>
      <status>unmodified</status>
      <modifiedWord/>
      <trackRevisions>false</trackRevisions>
    </reviewItem>
    <reviewItem>
      <errorID>1c0a3f4d-47d9-447f-a93b-730c0eedc9d3</errorID>
      <errorWord>(</errorWord>
      <group>L1_Format</group>
      <groupName>格式问题</groupName>
      <ability>L2_HalfPunc</ability>
      <abilityName>全半角检查</abilityName>
      <candidateList>
        <item>（</item>
      </candidateList>
      <explain>文本全半角错误。</explain>
      <paraID>1D295305</paraID>
      <start>23</start>
      <end>24</end>
      <status>unmodified</status>
      <modifiedWord/>
      <trackRevisions>false</trackRevisions>
    </reviewItem>
    <reviewItem>
      <errorID>d9c76585-8fe1-4670-a56b-aa67b9647d71</errorID>
      <errorWord>)</errorWord>
      <group>L1_Format</group>
      <groupName>格式问题</groupName>
      <ability>L2_HalfPunc</ability>
      <abilityName>全半角检查</abilityName>
      <candidateList>
        <item>）</item>
      </candidateList>
      <explain>文本全半角错误。</explain>
      <paraID>1D295305</paraID>
      <start>37</start>
      <end>38</end>
      <status>unmodified</status>
      <modifiedWord/>
      <trackRevisions>false</trackRevisions>
    </reviewItem>
    <reviewItem>
      <errorID>5e6e428c-468a-48ba-9cb7-48381dec87e0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493809B3</paraID>
      <start>0</start>
      <end>2</end>
      <status>unmodified</status>
      <modifiedWord/>
      <trackRevisions>false</trackRevisions>
    </reviewItem>
    <reviewItem>
      <errorID>c3893ec0-269f-4d7a-ba92-f433adbada69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4B531AD4</paraID>
      <start>0</start>
      <end>2</end>
      <status>unmodified</status>
      <modifiedWord/>
      <trackRevisions>false</trackRevisions>
    </reviewItem>
    <reviewItem>
      <errorID>f117d528-29b1-4332-9733-934c782ab19b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34CF7C4F</paraID>
      <start>0</start>
      <end>2</end>
      <status>unmodified</status>
      <modifiedWord/>
      <trackRevisions>false</trackRevisions>
    </reviewItem>
    <reviewItem>
      <errorID>199e8541-60d0-4163-b3bc-7b9abccfda0a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2D1AD8E9</paraID>
      <start>0</start>
      <end>2</end>
      <status>unmodified</status>
      <modifiedWord/>
      <trackRevisions>false</trackRevisions>
    </reviewItem>
    <reviewItem>
      <errorID>4aa96a7e-45c9-40bf-885b-1af2c6386860</errorID>
      <errorWord>小</errorWord>
      <group>L1_Word</group>
      <groupName>字词问题</groupName>
      <ability>L2_Typo</ability>
      <abilityName>字词错误</abilityName>
      <candidateList>
        <item>少</item>
      </candidateList>
      <explain>存在字形相近字词的误用。</explain>
      <paraID>6397C899</paraID>
      <start>40</start>
      <end>41</end>
      <status>unmodified</status>
      <modifiedWord/>
      <trackRevisions>false</trackRevisions>
    </reviewItem>
    <reviewItem>
      <errorID>fa34eb53-dad9-451d-a77a-e55a621a6809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5009413F</paraID>
      <start>0</start>
      <end>2</end>
      <status>unmodified</status>
      <modifiedWord/>
      <trackRevisions>false</trackRevisions>
    </reviewItem>
    <reviewItem>
      <errorID>652a7746-b662-4c1d-a6fe-8fe04358a5ce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6EC13753</paraID>
      <start>0</start>
      <end>2</end>
      <status>unmodified</status>
      <modifiedWord/>
      <trackRevisions>false</trackRevisions>
    </reviewItem>
    <reviewItem>
      <errorID>43cf3791-31fb-4a99-b193-9efbceada326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4C0A0B44</paraID>
      <start>0</start>
      <end>2</end>
      <status>unmodified</status>
      <modifiedWord/>
      <trackRevisions>false</trackRevisions>
    </reviewItem>
    <reviewItem>
      <errorID>3c734ac3-b7ff-41ea-b197-beac63f8d8cb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3F5821C1</paraID>
      <start>0</start>
      <end>2</end>
      <status>unmodified</status>
      <modifiedWord/>
      <trackRevisions>false</trackRevisions>
    </reviewItem>
    <reviewItem>
      <errorID>7351a96b-f7c8-4606-b6c8-8fcb7a5b3007</errorID>
      <errorWord>监测报告</errorWord>
      <group>L1_Word</group>
      <groupName>字词问题</groupName>
      <ability>L2_Typo</ability>
      <abilityName>字词错误</abilityName>
      <candidateList>
        <item>检测报告</item>
      </candidateList>
      <explain/>
      <paraID>3E5566A2</paraID>
      <start>27</start>
      <end>31</end>
      <status>unmodified</status>
      <modifiedWord/>
      <trackRevisions>false</trackRevisions>
    </reviewItem>
    <reviewItem>
      <errorID>88608c2d-eba2-4126-8e48-761f6d767768</errorID>
      <errorWord>99%~99.99%</errorWord>
      <group>L1_Knowledge</group>
      <groupName>知识性问题</groupName>
      <ability>L2_Knowledge</ability>
      <abilityName>其他知识</abilityName>
      <candidateList>
        <item>99%～99.99%</item>
      </candidateList>
      <explain>1. “99%~99.99%”中的单位“%”仅出现在后一个数字上，容易引起歧义；根据《现代汉语标点符号数字用法规范手册》，数字表示范围两边需要使用统一的格式。2. 根据标点国标 4.13 中的规则，数字、时间或地域连接符应使用（视觉上更长的）“—”或“～”。</explain>
      <paraID> 5EACD26</paraID>
      <start>78</start>
      <end>88</end>
      <status>unmodified</status>
      <modifiedWord/>
      <trackRevisions>false</trackRevisions>
    </reviewItem>
    <reviewItem>
      <errorID>a6cc4b21-527c-421f-995f-46746e987d11</errorID>
      <errorWord>（</errorWord>
      <group>L1_Format</group>
      <groupName>格式问题</groupName>
      <ability>L2_HalfPunc</ability>
      <abilityName>全半角检查</abilityName>
      <candidateList>
        <item>(</item>
      </candidateList>
      <explain>文本全半角错误。</explain>
      <paraID>2A3D4375</paraID>
      <start>0</start>
      <end>1</end>
      <status>unmodified</status>
      <modifiedWord/>
      <trackRevisions>false</trackRevisions>
    </reviewItem>
    <reviewItem>
      <errorID>342a485b-320a-46b2-9629-caf8d0ca7042</errorID>
      <errorWord>）</errorWord>
      <group>L1_Format</group>
      <groupName>格式问题</groupName>
      <ability>L2_HalfPunc</ability>
      <abilityName>全半角检查</abilityName>
      <candidateList>
        <item>)</item>
      </candidateList>
      <explain>文本全半角错误。</explain>
      <paraID>2A3D4375</paraID>
      <start>2</start>
      <end>3</end>
      <status>unmodified</status>
      <modifiedWord/>
      <trackRevisions>false</trackRevisions>
    </reviewItem>
    <reviewItem>
      <errorID>b7db9190-81e4-4b69-a6a0-5007e7be3225</errorID>
      <errorWord>（</errorWord>
      <group>L1_Format</group>
      <groupName>格式问题</groupName>
      <ability>L2_HalfPunc</ability>
      <abilityName>全半角检查</abilityName>
      <candidateList>
        <item>(</item>
      </candidateList>
      <explain>文本全半角错误。</explain>
      <paraID> 4918E5C</paraID>
      <start>0</start>
      <end>1</end>
      <status>unmodified</status>
      <modifiedWord/>
      <trackRevisions>false</trackRevisions>
    </reviewItem>
    <reviewItem>
      <errorID>07f8a5a8-8163-4ebf-973e-f69179e64661</errorID>
      <errorWord>）</errorWord>
      <group>L1_Format</group>
      <groupName>格式问题</groupName>
      <ability>L2_HalfPunc</ability>
      <abilityName>全半角检查</abilityName>
      <candidateList>
        <item>)</item>
      </candidateList>
      <explain>文本全半角错误。</explain>
      <paraID> 4918E5C</paraID>
      <start>6</start>
      <end>7</end>
      <status>unmodified</status>
      <modifiedWord/>
      <trackRevisions>false</trackRevisions>
    </reviewItem>
    <reviewItem>
      <errorID>88caafe3-68cb-40a3-b965-a862b0d18a72</errorID>
      <errorWord>（</errorWord>
      <group>L1_Format</group>
      <groupName>格式问题</groupName>
      <ability>L2_HalfPunc</ability>
      <abilityName>全半角检查</abilityName>
      <candidateList>
        <item>(</item>
      </candidateList>
      <explain>文本全半角错误。</explain>
      <paraID>1E901785</paraID>
      <start>0</start>
      <end>1</end>
      <status>unmodified</status>
      <modifiedWord/>
      <trackRevisions>false</trackRevisions>
    </reviewItem>
    <reviewItem>
      <errorID>a95af4f2-db28-4d7e-a587-e697d946f5e8</errorID>
      <errorWord>）</errorWord>
      <group>L1_Format</group>
      <groupName>格式问题</groupName>
      <ability>L2_HalfPunc</ability>
      <abilityName>全半角检查</abilityName>
      <candidateList>
        <item>)</item>
      </candidateList>
      <explain>文本全半角错误。</explain>
      <paraID>1E901785</paraID>
      <start>5</start>
      <end>6</end>
      <status>unmodified</status>
      <modifiedWord/>
      <trackRevisions>false</trackRevisions>
    </reviewItem>
    <reviewItem>
      <errorID>02a8ccd3-8cc7-44e8-80ed-9a9dbdc9079f</errorID>
      <errorWord>（</errorWord>
      <group>L1_Format</group>
      <groupName>格式问题</groupName>
      <ability>L2_HalfPunc</ability>
      <abilityName>全半角检查</abilityName>
      <candidateList>
        <item>(</item>
      </candidateList>
      <explain>文本全半角错误。</explain>
      <paraID>2AE2F1CE</paraID>
      <start>0</start>
      <end>1</end>
      <status>unmodified</status>
      <modifiedWord/>
      <trackRevisions>false</trackRevisions>
    </reviewItem>
    <reviewItem>
      <errorID>fdd6a477-28fc-458d-a2ce-47e3d2afba7e</errorID>
      <errorWord>）</errorWord>
      <group>L1_Format</group>
      <groupName>格式问题</groupName>
      <ability>L2_HalfPunc</ability>
      <abilityName>全半角检查</abilityName>
      <candidateList>
        <item>)</item>
      </candidateList>
      <explain>文本全半角错误。</explain>
      <paraID>2AE2F1CE</paraID>
      <start>6</start>
      <end>7</end>
      <status>unmodified</status>
      <modifiedWord/>
      <trackRevisions>false</trackRevisions>
    </reviewItem>
    <reviewItem>
      <errorID>942460c8-329a-42ab-a8b3-8fdaf71e4611</errorID>
      <errorWord>（</errorWord>
      <group>L1_Format</group>
      <groupName>格式问题</groupName>
      <ability>L2_HalfPunc</ability>
      <abilityName>全半角检查</abilityName>
      <candidateList>
        <item>(</item>
      </candidateList>
      <explain>文本全半角错误。</explain>
      <paraID> 4080AE6</paraID>
      <start>0</start>
      <end>1</end>
      <status>unmodified</status>
      <modifiedWord/>
      <trackRevisions>false</trackRevisions>
    </reviewItem>
    <reviewItem>
      <errorID>99564672-7d0e-4bfb-84f2-33b122472a7d</errorID>
      <errorWord>）</errorWord>
      <group>L1_Format</group>
      <groupName>格式问题</groupName>
      <ability>L2_HalfPunc</ability>
      <abilityName>全半角检查</abilityName>
      <candidateList>
        <item>)</item>
      </candidateList>
      <explain>文本全半角错误。</explain>
      <paraID> 4080AE6</paraID>
      <start>5</start>
      <end>6</end>
      <status>unmodified</status>
      <modifiedWord/>
      <trackRevisions>false</trackRevisions>
    </reviewItem>
    <reviewItem>
      <errorID>fbc9a5db-c83b-4729-968e-ef30ad2104b5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45120329</paraID>
      <start>0</start>
      <end>2</end>
      <status>unmodified</status>
      <modifiedWord/>
      <trackRevisions>false</trackRevisions>
    </reviewItem>
    <reviewItem>
      <errorID>c9eda393-8384-42c6-93b9-1d0504efb2af</errorID>
      <errorWord>以除尘器</errorWord>
      <group>L1_Knowledge</group>
      <groupName>知识性问题</groupName>
      <ability>L2_Term</ability>
      <abilityName>专业术语</abilityName>
      <candidateList>
        <item>电除尘器</item>
      </candidateList>
      <explain/>
      <paraID>18C7B8C6</paraID>
      <start>59</start>
      <end>63</end>
      <status>unmodified</status>
      <modifiedWord/>
      <trackRevisions>false</trackRevisions>
    </reviewItem>
    <reviewItem>
      <errorID>957f5869-7465-4a4f-b80a-f1a4f4480272</errorID>
      <errorWord>百条</errorWord>
      <group>L1_Knowledge</group>
      <groupName>知识性问题</groupName>
      <ability>L2_Knowledge</ability>
      <abilityName>其他知识</abilityName>
      <candidateList>
        <item>百个</item>
      </candidateList>
      <explain/>
      <paraID> 8E667E1</paraID>
      <start>37</start>
      <end>39</end>
      <status>unmodified</status>
      <modifiedWord/>
      <trackRevisions>false</trackRevisions>
    </reviewItem>
    <reviewItem>
      <errorID>22d2f4c2-0b90-455a-9ece-303972b1d89d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3866CC1E</paraID>
      <start>0</start>
      <end>2</end>
      <status>unmodified</status>
      <modifiedWord/>
      <trackRevisions>false</trackRevisions>
    </reviewItem>
    <reviewItem>
      <errorID>ca740a83-a67b-4928-95d7-c953c8a8950a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59C47B9C</paraID>
      <start>0</start>
      <end>2</end>
      <status>unmodified</status>
      <modifiedWord/>
      <trackRevisions>false</trackRevisions>
    </reviewItem>
    <reviewItem>
      <errorID>31eb6ff0-56e3-4b39-988d-19c455014365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20F5F901</paraID>
      <start>0</start>
      <end>2</end>
      <status>unmodified</status>
      <modifiedWord/>
      <trackRevisions>false</trackRevisions>
    </reviewItem>
    <reviewItem>
      <errorID>e1a0a04a-6c5f-48b2-96d4-c8ce2224216b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10D2632A</paraID>
      <start>0</start>
      <end>2</end>
      <status>unmodified</status>
      <modifiedWord/>
      <trackRevisions>false</trackRevisions>
    </reviewItem>
    <reviewItem>
      <errorID>4f9e3241-8920-4419-b457-4fcc5ae832a7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5495F8D4</paraID>
      <start>0</start>
      <end>2</end>
      <status>unmodified</status>
      <modifiedWord/>
      <trackRevisions>false</trackRevisions>
    </reviewItem>
    <reviewItem>
      <errorID>2994a485-be18-480e-9c5f-d0f4d29cdeb6</errorID>
      <errorWord>（</errorWord>
      <group>L1_Format</group>
      <groupName>格式问题</groupName>
      <ability>L2_HalfPunc</ability>
      <abilityName>全半角检查</abilityName>
      <candidateList>
        <item>(</item>
      </candidateList>
      <explain>文本全半角错误。</explain>
      <paraID>49946363</paraID>
      <start>0</start>
      <end>1</end>
      <status>unmodified</status>
      <modifiedWord/>
      <trackRevisions>false</trackRevisions>
    </reviewItem>
    <reviewItem>
      <errorID>a20ae894-8ce6-4152-a59a-31f8bd45b302</errorID>
      <errorWord>）</errorWord>
      <group>L1_Format</group>
      <groupName>格式问题</groupName>
      <ability>L2_HalfPunc</ability>
      <abilityName>全半角检查</abilityName>
      <candidateList>
        <item>)</item>
      </candidateList>
      <explain>文本全半角错误。</explain>
      <paraID>49946363</paraID>
      <start>5</start>
      <end>6</end>
      <status>unmodified</status>
      <modifiedWord/>
      <trackRevisions>false</trackRevisions>
    </reviewItem>
    <reviewItem>
      <errorID>9bf6ee76-acff-4d0a-93fe-54cf4f12c403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3100DC67</paraID>
      <start>0</start>
      <end>2</end>
      <status>unmodified</status>
      <modifiedWord/>
      <trackRevisions>false</trackRevisions>
    </reviewItem>
    <reviewItem>
      <errorID>849838a0-1177-4ce1-93cd-c1a8f4dc35c7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C859570</paraID>
      <start>0</start>
      <end>2</end>
      <status>unmodified</status>
      <modifiedWord/>
      <trackRevisions>false</trackRevisions>
    </reviewItem>
    <reviewItem>
      <errorID>3b76b19d-4a7e-4d37-b330-7442833a91b4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386C3BC0</paraID>
      <start>0</start>
      <end>2</end>
      <status>unmodified</status>
      <modifiedWord/>
      <trackRevisions>false</trackRevisions>
    </reviewItem>
    <reviewItem>
      <errorID>6c829c64-f744-4d78-81a7-be35e132ffc3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6A8AB2A1</paraID>
      <start>85</start>
      <end>86</end>
      <status>unmodified</status>
      <modifiedWord/>
      <trackRevisions>false</trackRevisions>
    </reviewItem>
    <reviewItem>
      <errorID>4b9ba6aa-1081-4f84-a9b5-3cb0e35128eb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7C82DE34</paraID>
      <start>0</start>
      <end>2</end>
      <status>unmodified</status>
      <modifiedWord/>
      <trackRevisions>false</trackRevisions>
    </reviewItem>
    <reviewItem>
      <errorID>ea9ce045-e539-4e2c-bfda-87e03340045d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25473C55</paraID>
      <start>0</start>
      <end>2</end>
      <status>unmodified</status>
      <modifiedWord/>
      <trackRevisions>false</trackRevisions>
    </reviewItem>
    <reviewItem>
      <errorID>c2cc820c-ffa1-4127-949b-c298923f3db7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37251BD2</paraID>
      <start>0</start>
      <end>2</end>
      <status>unmodified</status>
      <modifiedWord/>
      <trackRevisions>false</trackRevisions>
    </reviewItem>
    <reviewItem>
      <errorID>e2f85e17-5026-4524-a71a-926985d594f4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1D693AC</paraID>
      <start>0</start>
      <end>2</end>
      <status>unmodified</status>
      <modifiedWord/>
      <trackRevisions>false</trackRevisions>
    </reviewItem>
    <reviewItem>
      <errorID>fe2ae43d-a0ed-4967-94b1-a360c581d4e0</errorID>
      <errorWord>预测点位</errorWord>
      <group>L1_Knowledge</group>
      <groupName>知识性问题</groupName>
      <ability>L2_Term</ability>
      <abilityName>专业术语</abilityName>
      <candidateList>
        <item>监测点位</item>
      </candidateList>
      <explain/>
      <paraID>6B13CAA1</paraID>
      <start>1</start>
      <end>5</end>
      <status>unmodified</status>
      <modifiedWord/>
      <trackRevisions>false</trackRevisions>
    </reviewItem>
    <reviewItem>
      <errorID>28492a71-d784-4dfa-8a57-76689c834d68</errorID>
      <errorWord>)</errorWord>
      <group>L1_Format</group>
      <groupName>格式问题</groupName>
      <ability>L2_HalfPunc</ability>
      <abilityName>全半角检查</abilityName>
      <candidateList>
        <item>）</item>
      </candidateList>
      <explain>文本全半角错误。</explain>
      <paraID>35AF084B</paraID>
      <start>21</start>
      <end>22</end>
      <status>unmodified</status>
      <modifiedWord/>
      <trackRevisions>false</trackRevisions>
    </reviewItem>
    <reviewItem>
      <errorID>729b58da-bbbc-4c72-b2e5-19591c0e3fc5</errorID>
      <errorWord>（</errorWord>
      <group>L1_Format</group>
      <groupName>格式问题</groupName>
      <ability>L2_HalfPunc</ability>
      <abilityName>全半角检查</abilityName>
      <candidateList>
        <item>(</item>
      </candidateList>
      <explain>文本全半角错误。</explain>
      <paraID>54750499</paraID>
      <start>10</start>
      <end>11</end>
      <status>unmodified</status>
      <modifiedWord/>
      <trackRevisions>false</trackRevisions>
    </reviewItem>
    <reviewItem>
      <errorID>38916ba5-e8c3-4baa-881b-1a95dc8711fb</errorID>
      <errorWord>）</errorWord>
      <group>L1_Format</group>
      <groupName>格式问题</groupName>
      <ability>L2_HalfPunc</ability>
      <abilityName>全半角检查</abilityName>
      <candidateList>
        <item>)</item>
      </candidateList>
      <explain>文本全半角错误。</explain>
      <paraID>54750499</paraID>
      <start>12</start>
      <end>13</end>
      <status>unmodified</status>
      <modifiedWord/>
      <trackRevisions>false</trackRevisions>
    </reviewItem>
    <reviewItem>
      <errorID>e36189d1-5abe-4cad-ac12-71fab45ddc96</errorID>
      <errorWord>（</errorWord>
      <group>L1_Format</group>
      <groupName>格式问题</groupName>
      <ability>L2_HalfPunc</ability>
      <abilityName>全半角检查</abilityName>
      <candidateList>
        <item>(</item>
      </candidateList>
      <explain>文本全半角错误。</explain>
      <paraID>54750499</paraID>
      <start>14</start>
      <end>15</end>
      <status>unmodified</status>
      <modifiedWord/>
      <trackRevisions>false</trackRevisions>
    </reviewItem>
    <reviewItem>
      <errorID>d503ca99-0ad1-4502-b83c-42217a7bdc35</errorID>
      <errorWord>）</errorWord>
      <group>L1_Format</group>
      <groupName>格式问题</groupName>
      <ability>L2_HalfPunc</ability>
      <abilityName>全半角检查</abilityName>
      <candidateList>
        <item>)</item>
      </candidateList>
      <explain>文本全半角错误。</explain>
      <paraID>54750499</paraID>
      <start>19</start>
      <end>20</end>
      <status>unmodified</status>
      <modifiedWord/>
      <trackRevisions>false</trackRevisions>
    </reviewItem>
    <reviewItem>
      <errorID>bbe486c6-4a27-4130-847d-f97c8bdd696a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747EADC</paraID>
      <start>0</start>
      <end>2</end>
      <status>unmodified</status>
      <modifiedWord/>
      <trackRevisions>false</trackRevisions>
    </reviewItem>
    <reviewItem>
      <errorID>eecf560f-a456-4d51-bd0a-bdc82e5303ad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18493A99</paraID>
      <start>0</start>
      <end>2</end>
      <status>unmodified</status>
      <modifiedWord/>
      <trackRevisions>false</trackRevisions>
    </reviewItem>
    <reviewItem>
      <errorID>bde9fd4a-8019-4c84-8eb3-e5f507d3188c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3D37A67D</paraID>
      <start>0</start>
      <end>2</end>
      <status>unmodified</status>
      <modifiedWord/>
      <trackRevisions>false</trackRevisions>
    </reviewItem>
    <reviewItem>
      <errorID>b6ad2a48-7dcb-4ca9-8591-9be9a7f4814a</errorID>
      <errorWord>、</errorWord>
      <group>L1_Punc</group>
      <groupName>标点问题</groupName>
      <ability>L2_Punc</ability>
      <abilityName>标点符号检查</abilityName>
      <candidateList>
        <item>.</item>
      </candidateList>
      <explain/>
      <paraID>329F1EB1</paraID>
      <start>1</start>
      <end>2</end>
      <status>unmodified</status>
      <modifiedWord/>
      <trackRevisions>false</trackRevisions>
    </reviewItem>
    <reviewItem>
      <errorID>fe2456dd-c6ee-4344-9256-8465691ca743</errorID>
      <errorWord>、</errorWord>
      <group>L1_Punc</group>
      <groupName>标点问题</groupName>
      <ability>L2_Punc</ability>
      <abilityName>标点符号检查</abilityName>
      <candidateList>
        <item>.</item>
      </candidateList>
      <explain/>
      <paraID>37B6A1CB</paraID>
      <start>1</start>
      <end>2</end>
      <status>unmodified</status>
      <modifiedWord/>
      <trackRevisions>false</trackRevisions>
    </reviewItem>
    <reviewItem>
      <errorID>f97b2909-3909-4ecd-a6e5-f6fd9523bcb4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21FCDD0E</paraID>
      <start>0</start>
      <end>2</end>
      <status>unmodified</status>
      <modifiedWord/>
      <trackRevisions>false</trackRevisions>
    </reviewItem>
    <reviewItem>
      <errorID>5c342ebc-5fc2-467e-b828-8a3f23095560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6A18465E</paraID>
      <start>0</start>
      <end>2</end>
      <status>unmodified</status>
      <modifiedWord/>
      <trackRevisions>false</trackRevisions>
    </reviewItem>
    <reviewItem>
      <errorID>2c19296e-7058-4123-b852-f2b49c4bdc1e</errorID>
      <errorWord>间</errorWord>
      <group>L1_Knowledge</group>
      <groupName>知识性问题</groupName>
      <ability>L2_Knowledge</ability>
      <abilityName>其他知识</abilityName>
      <candidateList>
        <item>个</item>
      </candidateList>
      <explain/>
      <paraID>78A10702</paraID>
      <start>7</start>
      <end>8</end>
      <status>unmodified</status>
      <modifiedWord/>
      <trackRevisions>false</trackRevisions>
    </reviewItem>
    <reviewItem>
      <errorID>0d3a6b75-5f83-4d68-b0fd-523c2d7afc71</errorID>
      <errorWord>，...，</errorWord>
      <group>L1_Punc</group>
      <groupName>标点问题</groupName>
      <ability>L2_Punc</ability>
      <abilityName>标点符号检查</abilityName>
      <candidateList>
        <item>，</item>
      </candidateList>
      <explain/>
      <paraID>533FCD46</paraID>
      <start>8</start>
      <end>13</end>
      <status>unmodified</status>
      <modifiedWord/>
      <trackRevisions>false</trackRevisions>
    </reviewItem>
    <reviewItem>
      <errorID>3e4a3b70-24f6-48ed-a44b-78d817e37df7</errorID>
      <errorWord>，...，</errorWord>
      <group>L1_Punc</group>
      <groupName>标点问题</groupName>
      <ability>L2_Punc</ability>
      <abilityName>标点符号检查</abilityName>
      <candidateList>
        <item>，</item>
      </candidateList>
      <explain/>
      <paraID>621458FD</paraID>
      <start>9</start>
      <end>14</end>
      <status>unmodified</status>
      <modifiedWord/>
      <trackRevisions>false</trackRevisions>
    </reviewItem>
    <reviewItem>
      <errorID>6ab09705-b586-4054-ae20-27e6d76ff4cc</errorID>
      <errorWord>(</errorWord>
      <group>L1_Format</group>
      <groupName>格式问题</groupName>
      <ability>L2_HalfPunc</ability>
      <abilityName>全半角检查</abilityName>
      <candidateList>
        <item>（</item>
      </candidateList>
      <explain>文本全半角错误。</explain>
      <paraID>2E25BA4F</paraID>
      <start>9</start>
      <end>10</end>
      <status>unmodified</status>
      <modifiedWord/>
      <trackRevisions>false</trackRevisions>
    </reviewItem>
    <reviewItem>
      <errorID>47ad0ce3-3402-4a10-9618-a905807da57b</errorID>
      <errorWord>)</errorWord>
      <group>L1_Format</group>
      <groupName>格式问题</groupName>
      <ability>L2_HalfPunc</ability>
      <abilityName>全半角检查</abilityName>
      <candidateList>
        <item>）</item>
      </candidateList>
      <explain>文本全半角错误。</explain>
      <paraID>2E25BA4F</paraID>
      <start>11</start>
      <end>12</end>
      <status>unmodified</status>
      <modifiedWord/>
      <trackRevisions>false</trackRevisions>
    </reviewItem>
    <reviewItem>
      <errorID>0b880dc3-072d-43f2-bf57-a1e26c48aebd</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434CEB5A</paraID>
      <start>6</start>
      <end>9</end>
      <status>unmodified</status>
      <modifiedWord/>
      <trackRevisions>false</trackRevisions>
    </reviewItem>
    <reviewItem>
      <errorID>9f989a84-e2c6-490e-8bb2-bb847035fd25</errorID>
      <errorWord>(</errorWord>
      <group>L1_Format</group>
      <groupName>格式问题</groupName>
      <ability>L2_HalfPunc</ability>
      <abilityName>全半角检查</abilityName>
      <candidateList>
        <item>（</item>
      </candidateList>
      <explain>文本全半角错误。</explain>
      <paraID>67F1A6F6</paraID>
      <start>0</start>
      <end>1</end>
      <status>unmodified</status>
      <modifiedWord/>
      <trackRevisions>false</trackRevisions>
    </reviewItem>
    <reviewItem>
      <errorID>4b4be6f2-cd98-4a40-aabb-bf7ff9fe190f</errorID>
      <errorWord>)</errorWord>
      <group>L1_Format</group>
      <groupName>格式问题</groupName>
      <ability>L2_HalfPunc</ability>
      <abilityName>全半角检查</abilityName>
      <candidateList>
        <item>）</item>
      </candidateList>
      <explain>文本全半角错误。</explain>
      <paraID>67F1A6F6</paraID>
      <start>12</start>
      <end>13</end>
      <status>unmodified</status>
      <modifiedWord/>
      <trackRevisions>false</trackRevisions>
    </reviewItem>
    <reviewItem>
      <errorID>6a0cdd26-e27c-4710-ba6c-f7ed5ffafe92</errorID>
      <errorWord>漫流</errorWord>
      <group>L1_Word</group>
      <groupName>字词问题</groupName>
      <ability>L2_Typo</ability>
      <abilityName>字词错误</abilityName>
      <candidateList>
        <item>径流</item>
      </candidateList>
      <explain>〈名〉降水除蒸发的、被土地吸收的和被拦堵的以外，沿着地面流走的水叫径流。渗入地下的也可以形成地下径流。</explain>
      <paraID>65522265</paraID>
      <start>19</start>
      <end>21</end>
      <status>unmodified</status>
      <modifiedWord/>
      <trackRevisions>false</trackRevisions>
    </reviewItem>
    <reviewItem>
      <errorID>11ae014c-ee48-4c99-83f4-32d4e23b4d9f</errorID>
      <errorWord>（</errorWord>
      <group>L1_Format</group>
      <groupName>格式问题</groupName>
      <ability>L2_HalfPunc</ability>
      <abilityName>全半角检查</abilityName>
      <candidateList>
        <item>(</item>
      </candidateList>
      <explain>文本全半角错误。</explain>
      <paraID>3134ABD7</paraID>
      <start>0</start>
      <end>1</end>
      <status>unmodified</status>
      <modifiedWord/>
      <trackRevisions>false</trackRevisions>
    </reviewItem>
    <reviewItem>
      <errorID>398654a9-c924-4225-bf2c-bcca506db44d</errorID>
      <errorWord>）</errorWord>
      <group>L1_Format</group>
      <groupName>格式问题</groupName>
      <ability>L2_HalfPunc</ability>
      <abilityName>全半角检查</abilityName>
      <candidateList>
        <item>)</item>
      </candidateList>
      <explain>文本全半角错误。</explain>
      <paraID>3134ABD7</paraID>
      <start>4</start>
      <end>5</end>
      <status>unmodified</status>
      <modifiedWord/>
      <trackRevisions>false</trackRevisions>
    </reviewItem>
    <reviewItem>
      <errorID>284a99a4-3dcf-47ca-b2bf-e5c9ce10e95c</errorID>
      <errorWord>(</errorWord>
      <group>L1_Format</group>
      <groupName>格式问题</groupName>
      <ability>L2_HalfPunc</ability>
      <abilityName>全半角检查</abilityName>
      <candidateList>
        <item>（</item>
      </candidateList>
      <explain>文本全半角错误。</explain>
      <paraID> 3510676</paraID>
      <start>3</start>
      <end>4</end>
      <status>unmodified</status>
      <modifiedWord/>
      <trackRevisions>false</trackRevisions>
    </reviewItem>
    <reviewItem>
      <errorID>7b15275d-7ccc-400c-b99d-86d4898ab898</errorID>
      <errorWord>)</errorWord>
      <group>L1_Format</group>
      <groupName>格式问题</groupName>
      <ability>L2_HalfPunc</ability>
      <abilityName>全半角检查</abilityName>
      <candidateList>
        <item>）</item>
      </candidateList>
      <explain>文本全半角错误。</explain>
      <paraID>1E673DC3</paraID>
      <start>2</start>
      <end>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82925a-a904-4596-bced-9b627d9f2ba5}">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111</Pages>
  <Words>23365</Words>
  <Characters>24503</Characters>
  <Lines>1</Lines>
  <Paragraphs>1</Paragraphs>
  <TotalTime>32</TotalTime>
  <ScaleCrop>false</ScaleCrop>
  <LinksUpToDate>false</LinksUpToDate>
  <CharactersWithSpaces>24700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2021-04-08T01:39:00Z</dcterms:created>
  <dc:creator>微软用户</dc:creator>
  <cp:lastModifiedBy>王老五</cp:lastModifiedBy>
  <cp:lastPrinted>2023-07-17T09:08:00Z</cp:lastPrinted>
  <dcterms:modified xsi:type="dcterms:W3CDTF">2026-01-13T07:37:27Z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7FBC15E9F4B545DAA3FB2B776C69B674_13</vt:lpwstr>
  </property>
  <property fmtid="{D5CDD505-2E9C-101B-9397-08002B2CF9AE}" pid="4" name="KSOTemplateDocerSaveRecord">
    <vt:lpwstr>eyJoZGlkIjoiNjk0MjZmYjAxNzAxNDNjMjMxZmY4MmM1YmIxZTI1MGYiLCJ1c2VySWQiOiI0MjU2MzUxODAifQ==</vt:lpwstr>
  </property>
</Properties>
</file>