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FF5304">
      <w:pPr>
        <w:pageBreakBefore w:val="0"/>
        <w:kinsoku/>
        <w:overflowPunct/>
        <w:topLinePunct w:val="0"/>
        <w:bidi w:val="0"/>
        <w:ind w:left="0" w:leftChars="0" w:right="0"/>
        <w:jc w:val="center"/>
        <w:rPr>
          <w:rFonts w:hint="default" w:ascii="Times New Roman" w:hAnsi="Times New Roman" w:eastAsia="宋体" w:cs="Times New Roman"/>
          <w:color w:val="000000" w:themeColor="text1"/>
          <w:sz w:val="72"/>
          <w:szCs w:val="72"/>
          <w14:textFill>
            <w14:solidFill>
              <w14:schemeClr w14:val="tx1"/>
            </w14:solidFill>
          </w14:textFill>
        </w:rPr>
      </w:pPr>
      <w:bookmarkStart w:id="0" w:name="_Toc10516"/>
      <w:bookmarkStart w:id="1" w:name="_Toc27577"/>
      <w:bookmarkStart w:id="23" w:name="_GoBack"/>
      <w:bookmarkEnd w:id="23"/>
    </w:p>
    <w:p w14:paraId="2BDC068C">
      <w:pPr>
        <w:pStyle w:val="5"/>
        <w:rPr>
          <w:rFonts w:hint="default" w:ascii="Times New Roman" w:hAnsi="Times New Roman" w:eastAsia="宋体" w:cs="Times New Roman"/>
          <w:color w:val="000000" w:themeColor="text1"/>
          <w14:textFill>
            <w14:solidFill>
              <w14:schemeClr w14:val="tx1"/>
            </w14:solidFill>
          </w14:textFill>
        </w:rPr>
      </w:pPr>
    </w:p>
    <w:p w14:paraId="31F2E70D">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sz w:val="72"/>
          <w:szCs w:val="72"/>
          <w14:textFill>
            <w14:solidFill>
              <w14:schemeClr w14:val="tx1"/>
            </w14:solidFill>
          </w14:textFill>
        </w:rPr>
      </w:pPr>
      <w:r>
        <w:rPr>
          <w:rFonts w:hint="default" w:ascii="Times New Roman" w:hAnsi="Times New Roman" w:eastAsia="宋体" w:cs="Times New Roman"/>
          <w:b/>
          <w:bCs/>
          <w:color w:val="000000" w:themeColor="text1"/>
          <w:sz w:val="72"/>
          <w:szCs w:val="72"/>
          <w14:textFill>
            <w14:solidFill>
              <w14:schemeClr w14:val="tx1"/>
            </w14:solidFill>
          </w14:textFill>
        </w:rPr>
        <w:t>建设项目环境影响报告表</w:t>
      </w:r>
      <w:bookmarkEnd w:id="0"/>
      <w:bookmarkEnd w:id="1"/>
    </w:p>
    <w:p w14:paraId="39F98851">
      <w:pPr>
        <w:pageBreakBefore w:val="0"/>
        <w:kinsoku/>
        <w:overflowPunct/>
        <w:topLinePunct w:val="0"/>
        <w:bidi w:val="0"/>
        <w:adjustRightInd w:val="0"/>
        <w:snapToGrid w:val="0"/>
        <w:ind w:left="0" w:leftChars="0" w:right="0"/>
        <w:jc w:val="center"/>
        <w:rPr>
          <w:rFonts w:hint="default" w:ascii="Times New Roman" w:hAnsi="Times New Roman" w:eastAsia="宋体" w:cs="Times New Roman"/>
          <w:b/>
          <w:bCs/>
          <w:color w:val="000000" w:themeColor="text1"/>
          <w:sz w:val="44"/>
          <w:szCs w:val="44"/>
          <w14:textFill>
            <w14:solidFill>
              <w14:schemeClr w14:val="tx1"/>
            </w14:solidFill>
          </w14:textFill>
        </w:rPr>
      </w:pPr>
      <w:r>
        <w:rPr>
          <w:rFonts w:hint="default" w:ascii="Times New Roman" w:hAnsi="Times New Roman" w:eastAsia="宋体" w:cs="Times New Roman"/>
          <w:b/>
          <w:bCs/>
          <w:color w:val="000000" w:themeColor="text1"/>
          <w:sz w:val="44"/>
          <w:szCs w:val="44"/>
          <w14:textFill>
            <w14:solidFill>
              <w14:schemeClr w14:val="tx1"/>
            </w14:solidFill>
          </w14:textFill>
        </w:rPr>
        <w:t>（污染影响类）</w:t>
      </w:r>
    </w:p>
    <w:p w14:paraId="53E6F226">
      <w:pPr>
        <w:pageBreakBefore w:val="0"/>
        <w:kinsoku/>
        <w:overflowPunct/>
        <w:topLinePunct w:val="0"/>
        <w:bidi w:val="0"/>
        <w:adjustRightInd w:val="0"/>
        <w:snapToGrid w:val="0"/>
        <w:spacing w:line="288" w:lineRule="auto"/>
        <w:ind w:left="0" w:leftChars="0" w:right="0" w:firstLine="1040"/>
        <w:rPr>
          <w:rFonts w:hint="default" w:ascii="Times New Roman" w:hAnsi="Times New Roman" w:eastAsia="宋体" w:cs="Times New Roman"/>
          <w:color w:val="000000" w:themeColor="text1"/>
          <w:sz w:val="36"/>
          <w:szCs w:val="36"/>
          <w:lang w:val="en-US" w:eastAsia="zh-CN"/>
          <w14:textFill>
            <w14:solidFill>
              <w14:schemeClr w14:val="tx1"/>
            </w14:solidFill>
          </w14:textFill>
        </w:rPr>
      </w:pPr>
      <w:r>
        <w:rPr>
          <w:rFonts w:hint="default" w:ascii="Times New Roman" w:hAnsi="Times New Roman" w:eastAsia="宋体" w:cs="Times New Roman"/>
          <w:color w:val="000000" w:themeColor="text1"/>
          <w:sz w:val="36"/>
          <w:szCs w:val="36"/>
          <w:lang w:val="en-US" w:eastAsia="zh-CN"/>
          <w14:textFill>
            <w14:solidFill>
              <w14:schemeClr w14:val="tx1"/>
            </w14:solidFill>
          </w14:textFill>
        </w:rPr>
        <w:t xml:space="preserve"> </w:t>
      </w:r>
    </w:p>
    <w:p w14:paraId="5CAD5BBC">
      <w:pPr>
        <w:pageBreakBefore w:val="0"/>
        <w:kinsoku/>
        <w:overflowPunct/>
        <w:topLinePunct w:val="0"/>
        <w:bidi w:val="0"/>
        <w:adjustRightInd w:val="0"/>
        <w:snapToGrid w:val="0"/>
        <w:spacing w:line="288" w:lineRule="auto"/>
        <w:ind w:left="0" w:leftChars="0" w:right="0" w:firstLine="1040"/>
        <w:rPr>
          <w:rFonts w:hint="default" w:ascii="Times New Roman" w:hAnsi="Times New Roman" w:eastAsia="宋体" w:cs="Times New Roman"/>
          <w:color w:val="000000" w:themeColor="text1"/>
          <w:sz w:val="36"/>
          <w:szCs w:val="36"/>
          <w14:textFill>
            <w14:solidFill>
              <w14:schemeClr w14:val="tx1"/>
            </w14:solidFill>
          </w14:textFill>
        </w:rPr>
      </w:pPr>
    </w:p>
    <w:p w14:paraId="2C1D3DBB">
      <w:pPr>
        <w:pageBreakBefore w:val="0"/>
        <w:kinsoku/>
        <w:overflowPunct/>
        <w:topLinePunct w:val="0"/>
        <w:bidi w:val="0"/>
        <w:adjustRightInd w:val="0"/>
        <w:snapToGrid w:val="0"/>
        <w:spacing w:line="288" w:lineRule="auto"/>
        <w:ind w:left="0" w:leftChars="0" w:right="0" w:firstLine="1040"/>
        <w:rPr>
          <w:rFonts w:hint="default" w:ascii="Times New Roman" w:hAnsi="Times New Roman" w:eastAsia="宋体" w:cs="Times New Roman"/>
          <w:color w:val="000000" w:themeColor="text1"/>
          <w:sz w:val="36"/>
          <w:szCs w:val="36"/>
          <w14:textFill>
            <w14:solidFill>
              <w14:schemeClr w14:val="tx1"/>
            </w14:solidFill>
          </w14:textFill>
        </w:rPr>
      </w:pPr>
    </w:p>
    <w:p w14:paraId="32C0252F">
      <w:pPr>
        <w:pageBreakBefore w:val="0"/>
        <w:kinsoku/>
        <w:overflowPunct/>
        <w:topLinePunct w:val="0"/>
        <w:bidi w:val="0"/>
        <w:adjustRightInd w:val="0"/>
        <w:snapToGrid w:val="0"/>
        <w:spacing w:line="288" w:lineRule="auto"/>
        <w:ind w:left="0" w:leftChars="0" w:right="0" w:firstLine="1040"/>
        <w:rPr>
          <w:rFonts w:hint="default" w:ascii="Times New Roman" w:hAnsi="Times New Roman" w:eastAsia="宋体" w:cs="Times New Roman"/>
          <w:color w:val="000000" w:themeColor="text1"/>
          <w:sz w:val="36"/>
          <w:szCs w:val="36"/>
          <w14:textFill>
            <w14:solidFill>
              <w14:schemeClr w14:val="tx1"/>
            </w14:solidFill>
          </w14:textFill>
        </w:rPr>
      </w:pPr>
    </w:p>
    <w:p w14:paraId="3F64DA12">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14:paraId="0E279490">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14:paraId="2569FCC4">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14:paraId="60145D30">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14:paraId="7E07ECF3">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14:paraId="49859056">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14:paraId="60877D62">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14:paraId="36E7C2D1">
      <w:pPr>
        <w:pStyle w:val="5"/>
        <w:rPr>
          <w:rFonts w:hint="default" w:ascii="Times New Roman" w:hAnsi="Times New Roman" w:eastAsia="宋体" w:cs="Times New Roman"/>
          <w:color w:val="000000" w:themeColor="text1"/>
          <w14:textFill>
            <w14:solidFill>
              <w14:schemeClr w14:val="tx1"/>
            </w14:solidFill>
          </w14:textFill>
        </w:rPr>
      </w:pPr>
    </w:p>
    <w:p w14:paraId="7F9EC1FC">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14:paraId="7BF4CB9D">
      <w:pPr>
        <w:keepNext w:val="0"/>
        <w:keepLines w:val="0"/>
        <w:pageBreakBefore w:val="0"/>
        <w:widowControl w:val="0"/>
        <w:kinsoku/>
        <w:wordWrap/>
        <w:overflowPunct/>
        <w:topLinePunct w:val="0"/>
        <w:autoSpaceDE/>
        <w:autoSpaceDN/>
        <w:bidi w:val="0"/>
        <w:adjustRightInd w:val="0"/>
        <w:snapToGrid w:val="0"/>
        <w:spacing w:line="360" w:lineRule="auto"/>
        <w:ind w:right="0" w:firstLine="562"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14:paraId="312B21F8">
      <w:pPr>
        <w:keepNext w:val="0"/>
        <w:keepLines w:val="0"/>
        <w:pageBreakBefore w:val="0"/>
        <w:widowControl w:val="0"/>
        <w:kinsoku/>
        <w:wordWrap/>
        <w:overflowPunct/>
        <w:topLinePunct w:val="0"/>
        <w:autoSpaceDE/>
        <w:autoSpaceDN/>
        <w:bidi w:val="0"/>
        <w:adjustRightInd w:val="0"/>
        <w:snapToGrid w:val="0"/>
        <w:spacing w:line="360" w:lineRule="auto"/>
        <w:ind w:right="0" w:firstLine="562" w:firstLineChars="200"/>
        <w:jc w:val="both"/>
        <w:textAlignment w:val="auto"/>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项目名称：</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u w:val="single"/>
          <w:lang w:eastAsia="zh-CN"/>
          <w14:textFill>
            <w14:solidFill>
              <w14:schemeClr w14:val="tx1"/>
            </w14:solidFill>
          </w14:textFill>
        </w:rPr>
        <w:t>上海腾曼软包装、新能源包装材料项目</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p>
    <w:p w14:paraId="508590F2">
      <w:pPr>
        <w:keepNext w:val="0"/>
        <w:keepLines w:val="0"/>
        <w:pageBreakBefore w:val="0"/>
        <w:widowControl w:val="0"/>
        <w:kinsoku/>
        <w:wordWrap/>
        <w:overflowPunct/>
        <w:topLinePunct w:val="0"/>
        <w:autoSpaceDE/>
        <w:autoSpaceDN/>
        <w:bidi w:val="0"/>
        <w:adjustRightInd w:val="0"/>
        <w:snapToGrid w:val="0"/>
        <w:spacing w:line="360" w:lineRule="auto"/>
        <w:ind w:right="0" w:firstLine="562" w:firstLineChars="200"/>
        <w:jc w:val="both"/>
        <w:textAlignment w:val="auto"/>
        <w:rPr>
          <w:rFonts w:hint="default" w:ascii="Times New Roman" w:hAnsi="Times New Roman" w:eastAsia="宋体" w:cs="Times New Roman"/>
          <w:b/>
          <w:bCs/>
          <w:color w:val="000000" w:themeColor="text1"/>
          <w:sz w:val="28"/>
          <w:szCs w:val="28"/>
          <w:u w:val="single"/>
          <w:lang w:val="en-US"/>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建设单位（盖章）：</w:t>
      </w:r>
      <w:r>
        <w:rPr>
          <w:rFonts w:hint="default" w:ascii="Times New Roman" w:hAnsi="Times New Roman" w:eastAsia="宋体" w:cs="Times New Roman"/>
          <w:b/>
          <w:bCs/>
          <w:color w:val="000000" w:themeColor="text1"/>
          <w:sz w:val="28"/>
          <w:szCs w:val="28"/>
          <w:u w:val="single"/>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u w:val="single"/>
          <w:lang w:eastAsia="zh-CN"/>
          <w14:textFill>
            <w14:solidFill>
              <w14:schemeClr w14:val="tx1"/>
            </w14:solidFill>
          </w14:textFill>
        </w:rPr>
        <w:t>腾曼新材料科技（云南）有限公司</w:t>
      </w:r>
      <w:r>
        <w:rPr>
          <w:rFonts w:hint="eastAsia" w:cs="Times New Roman"/>
          <w:b/>
          <w:bCs/>
          <w:color w:val="000000" w:themeColor="text1"/>
          <w:sz w:val="28"/>
          <w:szCs w:val="28"/>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p>
    <w:p w14:paraId="5C44384E">
      <w:pPr>
        <w:keepNext w:val="0"/>
        <w:keepLines w:val="0"/>
        <w:pageBreakBefore w:val="0"/>
        <w:widowControl w:val="0"/>
        <w:kinsoku/>
        <w:wordWrap/>
        <w:overflowPunct/>
        <w:topLinePunct w:val="0"/>
        <w:autoSpaceDE/>
        <w:autoSpaceDN/>
        <w:bidi w:val="0"/>
        <w:adjustRightInd w:val="0"/>
        <w:snapToGrid w:val="0"/>
        <w:spacing w:line="360" w:lineRule="auto"/>
        <w:ind w:right="0" w:firstLine="562" w:firstLineChars="200"/>
        <w:jc w:val="both"/>
        <w:textAlignment w:val="auto"/>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编制日期：</w:t>
      </w:r>
      <w:r>
        <w:rPr>
          <w:rFonts w:hint="default" w:ascii="Times New Roman" w:hAnsi="Times New Roman" w:eastAsia="宋体" w:cs="Times New Roman"/>
          <w:b/>
          <w:bCs/>
          <w:color w:val="000000" w:themeColor="text1"/>
          <w:sz w:val="28"/>
          <w:szCs w:val="28"/>
          <w:u w:val="single"/>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u w:val="single"/>
          <w14:textFill>
            <w14:solidFill>
              <w14:schemeClr w14:val="tx1"/>
            </w14:solidFill>
          </w14:textFill>
        </w:rPr>
        <w:t>202</w:t>
      </w:r>
      <w:r>
        <w:rPr>
          <w:rFonts w:hint="eastAsia" w:cs="Times New Roman"/>
          <w:b/>
          <w:bCs/>
          <w:color w:val="000000" w:themeColor="text1"/>
          <w:sz w:val="28"/>
          <w:szCs w:val="28"/>
          <w:u w:val="single"/>
          <w:lang w:val="en-US" w:eastAsia="zh-CN"/>
          <w14:textFill>
            <w14:solidFill>
              <w14:schemeClr w14:val="tx1"/>
            </w14:solidFill>
          </w14:textFill>
        </w:rPr>
        <w:t>6</w:t>
      </w:r>
      <w:r>
        <w:rPr>
          <w:rFonts w:hint="default" w:ascii="Times New Roman" w:hAnsi="Times New Roman" w:eastAsia="宋体" w:cs="Times New Roman"/>
          <w:b/>
          <w:bCs/>
          <w:color w:val="000000" w:themeColor="text1"/>
          <w:sz w:val="28"/>
          <w:szCs w:val="28"/>
          <w:u w:val="single"/>
          <w14:textFill>
            <w14:solidFill>
              <w14:schemeClr w14:val="tx1"/>
            </w14:solidFill>
          </w14:textFill>
        </w:rPr>
        <w:t>年</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1</w:t>
      </w:r>
      <w:r>
        <w:rPr>
          <w:rFonts w:hint="default" w:ascii="Times New Roman" w:hAnsi="Times New Roman" w:eastAsia="宋体" w:cs="Times New Roman"/>
          <w:b/>
          <w:bCs/>
          <w:color w:val="000000" w:themeColor="text1"/>
          <w:sz w:val="28"/>
          <w:szCs w:val="28"/>
          <w:u w:val="single"/>
          <w14:textFill>
            <w14:solidFill>
              <w14:schemeClr w14:val="tx1"/>
            </w14:solidFill>
          </w14:textFill>
        </w:rPr>
        <w:t>月</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r>
        <w:rPr>
          <w:rFonts w:hint="eastAsia" w:cs="Times New Roman"/>
          <w:b/>
          <w:bCs/>
          <w:color w:val="000000" w:themeColor="text1"/>
          <w:sz w:val="28"/>
          <w:szCs w:val="28"/>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r>
        <w:rPr>
          <w:rFonts w:hint="eastAsia" w:cs="Times New Roman"/>
          <w:b/>
          <w:bCs/>
          <w:color w:val="000000" w:themeColor="text1"/>
          <w:sz w:val="28"/>
          <w:szCs w:val="28"/>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t xml:space="preserve">  </w:t>
      </w:r>
    </w:p>
    <w:p w14:paraId="72BF256D">
      <w:pPr>
        <w:pageBreakBefore w:val="0"/>
        <w:kinsoku/>
        <w:overflowPunct/>
        <w:topLinePunct w:val="0"/>
        <w:bidi w:val="0"/>
        <w:adjustRightInd w:val="0"/>
        <w:snapToGrid w:val="0"/>
        <w:spacing w:line="288" w:lineRule="auto"/>
        <w:ind w:left="0" w:leftChars="0" w:right="0" w:firstLine="1040"/>
        <w:jc w:val="center"/>
        <w:rPr>
          <w:rFonts w:hint="default" w:ascii="Times New Roman" w:hAnsi="Times New Roman" w:eastAsia="宋体" w:cs="Times New Roman"/>
          <w:color w:val="000000" w:themeColor="text1"/>
          <w:sz w:val="36"/>
          <w:szCs w:val="36"/>
          <w:u w:val="single"/>
          <w14:textFill>
            <w14:solidFill>
              <w14:schemeClr w14:val="tx1"/>
            </w14:solidFill>
          </w14:textFill>
        </w:rPr>
      </w:pPr>
      <w:bookmarkStart w:id="2" w:name="_Hlk57884087"/>
    </w:p>
    <w:p w14:paraId="0E90FB7F">
      <w:pPr>
        <w:pageBreakBefore w:val="0"/>
        <w:kinsoku/>
        <w:overflowPunct/>
        <w:topLinePunct w:val="0"/>
        <w:bidi w:val="0"/>
        <w:adjustRightInd w:val="0"/>
        <w:snapToGrid w:val="0"/>
        <w:spacing w:line="288" w:lineRule="auto"/>
        <w:ind w:left="0" w:leftChars="0" w:right="0" w:firstLine="1040"/>
        <w:rPr>
          <w:rFonts w:hint="default" w:ascii="Times New Roman" w:hAnsi="Times New Roman" w:eastAsia="宋体" w:cs="Times New Roman"/>
          <w:color w:val="000000" w:themeColor="text1"/>
          <w:sz w:val="36"/>
          <w:szCs w:val="36"/>
          <w14:textFill>
            <w14:solidFill>
              <w14:schemeClr w14:val="tx1"/>
            </w14:solidFill>
          </w14:textFill>
        </w:rPr>
      </w:pPr>
    </w:p>
    <w:bookmarkEnd w:id="2"/>
    <w:p w14:paraId="68F9C93F">
      <w:pPr>
        <w:pageBreakBefore w:val="0"/>
        <w:kinsoku/>
        <w:overflowPunct/>
        <w:topLinePunct w:val="0"/>
        <w:bidi w:val="0"/>
        <w:adjustRightInd w:val="0"/>
        <w:snapToGrid w:val="0"/>
        <w:spacing w:line="288" w:lineRule="auto"/>
        <w:ind w:left="0" w:leftChars="0" w:right="0"/>
        <w:jc w:val="center"/>
        <w:rPr>
          <w:rFonts w:hint="default" w:ascii="Times New Roman" w:hAnsi="Times New Roman" w:eastAsia="宋体" w:cs="Times New Roman"/>
          <w:b/>
          <w:bCs/>
          <w:color w:val="000000" w:themeColor="text1"/>
          <w:sz w:val="36"/>
          <w:szCs w:val="36"/>
          <w:lang w:val="en-US" w:eastAsia="zh-CN"/>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b/>
          <w:bCs/>
          <w:color w:val="000000" w:themeColor="text1"/>
          <w:sz w:val="36"/>
          <w:szCs w:val="36"/>
          <w14:textFill>
            <w14:solidFill>
              <w14:schemeClr w14:val="tx1"/>
            </w14:solidFill>
          </w14:textFill>
        </w:rPr>
        <w:t>中华人民共和国生态环境部制</w:t>
      </w:r>
    </w:p>
    <w:p w14:paraId="19E2B6D5">
      <w:pPr>
        <w:pageBreakBefore w:val="0"/>
        <w:kinsoku/>
        <w:overflowPunct/>
        <w:topLinePunct w:val="0"/>
        <w:bidi w:val="0"/>
        <w:adjustRightInd w:val="0"/>
        <w:snapToGrid w:val="0"/>
        <w:spacing w:line="360" w:lineRule="auto"/>
        <w:ind w:left="0" w:leftChars="0" w:right="0"/>
        <w:jc w:val="center"/>
        <w:rPr>
          <w:rFonts w:hint="default" w:ascii="Times New Roman" w:hAnsi="Times New Roman" w:eastAsia="宋体" w:cs="Times New Roman"/>
          <w:b/>
          <w:bCs/>
          <w:color w:val="000000" w:themeColor="text1"/>
          <w:sz w:val="28"/>
          <w:szCs w:val="28"/>
          <w14:textFill>
            <w14:solidFill>
              <w14:schemeClr w14:val="tx1"/>
            </w14:solidFill>
          </w14:textFill>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02E3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0" w:type="dxa"/>
          </w:tcPr>
          <w:p w14:paraId="3A9C2521">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drawing>
                <wp:inline distT="0" distB="0" distL="114300" distR="114300">
                  <wp:extent cx="2710180" cy="1806575"/>
                  <wp:effectExtent l="0" t="0" r="13970" b="3175"/>
                  <wp:docPr id="3" name="图片 3" descr="DJI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JI_0149"/>
                          <pic:cNvPicPr>
                            <a:picLocks noChangeAspect="1"/>
                          </pic:cNvPicPr>
                        </pic:nvPicPr>
                        <pic:blipFill>
                          <a:blip r:embed="rId7"/>
                          <a:stretch>
                            <a:fillRect/>
                          </a:stretch>
                        </pic:blipFill>
                        <pic:spPr>
                          <a:xfrm>
                            <a:off x="0" y="0"/>
                            <a:ext cx="2710180" cy="1806575"/>
                          </a:xfrm>
                          <a:prstGeom prst="rect">
                            <a:avLst/>
                          </a:prstGeom>
                        </pic:spPr>
                      </pic:pic>
                    </a:graphicData>
                  </a:graphic>
                </wp:inline>
              </w:drawing>
            </w:r>
          </w:p>
        </w:tc>
        <w:tc>
          <w:tcPr>
            <w:tcW w:w="4530" w:type="dxa"/>
          </w:tcPr>
          <w:p w14:paraId="49BCA83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1437005</wp:posOffset>
                      </wp:positionH>
                      <wp:positionV relativeFrom="paragraph">
                        <wp:posOffset>172085</wp:posOffset>
                      </wp:positionV>
                      <wp:extent cx="895350" cy="295275"/>
                      <wp:effectExtent l="0" t="0" r="0" b="0"/>
                      <wp:wrapNone/>
                      <wp:docPr id="33" name="文本框 33"/>
                      <wp:cNvGraphicFramePr/>
                      <a:graphic xmlns:a="http://schemas.openxmlformats.org/drawingml/2006/main">
                        <a:graphicData uri="http://schemas.microsoft.com/office/word/2010/wordprocessingShape">
                          <wps:wsp>
                            <wps:cNvSpPr txBox="1"/>
                            <wps:spPr>
                              <a:xfrm>
                                <a:off x="4514215" y="1715770"/>
                                <a:ext cx="89535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45563">
                                  <w:pPr>
                                    <w:rPr>
                                      <w:rFonts w:hint="eastAsia" w:eastAsia="宋体"/>
                                      <w:b/>
                                      <w:bCs/>
                                      <w:color w:val="FF0000"/>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15pt;margin-top:13.55pt;height:23.25pt;width:70.5pt;z-index:251660288;mso-width-relative:page;mso-height-relative:page;" filled="f" stroked="f" coordsize="21600,21600" o:gfxdata="UEsDBAoAAAAAAIdO4kAAAAAAAAAAAAAAAAAEAAAAZHJzL1BLAwQUAAAACACHTuJAFX0MjNkAAAAJ&#10;AQAADwAAAGRycy9kb3ducmV2LnhtbE2Py07DMBBF90j8gzWV2FHnIZIqxKlQpAoJwaKlG3ZOPE2i&#10;xuMQuw/4eoYV7OZxdOdMub7aUZxx9oMjBfEyAoHUOjNQp2D/vrlfgfBBk9GjI1TwhR7W1e1NqQvj&#10;LrTF8y50gkPIF1pBH8JUSOnbHq32Szch8e7gZqsDt3MnzawvHG5HmURRJq0eiC/0esK6x/a4O1kF&#10;L/XmTW+bxK6+x/r59fA0fe4/HpS6W8TRI4iA1/AHw68+q0PFTo07kfFiVJAkWcooF3kMgoE0y3nQ&#10;KMjTDGRVyv8fVD9QSwMEFAAAAAgAh07iQDx3GAhFAgAAcwQAAA4AAABkcnMvZTJvRG9jLnhtbK1U&#10;wY7aMBC9V+o/WL6XECDLgggruoiqEuquRKuejeOQSLbHtQ0J/YD2D/bUS+/9Lr6j4yTs0m0Pe+jF&#10;GXue3vi9GWd2UytJDsK6EnRK416fEqE5ZKXepfTTx9Wba0qcZzpjErRI6VE4ejN//WpWmakYQAEy&#10;E5YgiXbTyqS08N5Mo8jxQijmemCExmQOVjGPW7uLMssqZFcyGvT7V1EFNjMWuHAOT5dtknaM9iWE&#10;kOclF0vgeyW0b1mtkMyjJFeUxtF5c9s8F9zf5bkTnsiUolLfrFgE421Yo/mMTXeWmaLk3RXYS67w&#10;TJNipcaij1RL5hnZ2/IvKlVyCw5y3+OgolZI4wiqiPvPvNkUzIhGC1rtzKPp7v/R8g+He0vKLKXD&#10;ISWaKez46eH76cev089vBM/QoMq4KeI2BpG+fgs1js353OFh0F3nVoUvKiKYHyXxaBAnlBwRO46T&#10;8bizWtSecARcT5Jhgk3gCBhMksE4CYzRE5Gxzr8ToEgIUmqxk43B7LB2voWeIaGuhlUpZdNNqUmV&#10;0qtA/0cGyaXGGkFOe+0Q+Xpbdxq3kB1RooV2SpzhqxKLr5nz98ziWOB98eH4O1xyCVgEuoiSAuzX&#10;f50HPHYLs5RUOGYpdV/2zApK5HuNfZzEo1GYy2YzSsYD3NjLzPYyo/fqFnCSY3yihjdhwHt5DnML&#10;6jO+r0WoiimmOdZOqT+Ht74dfnyfXCwWDQgn0TC/1hvDA3Vr2mLvIS8bp4NNrTedeziLTa+6dxOG&#10;/XLfoJ7+F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X0MjNkAAAAJAQAADwAAAAAAAAABACAA&#10;AAAiAAAAZHJzL2Rvd25yZXYueG1sUEsBAhQAFAAAAAgAh07iQDx3GAhFAgAAcwQAAA4AAAAAAAAA&#10;AQAgAAAAKAEAAGRycy9lMm9Eb2MueG1sUEsFBgAAAAAGAAYAWQEAAN8FAAAAAA==&#10;">
                      <v:fill on="f" focussize="0,0"/>
                      <v:stroke on="f" weight="0.5pt"/>
                      <v:imagedata o:title=""/>
                      <o:lock v:ext="edit" aspectratio="f"/>
                      <v:textbox>
                        <w:txbxContent>
                          <w:p w14:paraId="52545563">
                            <w:pPr>
                              <w:rPr>
                                <w:rFonts w:hint="eastAsia" w:eastAsia="宋体"/>
                                <w:b/>
                                <w:bCs/>
                                <w:color w:val="FF0000"/>
                                <w:lang w:eastAsia="zh-CN"/>
                              </w:rPr>
                            </w:pPr>
                            <w:r>
                              <w:rPr>
                                <w:rFonts w:hint="eastAsia"/>
                                <w:b/>
                                <w:bCs/>
                                <w:color w:val="FF0000"/>
                                <w:lang w:eastAsia="zh-CN"/>
                              </w:rPr>
                              <w:t>项目所在地</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1446530</wp:posOffset>
                      </wp:positionH>
                      <wp:positionV relativeFrom="paragraph">
                        <wp:posOffset>153035</wp:posOffset>
                      </wp:positionV>
                      <wp:extent cx="838200" cy="323850"/>
                      <wp:effectExtent l="12700" t="12700" r="25400" b="25400"/>
                      <wp:wrapNone/>
                      <wp:docPr id="32" name="矩形 32"/>
                      <wp:cNvGraphicFramePr/>
                      <a:graphic xmlns:a="http://schemas.openxmlformats.org/drawingml/2006/main">
                        <a:graphicData uri="http://schemas.microsoft.com/office/word/2010/wordprocessingShape">
                          <wps:wsp>
                            <wps:cNvSpPr/>
                            <wps:spPr>
                              <a:xfrm>
                                <a:off x="5295265" y="1239520"/>
                                <a:ext cx="838200" cy="3238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9pt;margin-top:12.05pt;height:25.5pt;width:66pt;z-index:251659264;v-text-anchor:middle;mso-width-relative:page;mso-height-relative:page;" filled="f" stroked="t" coordsize="21600,21600" o:gfxdata="UEsDBAoAAAAAAIdO4kAAAAAAAAAAAAAAAAAEAAAAZHJzL1BLAwQUAAAACACHTuJAXN6bwNgAAAAJ&#10;AQAADwAAAGRycy9kb3ducmV2LnhtbE2PPU/DMBCGdyT+g3VILIg6SelXiFOJSnRgqERh6ebERxI1&#10;Pke205R/zzHBdh+vnnuu2F5tLy7oQ+dIQTpLQCDVznTUKPj8eH1cgwhRk9G9I1TwjQG25e1NoXPj&#10;JnrHyzE2giEUcq2gjXHIpQx1i1aHmRuQePflvNWRW99I4/XEcNvLLEmW0uqO+EKrB9y1WJ+Po1VQ&#10;7U9+t36Z7+P4sGT0uXnDw6TU/V2aPIOIeI1/YfjVZ3Uo2alyI5kgegVZtmL1yMVTCoID88WGB5WC&#10;1SIFWRby/wflD1BLAwQUAAAACACHTuJA62M58GoCAADBBAAADgAAAGRycy9lMm9Eb2MueG1srVTN&#10;bhMxEL4j8Q6W73STTVLSqJsqahSEVEGlgjg7Xm/Wkv+wnWzKyyBx4yF4HMRr8Nm7/aFw6IEcnJmd&#10;b7/xfDOz5xdHrchB+CCtqej4ZESJMNzW0uwq+vHD5tWckhCZqZmyRlT0VgR6sXz54rxzC1Ha1qpa&#10;eAISExadq2gbo1sUReCt0CycWCcMgo31mkW4flfUnnVg16ooR6PTorO+dt5yEQKervsgHRj9cwht&#10;00gu1pbvtTCxZ/VCsYiSQitdoMt826YRPL5vmiAiURVFpTGfSAJ7m85iec4WO89cK/lwBfacKzyp&#10;STNpkPSeas0iI3sv/6LSknsbbBNPuNVFX0hWBFWMR0+0uWmZE7kWSB3cvejh/9Hyd4drT2Rd0UlJ&#10;iWEaHf/19fvPH98IHkCdzoUFQDfu2g9egJlKPTZep38UQY4VnZVns/J0RsktpqqcwBnUFcdIOADz&#10;yRz9p4QDMCkn81mOFw9Ezof4RlhNklFRj+ZlTdnhKkQkB/QOkvIau5FK5QYqQ7qKlrNp5meYygbT&#10;gFTaobJgdpQwtcO48+gzZbBK1un1RBT8bnupPDkwDMlmM8IvVY50f8BS7jULbY/LoQGmDNBJqF6a&#10;ZG1tfQthve0nLji+kXj/ioV4zTxGDEJgCeN7HI2yuL0dLEpa67/863nCo/OIUtJhZFHZ5z3zghL1&#10;1mAmzsbTaZrx7Exnr9EA4h9Hto8jZq8vLQoeY90dz2bCR3VnNt7qT9jVVcqKEDMcuXsNB+cy9quE&#10;beditcowzLVj8crcOJ7I+06t9tE2MjfxQZ1BNEx2FnvYwrQ6j/2Mevjy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N6bwNgAAAAJAQAADwAAAAAAAAABACAAAAAiAAAAZHJzL2Rvd25yZXYueG1s&#10;UEsBAhQAFAAAAAgAh07iQOtjOfBqAgAAwQQAAA4AAAAAAAAAAQAgAAAAJwEAAGRycy9lMm9Eb2Mu&#10;eG1sUEsFBgAAAAAGAAYAWQEAAAMGAAAAAA==&#10;">
                      <v:fill on="f" focussize="0,0"/>
                      <v:stroke weight="2pt" color="#FF0000 [2404]" joinstyle="round"/>
                      <v:imagedata o:title=""/>
                      <o:lock v:ext="edit" aspectratio="f"/>
                    </v:rect>
                  </w:pict>
                </mc:Fallback>
              </mc:AlternateConten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710180" cy="1806575"/>
                  <wp:effectExtent l="0" t="0" r="13970" b="3175"/>
                  <wp:docPr id="19" name="图片 19" descr="DJI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139"/>
                          <pic:cNvPicPr>
                            <a:picLocks noChangeAspect="1"/>
                          </pic:cNvPicPr>
                        </pic:nvPicPr>
                        <pic:blipFill>
                          <a:blip r:embed="rId8"/>
                          <a:stretch>
                            <a:fillRect/>
                          </a:stretch>
                        </pic:blipFill>
                        <pic:spPr>
                          <a:xfrm>
                            <a:off x="0" y="0"/>
                            <a:ext cx="2710180" cy="1806575"/>
                          </a:xfrm>
                          <a:prstGeom prst="rect">
                            <a:avLst/>
                          </a:prstGeom>
                        </pic:spPr>
                      </pic:pic>
                    </a:graphicData>
                  </a:graphic>
                </wp:inline>
              </w:drawing>
            </w:r>
          </w:p>
        </w:tc>
      </w:tr>
      <w:tr w14:paraId="388E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530" w:type="dxa"/>
          </w:tcPr>
          <w:p w14:paraId="64061EC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项目区租用厂房外现状</w:t>
            </w:r>
          </w:p>
        </w:tc>
        <w:tc>
          <w:tcPr>
            <w:tcW w:w="4530" w:type="dxa"/>
          </w:tcPr>
          <w:p w14:paraId="0F822F5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t>项目租用厂房周边现状</w:t>
            </w:r>
          </w:p>
        </w:tc>
      </w:tr>
      <w:tr w14:paraId="0DC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530" w:type="dxa"/>
          </w:tcPr>
          <w:p w14:paraId="53F9E10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573655" cy="1930400"/>
                  <wp:effectExtent l="0" t="0" r="17145" b="12700"/>
                  <wp:docPr id="31" name="图片 31" descr="IMG_20251029_14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51029_145920"/>
                          <pic:cNvPicPr>
                            <a:picLocks noChangeAspect="1"/>
                          </pic:cNvPicPr>
                        </pic:nvPicPr>
                        <pic:blipFill>
                          <a:blip r:embed="rId9"/>
                          <a:stretch>
                            <a:fillRect/>
                          </a:stretch>
                        </pic:blipFill>
                        <pic:spPr>
                          <a:xfrm>
                            <a:off x="0" y="0"/>
                            <a:ext cx="2573655" cy="1930400"/>
                          </a:xfrm>
                          <a:prstGeom prst="rect">
                            <a:avLst/>
                          </a:prstGeom>
                        </pic:spPr>
                      </pic:pic>
                    </a:graphicData>
                  </a:graphic>
                </wp:inline>
              </w:drawing>
            </w:r>
          </w:p>
        </w:tc>
        <w:tc>
          <w:tcPr>
            <w:tcW w:w="4530" w:type="dxa"/>
          </w:tcPr>
          <w:p w14:paraId="0303749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562225" cy="1921510"/>
                  <wp:effectExtent l="0" t="0" r="9525" b="2540"/>
                  <wp:docPr id="29" name="图片 29" descr="IMG_20251029_15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51029_150950"/>
                          <pic:cNvPicPr>
                            <a:picLocks noChangeAspect="1"/>
                          </pic:cNvPicPr>
                        </pic:nvPicPr>
                        <pic:blipFill>
                          <a:blip r:embed="rId10"/>
                          <a:stretch>
                            <a:fillRect/>
                          </a:stretch>
                        </pic:blipFill>
                        <pic:spPr>
                          <a:xfrm>
                            <a:off x="0" y="0"/>
                            <a:ext cx="2562225" cy="1921510"/>
                          </a:xfrm>
                          <a:prstGeom prst="rect">
                            <a:avLst/>
                          </a:prstGeom>
                        </pic:spPr>
                      </pic:pic>
                    </a:graphicData>
                  </a:graphic>
                </wp:inline>
              </w:drawing>
            </w:r>
          </w:p>
        </w:tc>
      </w:tr>
      <w:tr w14:paraId="7BEC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530" w:type="dxa"/>
          </w:tcPr>
          <w:p w14:paraId="1A0ABEC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项目区租用厂房内现状（一层）</w:t>
            </w:r>
          </w:p>
        </w:tc>
        <w:tc>
          <w:tcPr>
            <w:tcW w:w="4530" w:type="dxa"/>
          </w:tcPr>
          <w:p w14:paraId="1577714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项目区租用厂房内现状（二层）</w:t>
            </w:r>
          </w:p>
        </w:tc>
      </w:tr>
      <w:tr w14:paraId="7A6D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1DB6A40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710180" cy="1806575"/>
                  <wp:effectExtent l="0" t="0" r="13970" b="3175"/>
                  <wp:docPr id="6" name="图片 6" descr="DJI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0142"/>
                          <pic:cNvPicPr>
                            <a:picLocks noChangeAspect="1"/>
                          </pic:cNvPicPr>
                        </pic:nvPicPr>
                        <pic:blipFill>
                          <a:blip r:embed="rId11"/>
                          <a:stretch>
                            <a:fillRect/>
                          </a:stretch>
                        </pic:blipFill>
                        <pic:spPr>
                          <a:xfrm>
                            <a:off x="0" y="0"/>
                            <a:ext cx="2710180" cy="1806575"/>
                          </a:xfrm>
                          <a:prstGeom prst="rect">
                            <a:avLst/>
                          </a:prstGeom>
                        </pic:spPr>
                      </pic:pic>
                    </a:graphicData>
                  </a:graphic>
                </wp:inline>
              </w:drawing>
            </w:r>
          </w:p>
        </w:tc>
        <w:tc>
          <w:tcPr>
            <w:tcW w:w="4530" w:type="dxa"/>
          </w:tcPr>
          <w:p w14:paraId="6454B38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710180" cy="1806575"/>
                  <wp:effectExtent l="0" t="0" r="13970" b="3175"/>
                  <wp:docPr id="14" name="图片 14" descr="DJI_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I_0144"/>
                          <pic:cNvPicPr>
                            <a:picLocks noChangeAspect="1"/>
                          </pic:cNvPicPr>
                        </pic:nvPicPr>
                        <pic:blipFill>
                          <a:blip r:embed="rId12"/>
                          <a:stretch>
                            <a:fillRect/>
                          </a:stretch>
                        </pic:blipFill>
                        <pic:spPr>
                          <a:xfrm>
                            <a:off x="0" y="0"/>
                            <a:ext cx="2710180" cy="1806575"/>
                          </a:xfrm>
                          <a:prstGeom prst="rect">
                            <a:avLst/>
                          </a:prstGeom>
                        </pic:spPr>
                      </pic:pic>
                    </a:graphicData>
                  </a:graphic>
                </wp:inline>
              </w:drawing>
            </w:r>
          </w:p>
        </w:tc>
      </w:tr>
      <w:tr w14:paraId="6AC8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541E2BA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项目区外北侧现状</w:t>
            </w:r>
          </w:p>
        </w:tc>
        <w:tc>
          <w:tcPr>
            <w:tcW w:w="4530" w:type="dxa"/>
          </w:tcPr>
          <w:p w14:paraId="2AC6933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项目区外南侧现状</w:t>
            </w:r>
          </w:p>
        </w:tc>
      </w:tr>
    </w:tbl>
    <w:p w14:paraId="29513178">
      <w:pPr>
        <w:pageBreakBefore w:val="0"/>
        <w:kinsoku/>
        <w:overflowPunct/>
        <w:topLinePunct w:val="0"/>
        <w:bidi w:val="0"/>
        <w:adjustRightInd w:val="0"/>
        <w:snapToGrid w:val="0"/>
        <w:spacing w:line="360" w:lineRule="auto"/>
        <w:ind w:left="0" w:leftChars="0" w:right="0"/>
        <w:jc w:val="center"/>
        <w:rPr>
          <w:rFonts w:hint="default" w:ascii="Times New Roman" w:hAnsi="Times New Roman" w:eastAsia="宋体" w:cs="Times New Roman"/>
          <w:b/>
          <w:bCs/>
          <w:color w:val="000000" w:themeColor="text1"/>
          <w:sz w:val="28"/>
          <w:szCs w:val="28"/>
          <w14:textFill>
            <w14:solidFill>
              <w14:schemeClr w14:val="tx1"/>
            </w14:solidFill>
          </w14:textFill>
        </w:rPr>
      </w:pPr>
    </w:p>
    <w:p w14:paraId="2C655E9C">
      <w:pPr>
        <w:pageBreakBefore w:val="0"/>
        <w:kinsoku/>
        <w:overflowPunct/>
        <w:topLinePunct w:val="0"/>
        <w:bidi w:val="0"/>
        <w:adjustRightInd w:val="0"/>
        <w:snapToGrid w:val="0"/>
        <w:spacing w:line="360" w:lineRule="auto"/>
        <w:ind w:left="0" w:leftChars="0" w:right="0"/>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br w:type="textWrapping"/>
      </w:r>
    </w:p>
    <w:p w14:paraId="09C49630">
      <w:pPr>
        <w:pageBreakBefore w:val="0"/>
        <w:kinsoku/>
        <w:overflowPunct/>
        <w:topLinePunct w:val="0"/>
        <w:bidi w:val="0"/>
        <w:adjustRightInd w:val="0"/>
        <w:snapToGrid w:val="0"/>
        <w:spacing w:line="360" w:lineRule="auto"/>
        <w:ind w:left="0" w:leftChars="0" w:right="0"/>
        <w:jc w:val="center"/>
        <w:rPr>
          <w:rFonts w:hint="default" w:ascii="Times New Roman" w:hAnsi="Times New Roman" w:eastAsia="宋体" w:cs="Times New Roman"/>
          <w:b/>
          <w:bCs/>
          <w:color w:val="000000" w:themeColor="text1"/>
          <w:sz w:val="28"/>
          <w:szCs w:val="28"/>
          <w14:textFill>
            <w14:solidFill>
              <w14:schemeClr w14:val="tx1"/>
            </w14:solidFill>
          </w14:textFill>
        </w:rPr>
      </w:pPr>
    </w:p>
    <w:p w14:paraId="3517C112">
      <w:pPr>
        <w:pageBreakBefore w:val="0"/>
        <w:kinsoku/>
        <w:overflowPunct/>
        <w:topLinePunct w:val="0"/>
        <w:bidi w:val="0"/>
        <w:adjustRightInd w:val="0"/>
        <w:snapToGrid w:val="0"/>
        <w:spacing w:line="360" w:lineRule="auto"/>
        <w:ind w:left="0" w:leftChars="0" w:right="0"/>
        <w:jc w:val="center"/>
        <w:rPr>
          <w:rFonts w:hint="default" w:ascii="Times New Roman" w:hAnsi="Times New Roman" w:eastAsia="宋体" w:cs="Times New Roman"/>
          <w:b/>
          <w:bCs/>
          <w:color w:val="000000" w:themeColor="text1"/>
          <w:sz w:val="28"/>
          <w:szCs w:val="28"/>
          <w14:textFill>
            <w14:solidFill>
              <w14:schemeClr w14:val="tx1"/>
            </w14:solidFill>
          </w14:textFill>
        </w:rPr>
      </w:pPr>
    </w:p>
    <w:p w14:paraId="5BFD4D5F">
      <w:pPr>
        <w:pageBreakBefore w:val="0"/>
        <w:kinsoku/>
        <w:overflowPunct/>
        <w:topLinePunct w:val="0"/>
        <w:bidi w:val="0"/>
        <w:adjustRightInd w:val="0"/>
        <w:snapToGrid w:val="0"/>
        <w:spacing w:line="360" w:lineRule="auto"/>
        <w:ind w:left="0" w:leftChars="0" w:right="0"/>
        <w:jc w:val="center"/>
        <w:rPr>
          <w:rFonts w:hint="default" w:ascii="Times New Roman" w:hAnsi="Times New Roman" w:eastAsia="宋体" w:cs="Times New Roman"/>
          <w:b/>
          <w:bCs/>
          <w:color w:val="000000" w:themeColor="text1"/>
          <w:sz w:val="28"/>
          <w:szCs w:val="28"/>
          <w14:textFill>
            <w14:solidFill>
              <w14:schemeClr w14:val="tx1"/>
            </w14:solidFill>
          </w14:textFill>
        </w:rPr>
      </w:pPr>
    </w:p>
    <w:p w14:paraId="392F69FB">
      <w:pPr>
        <w:pageBreakBefore w:val="0"/>
        <w:kinsoku/>
        <w:overflowPunct/>
        <w:topLinePunct w:val="0"/>
        <w:bidi w:val="0"/>
        <w:adjustRightInd w:val="0"/>
        <w:snapToGrid w:val="0"/>
        <w:spacing w:line="360" w:lineRule="auto"/>
        <w:ind w:left="0" w:leftChars="0" w:right="0"/>
        <w:jc w:val="both"/>
        <w:rPr>
          <w:rFonts w:hint="default" w:ascii="Times New Roman" w:hAnsi="Times New Roman" w:eastAsia="宋体" w:cs="Times New Roman"/>
          <w:b/>
          <w:bCs/>
          <w:color w:val="000000" w:themeColor="text1"/>
          <w:sz w:val="28"/>
          <w:szCs w:val="28"/>
          <w14:textFill>
            <w14:solidFill>
              <w14:schemeClr w14:val="tx1"/>
            </w14:solidFill>
          </w14:textFill>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0E17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544FE5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710180" cy="1806575"/>
                  <wp:effectExtent l="0" t="0" r="13970" b="3175"/>
                  <wp:docPr id="15" name="图片 15" descr="DJI_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JI_0145"/>
                          <pic:cNvPicPr>
                            <a:picLocks noChangeAspect="1"/>
                          </pic:cNvPicPr>
                        </pic:nvPicPr>
                        <pic:blipFill>
                          <a:blip r:embed="rId13"/>
                          <a:stretch>
                            <a:fillRect/>
                          </a:stretch>
                        </pic:blipFill>
                        <pic:spPr>
                          <a:xfrm>
                            <a:off x="0" y="0"/>
                            <a:ext cx="2710180" cy="1806575"/>
                          </a:xfrm>
                          <a:prstGeom prst="rect">
                            <a:avLst/>
                          </a:prstGeom>
                        </pic:spPr>
                      </pic:pic>
                    </a:graphicData>
                  </a:graphic>
                </wp:inline>
              </w:drawing>
            </w:r>
          </w:p>
        </w:tc>
        <w:tc>
          <w:tcPr>
            <w:tcW w:w="4530" w:type="dxa"/>
          </w:tcPr>
          <w:p w14:paraId="04FE453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710180" cy="1806575"/>
                  <wp:effectExtent l="0" t="0" r="13970" b="3175"/>
                  <wp:docPr id="8" name="图片 8" descr="DJI_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JI_0143"/>
                          <pic:cNvPicPr>
                            <a:picLocks noChangeAspect="1"/>
                          </pic:cNvPicPr>
                        </pic:nvPicPr>
                        <pic:blipFill>
                          <a:blip r:embed="rId14"/>
                          <a:stretch>
                            <a:fillRect/>
                          </a:stretch>
                        </pic:blipFill>
                        <pic:spPr>
                          <a:xfrm>
                            <a:off x="0" y="0"/>
                            <a:ext cx="2710180" cy="1806575"/>
                          </a:xfrm>
                          <a:prstGeom prst="rect">
                            <a:avLst/>
                          </a:prstGeom>
                        </pic:spPr>
                      </pic:pic>
                    </a:graphicData>
                  </a:graphic>
                </wp:inline>
              </w:drawing>
            </w:r>
          </w:p>
        </w:tc>
      </w:tr>
      <w:tr w14:paraId="0ABF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00F9571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项目区外西侧现状</w:t>
            </w:r>
          </w:p>
        </w:tc>
        <w:tc>
          <w:tcPr>
            <w:tcW w:w="4530" w:type="dxa"/>
          </w:tcPr>
          <w:p w14:paraId="5D46938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项目区外东侧现状</w:t>
            </w:r>
          </w:p>
        </w:tc>
      </w:tr>
      <w:tr w14:paraId="62BD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58874474">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692400" cy="2019300"/>
                  <wp:effectExtent l="0" t="0" r="12700" b="0"/>
                  <wp:docPr id="21" name="图片 21" descr="IMG_20251209_14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1209_142431"/>
                          <pic:cNvPicPr>
                            <a:picLocks noChangeAspect="1"/>
                          </pic:cNvPicPr>
                        </pic:nvPicPr>
                        <pic:blipFill>
                          <a:blip r:embed="rId15"/>
                          <a:stretch>
                            <a:fillRect/>
                          </a:stretch>
                        </pic:blipFill>
                        <pic:spPr>
                          <a:xfrm>
                            <a:off x="0" y="0"/>
                            <a:ext cx="2692400" cy="2019300"/>
                          </a:xfrm>
                          <a:prstGeom prst="rect">
                            <a:avLst/>
                          </a:prstGeom>
                        </pic:spPr>
                      </pic:pic>
                    </a:graphicData>
                  </a:graphic>
                </wp:inline>
              </w:drawing>
            </w:r>
          </w:p>
        </w:tc>
        <w:tc>
          <w:tcPr>
            <w:tcW w:w="4530" w:type="dxa"/>
          </w:tcPr>
          <w:p w14:paraId="5313CB0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692400" cy="2019300"/>
                  <wp:effectExtent l="0" t="0" r="12700" b="0"/>
                  <wp:docPr id="23" name="图片 23" descr="IMG_20251209_14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1209_142408"/>
                          <pic:cNvPicPr>
                            <a:picLocks noChangeAspect="1"/>
                          </pic:cNvPicPr>
                        </pic:nvPicPr>
                        <pic:blipFill>
                          <a:blip r:embed="rId16"/>
                          <a:stretch>
                            <a:fillRect/>
                          </a:stretch>
                        </pic:blipFill>
                        <pic:spPr>
                          <a:xfrm>
                            <a:off x="0" y="0"/>
                            <a:ext cx="2692400" cy="2019300"/>
                          </a:xfrm>
                          <a:prstGeom prst="rect">
                            <a:avLst/>
                          </a:prstGeom>
                        </pic:spPr>
                      </pic:pic>
                    </a:graphicData>
                  </a:graphic>
                </wp:inline>
              </w:drawing>
            </w:r>
          </w:p>
        </w:tc>
      </w:tr>
      <w:tr w14:paraId="33C7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0A3B6B6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工程师现场踏勘一</w:t>
            </w:r>
          </w:p>
        </w:tc>
        <w:tc>
          <w:tcPr>
            <w:tcW w:w="4530" w:type="dxa"/>
          </w:tcPr>
          <w:p w14:paraId="73DFFF4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工程师现场踏勘二</w:t>
            </w:r>
          </w:p>
        </w:tc>
      </w:tr>
    </w:tbl>
    <w:p w14:paraId="61F63C1B">
      <w:pPr>
        <w:pageBreakBefore w:val="0"/>
        <w:kinsoku/>
        <w:overflowPunct/>
        <w:topLinePunct w:val="0"/>
        <w:bidi w:val="0"/>
        <w:adjustRightInd w:val="0"/>
        <w:snapToGrid w:val="0"/>
        <w:spacing w:line="360" w:lineRule="auto"/>
        <w:ind w:left="0" w:leftChars="0" w:right="0"/>
        <w:jc w:val="center"/>
        <w:rPr>
          <w:rFonts w:hint="default" w:ascii="Times New Roman" w:hAnsi="Times New Roman" w:eastAsia="宋体" w:cs="Times New Roman"/>
          <w:b/>
          <w:bCs/>
          <w:color w:val="000000" w:themeColor="text1"/>
          <w:sz w:val="28"/>
          <w:szCs w:val="28"/>
          <w14:textFill>
            <w14:solidFill>
              <w14:schemeClr w14:val="tx1"/>
            </w14:solidFill>
          </w14:textFill>
        </w:rPr>
      </w:pPr>
    </w:p>
    <w:p w14:paraId="5556A118">
      <w:pPr>
        <w:pageBreakBefore w:val="0"/>
        <w:kinsoku/>
        <w:overflowPunct/>
        <w:topLinePunct w:val="0"/>
        <w:bidi w:val="0"/>
        <w:adjustRightInd w:val="0"/>
        <w:snapToGrid w:val="0"/>
        <w:spacing w:line="360" w:lineRule="auto"/>
        <w:ind w:left="0" w:leftChars="0" w:right="0"/>
        <w:jc w:val="both"/>
        <w:rPr>
          <w:rFonts w:hint="default" w:ascii="Times New Roman" w:hAnsi="Times New Roman" w:eastAsia="宋体" w:cs="Times New Roman"/>
          <w:b/>
          <w:bCs/>
          <w:color w:val="000000" w:themeColor="text1"/>
          <w:sz w:val="28"/>
          <w:szCs w:val="28"/>
          <w14:textFill>
            <w14:solidFill>
              <w14:schemeClr w14:val="tx1"/>
            </w14:solidFill>
          </w14:textFill>
        </w:rPr>
      </w:pPr>
    </w:p>
    <w:p w14:paraId="305EEBF3">
      <w:pPr>
        <w:pageBreakBefore w:val="0"/>
        <w:kinsoku/>
        <w:overflowPunct/>
        <w:topLinePunct w:val="0"/>
        <w:bidi w:val="0"/>
        <w:adjustRightInd w:val="0"/>
        <w:snapToGrid w:val="0"/>
        <w:spacing w:line="360" w:lineRule="auto"/>
        <w:ind w:left="0" w:leftChars="0" w:right="0"/>
        <w:jc w:val="both"/>
        <w:rPr>
          <w:rFonts w:hint="default" w:ascii="Times New Roman" w:hAnsi="Times New Roman" w:eastAsia="宋体" w:cs="Times New Roman"/>
          <w:b/>
          <w:bCs/>
          <w:color w:val="000000" w:themeColor="text1"/>
          <w:sz w:val="28"/>
          <w:szCs w:val="28"/>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65A4FF9">
      <w:pPr>
        <w:pageBreakBefore w:val="0"/>
        <w:kinsoku/>
        <w:overflowPunct/>
        <w:topLinePunct w:val="0"/>
        <w:bidi w:val="0"/>
        <w:adjustRightInd w:val="0"/>
        <w:snapToGrid w:val="0"/>
        <w:spacing w:line="360" w:lineRule="auto"/>
        <w:ind w:left="0" w:leftChars="0" w:right="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目  录</w:t>
      </w:r>
    </w:p>
    <w:p w14:paraId="656623F7">
      <w:pPr>
        <w:pStyle w:val="24"/>
        <w:pageBreakBefore w:val="0"/>
        <w:tabs>
          <w:tab w:val="right" w:leader="dot" w:pos="8844"/>
        </w:tabs>
        <w:kinsoku/>
        <w:overflowPunct/>
        <w:topLinePunct w:val="0"/>
        <w:bidi w:val="0"/>
        <w:spacing w:line="360" w:lineRule="auto"/>
        <w:ind w:left="0" w:leftChars="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TOC \o "1-1" \h \u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"_Toc20961"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一、建设项目基本情况</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_Toc20961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2E657E76">
      <w:pPr>
        <w:pStyle w:val="24"/>
        <w:pageBreakBefore w:val="0"/>
        <w:tabs>
          <w:tab w:val="right" w:leader="dot" w:pos="8844"/>
        </w:tabs>
        <w:kinsoku/>
        <w:overflowPunct/>
        <w:topLinePunct w:val="0"/>
        <w:bidi w:val="0"/>
        <w:spacing w:line="360" w:lineRule="auto"/>
        <w:ind w:left="0" w:leftChars="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"_Toc1587"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二、建设项目工程分析</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_Toc1587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22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51BF5EA2">
      <w:pPr>
        <w:pStyle w:val="24"/>
        <w:pageBreakBefore w:val="0"/>
        <w:tabs>
          <w:tab w:val="right" w:leader="dot" w:pos="8844"/>
        </w:tabs>
        <w:kinsoku/>
        <w:overflowPunct/>
        <w:topLinePunct w:val="0"/>
        <w:bidi w:val="0"/>
        <w:spacing w:line="360" w:lineRule="auto"/>
        <w:ind w:left="0" w:leftChars="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"_Toc7404"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三、区域环境质量现状、环境保护目标及评价标准</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_Toc7404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36</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66ECCE55">
      <w:pPr>
        <w:pStyle w:val="24"/>
        <w:pageBreakBefore w:val="0"/>
        <w:tabs>
          <w:tab w:val="right" w:leader="dot" w:pos="8844"/>
        </w:tabs>
        <w:kinsoku/>
        <w:overflowPunct/>
        <w:topLinePunct w:val="0"/>
        <w:bidi w:val="0"/>
        <w:spacing w:line="360" w:lineRule="auto"/>
        <w:ind w:left="0" w:leftChars="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"_Toc6112"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四、主要环境影响和保护措施</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_Toc6112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46</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52E38366">
      <w:pPr>
        <w:pStyle w:val="24"/>
        <w:pageBreakBefore w:val="0"/>
        <w:tabs>
          <w:tab w:val="right" w:leader="dot" w:pos="8844"/>
        </w:tabs>
        <w:kinsoku/>
        <w:overflowPunct/>
        <w:topLinePunct w:val="0"/>
        <w:bidi w:val="0"/>
        <w:spacing w:line="360" w:lineRule="auto"/>
        <w:ind w:left="0" w:leftChars="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"_Toc6939"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五、环境保护措施监督检查清单</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_Toc6939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92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47C25B25">
      <w:pPr>
        <w:pStyle w:val="24"/>
        <w:pageBreakBefore w:val="0"/>
        <w:tabs>
          <w:tab w:val="right" w:leader="dot" w:pos="8844"/>
        </w:tabs>
        <w:kinsoku/>
        <w:overflowPunct/>
        <w:topLinePunct w:val="0"/>
        <w:bidi w:val="0"/>
        <w:spacing w:line="360" w:lineRule="auto"/>
        <w:ind w:left="0" w:leftChars="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"_Toc24787"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六、结论</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_Toc24787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95</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21794E53">
      <w:pPr>
        <w:pStyle w:val="24"/>
        <w:pageBreakBefore w:val="0"/>
        <w:tabs>
          <w:tab w:val="right" w:leader="dot" w:pos="8844"/>
        </w:tabs>
        <w:kinsoku/>
        <w:overflowPunct/>
        <w:topLinePunct w:val="0"/>
        <w:bidi w:val="0"/>
        <w:spacing w:line="360" w:lineRule="auto"/>
        <w:ind w:left="0" w:leftChars="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"_Toc24156"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附表</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_Toc24156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96</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7D763889">
      <w:pPr>
        <w:pStyle w:val="2"/>
        <w:pageBreakBefore w:val="0"/>
        <w:kinsoku/>
        <w:overflowPunct/>
        <w:topLinePunct w:val="0"/>
        <w:bidi w:val="0"/>
        <w:spacing w:after="0"/>
        <w:ind w:left="0" w:leftChars="0" w:right="0"/>
        <w:rPr>
          <w:rFonts w:hint="default" w:ascii="Times New Roman" w:hAnsi="Times New Roman" w:eastAsia="宋体" w:cs="Times New Roman"/>
          <w:bCs/>
          <w:color w:val="000000" w:themeColor="text1"/>
          <w:sz w:val="24"/>
          <w:szCs w:val="24"/>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p>
    <w:p w14:paraId="0E0A345C">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附件</w:t>
      </w:r>
    </w:p>
    <w:p w14:paraId="41FB6CB6">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附件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    委托书</w:t>
      </w:r>
    </w:p>
    <w:p w14:paraId="6331561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附件2    备案证</w:t>
      </w:r>
    </w:p>
    <w:p w14:paraId="3E731CF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附件3    营业执照</w:t>
      </w:r>
    </w:p>
    <w:p w14:paraId="103A8E43">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附件4    与园区管委会-投资协议</w:t>
      </w:r>
    </w:p>
    <w:p w14:paraId="3F4E7BF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附件5    租地协议</w:t>
      </w:r>
    </w:p>
    <w:p w14:paraId="6062ECC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附件6    云南红塔产业园区规划环评审查意见</w:t>
      </w:r>
    </w:p>
    <w:p w14:paraId="775EB0A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附件7    管控单元分析结果</w:t>
      </w:r>
    </w:p>
    <w:p w14:paraId="0710DD94">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附件8    油墨-安全技术说明书</w:t>
      </w:r>
    </w:p>
    <w:p w14:paraId="1F5C9C5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附件9    无溶剂聚氨酯胶粘剂-安全技术说明书</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br w:type="textWrapping"/>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附件10   油墨清洗剂-安全技术说明书</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br w:type="textWrapping"/>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附件11   稀释剂乙酸丙酯-安全技术说明书</w:t>
      </w:r>
    </w:p>
    <w:p w14:paraId="2897155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附件12   引用现状监测报告</w:t>
      </w:r>
    </w:p>
    <w:p w14:paraId="43A7ABDD">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附件13 </w:t>
      </w:r>
      <w:r>
        <w:rPr>
          <w:rFonts w:hint="eastAsia"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环评资料确认清单</w:t>
      </w:r>
    </w:p>
    <w:p w14:paraId="37C0634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   进度表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br w:type="textWrapping"/>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   三级审核单</w:t>
      </w:r>
    </w:p>
    <w:p w14:paraId="546187D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   项目技术合同</w:t>
      </w:r>
    </w:p>
    <w:p w14:paraId="5BC4953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附件17 </w:t>
      </w:r>
      <w:r>
        <w:rPr>
          <w:rFonts w:hint="eastAsia"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评审意见、签到表、修改清单</w:t>
      </w:r>
    </w:p>
    <w:p w14:paraId="52E31F1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
          <w:bCs w:val="0"/>
          <w:color w:val="000000" w:themeColor="text1"/>
          <w:sz w:val="24"/>
          <w:szCs w:val="24"/>
          <w:lang w:eastAsia="zh-CN"/>
          <w14:textFill>
            <w14:solidFill>
              <w14:schemeClr w14:val="tx1"/>
            </w14:solidFill>
          </w14:textFill>
        </w:rPr>
      </w:pPr>
    </w:p>
    <w:p w14:paraId="10D76415">
      <w:pPr>
        <w:pStyle w:val="3"/>
        <w:rPr>
          <w:rFonts w:hint="default"/>
          <w:lang w:eastAsia="zh-CN"/>
        </w:rPr>
      </w:pPr>
    </w:p>
    <w:p w14:paraId="65E684B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附图</w:t>
      </w:r>
    </w:p>
    <w:p w14:paraId="6AFC787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附图1    项目地理位置图</w:t>
      </w:r>
    </w:p>
    <w:p w14:paraId="409275C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附图2-1  平面布置图（生产厂房一层）</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br w:type="textWrapping"/>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附图2-2  平面布置图（生产厂房二层）</w:t>
      </w:r>
    </w:p>
    <w:p w14:paraId="7B1ADD7F">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附图3-1  项目</w:t>
      </w:r>
      <w:r>
        <w:rPr>
          <w:rFonts w:hint="eastAsia" w:cs="Times New Roman"/>
          <w:bCs/>
          <w:color w:val="000000" w:themeColor="text1"/>
          <w:sz w:val="24"/>
          <w:szCs w:val="24"/>
          <w:lang w:val="en-US" w:eastAsia="zh-CN"/>
          <w14:textFill>
            <w14:solidFill>
              <w14:schemeClr w14:val="tx1"/>
            </w14:solidFill>
          </w14:textFill>
        </w:rPr>
        <w:t>所在地</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水系图</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br w:type="textWrapping"/>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附图3-2  项目区周边水系图</w:t>
      </w:r>
    </w:p>
    <w:p w14:paraId="723CEDF1">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附图4    外环境关系图</w:t>
      </w:r>
    </w:p>
    <w:p w14:paraId="371832F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附图5    分区防渗图</w:t>
      </w:r>
    </w:p>
    <w:p w14:paraId="2613473E">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附图6    水文地质图</w:t>
      </w:r>
    </w:p>
    <w:p w14:paraId="40473FE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附图7    与玉溪高新技术产业开发区总体规划关系图</w:t>
      </w:r>
    </w:p>
    <w:p w14:paraId="0C99194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附图8    与星云湖绿色发展区位置关系图</w:t>
      </w:r>
    </w:p>
    <w:p w14:paraId="537B6301">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附图9    与规划环评生态保护红线关系图</w:t>
      </w:r>
    </w:p>
    <w:p w14:paraId="55F3C7CB">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p>
    <w:p w14:paraId="2FD237BC">
      <w:pPr>
        <w:pStyle w:val="2"/>
        <w:pageBreakBefore w:val="0"/>
        <w:kinsoku/>
        <w:overflowPunct/>
        <w:topLinePunct w:val="0"/>
        <w:bidi w:val="0"/>
        <w:spacing w:after="0"/>
        <w:ind w:left="0" w:leftChars="0" w:right="0"/>
        <w:rPr>
          <w:rFonts w:hint="default" w:ascii="Times New Roman" w:hAnsi="Times New Roman" w:eastAsia="宋体" w:cs="Times New Roman"/>
          <w:bCs/>
          <w:color w:val="000000" w:themeColor="text1"/>
          <w:sz w:val="24"/>
          <w:szCs w:val="24"/>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DF1FE4C">
      <w:pPr>
        <w:pStyle w:val="28"/>
        <w:pageBreakBefore w:val="0"/>
        <w:kinsoku/>
        <w:overflowPunct/>
        <w:topLinePunct w:val="0"/>
        <w:bidi w:val="0"/>
        <w:adjustRightInd w:val="0"/>
        <w:snapToGrid w:val="0"/>
        <w:spacing w:before="0" w:beforeAutospacing="0" w:after="0" w:afterAutospacing="0"/>
        <w:ind w:left="0" w:leftChars="0" w:right="0"/>
        <w:jc w:val="center"/>
        <w:outlineLvl w:val="0"/>
        <w:rPr>
          <w:rFonts w:hint="default" w:ascii="Times New Roman" w:hAnsi="Times New Roman" w:eastAsia="宋体" w:cs="Times New Roman"/>
          <w:snapToGrid w:val="0"/>
          <w:color w:val="000000" w:themeColor="text1"/>
          <w:sz w:val="32"/>
          <w:szCs w:val="32"/>
          <w14:textFill>
            <w14:solidFill>
              <w14:schemeClr w14:val="tx1"/>
            </w14:solidFill>
          </w14:textFill>
        </w:rPr>
      </w:pPr>
      <w:bookmarkStart w:id="3" w:name="_Toc20961"/>
      <w:r>
        <w:rPr>
          <w:rFonts w:hint="default" w:ascii="Times New Roman" w:hAnsi="Times New Roman" w:eastAsia="宋体" w:cs="Times New Roman"/>
          <w:b/>
          <w:bCs/>
          <w:snapToGrid w:val="0"/>
          <w:color w:val="000000" w:themeColor="text1"/>
          <w:sz w:val="32"/>
          <w:szCs w:val="32"/>
          <w14:textFill>
            <w14:solidFill>
              <w14:schemeClr w14:val="tx1"/>
            </w14:solidFill>
          </w14:textFill>
        </w:rPr>
        <w:t>一、建设项目基本情况</w:t>
      </w:r>
      <w:bookmarkEnd w:id="3"/>
    </w:p>
    <w:tbl>
      <w:tblPr>
        <w:tblStyle w:val="32"/>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83"/>
        <w:gridCol w:w="398"/>
        <w:gridCol w:w="2122"/>
        <w:gridCol w:w="1980"/>
        <w:gridCol w:w="3146"/>
      </w:tblGrid>
      <w:tr w14:paraId="27DFD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14:paraId="1D477859">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建设项目名称</w:t>
            </w:r>
          </w:p>
        </w:tc>
        <w:tc>
          <w:tcPr>
            <w:tcW w:w="7095" w:type="dxa"/>
            <w:gridSpan w:val="3"/>
            <w:vAlign w:val="center"/>
          </w:tcPr>
          <w:p w14:paraId="5CE9EEC0">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上海腾曼软包装、新能源包装材料项目</w:t>
            </w:r>
          </w:p>
        </w:tc>
      </w:tr>
      <w:tr w14:paraId="421F4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14:paraId="1FE237DA">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项目代码</w:t>
            </w:r>
          </w:p>
        </w:tc>
        <w:tc>
          <w:tcPr>
            <w:tcW w:w="7095" w:type="dxa"/>
            <w:gridSpan w:val="3"/>
            <w:vAlign w:val="center"/>
          </w:tcPr>
          <w:p w14:paraId="0405180C">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2509-530499-04-05-849103</w:t>
            </w:r>
          </w:p>
        </w:tc>
      </w:tr>
      <w:tr w14:paraId="08E53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14:paraId="0CBDEBC6">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建设单位联系人</w:t>
            </w:r>
          </w:p>
        </w:tc>
        <w:tc>
          <w:tcPr>
            <w:tcW w:w="2136" w:type="dxa"/>
            <w:vAlign w:val="center"/>
          </w:tcPr>
          <w:p w14:paraId="55C03195">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蒋杨思琦</w:t>
            </w:r>
          </w:p>
        </w:tc>
        <w:tc>
          <w:tcPr>
            <w:tcW w:w="1977" w:type="dxa"/>
            <w:vAlign w:val="center"/>
          </w:tcPr>
          <w:p w14:paraId="42D395F5">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联系方式</w:t>
            </w:r>
          </w:p>
        </w:tc>
        <w:tc>
          <w:tcPr>
            <w:tcW w:w="2982" w:type="dxa"/>
            <w:vAlign w:val="center"/>
          </w:tcPr>
          <w:p w14:paraId="604FD545">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17858917269</w:t>
            </w:r>
          </w:p>
        </w:tc>
      </w:tr>
      <w:tr w14:paraId="5EBBE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14:paraId="75C2A2D5">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建设地点</w:t>
            </w:r>
          </w:p>
        </w:tc>
        <w:tc>
          <w:tcPr>
            <w:tcW w:w="7095" w:type="dxa"/>
            <w:gridSpan w:val="3"/>
            <w:vAlign w:val="center"/>
          </w:tcPr>
          <w:p w14:paraId="725AF9D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玉溪高新区龙泉片区</w:t>
            </w:r>
            <w:r>
              <w:rPr>
                <w:rFonts w:hint="default" w:ascii="Times New Roman" w:hAnsi="Times New Roman" w:eastAsia="宋体" w:cs="Times New Roman"/>
                <w:color w:val="000000" w:themeColor="text1"/>
                <w:sz w:val="24"/>
                <w:lang w:val="en-US" w:eastAsia="zh-CN"/>
                <w14:textFill>
                  <w14:solidFill>
                    <w14:schemeClr w14:val="tx1"/>
                  </w14:solidFill>
                </w14:textFill>
              </w:rPr>
              <w:t>A5地块C2栋</w:t>
            </w:r>
          </w:p>
        </w:tc>
      </w:tr>
      <w:tr w14:paraId="46AB1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4" w:type="dxa"/>
            <w:gridSpan w:val="2"/>
            <w:tcMar>
              <w:top w:w="16" w:type="dxa"/>
              <w:left w:w="16" w:type="dxa"/>
              <w:right w:w="16" w:type="dxa"/>
            </w:tcMar>
            <w:vAlign w:val="center"/>
          </w:tcPr>
          <w:p w14:paraId="20B209E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地理坐标</w:t>
            </w:r>
          </w:p>
        </w:tc>
        <w:tc>
          <w:tcPr>
            <w:tcW w:w="7095" w:type="dxa"/>
            <w:gridSpan w:val="3"/>
            <w:vAlign w:val="center"/>
          </w:tcPr>
          <w:p w14:paraId="797BEE18">
            <w:pPr>
              <w:pageBreakBefore w:val="0"/>
              <w:kinsoku/>
              <w:overflowPunct/>
              <w:topLinePunct w:val="0"/>
              <w:bidi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东经：</w:t>
            </w:r>
            <w:r>
              <w:rPr>
                <w:rFonts w:hint="default" w:ascii="Times New Roman" w:hAnsi="Times New Roman" w:eastAsia="宋体" w:cs="Times New Roman"/>
                <w:color w:val="000000" w:themeColor="text1"/>
                <w:sz w:val="24"/>
                <w:u w:val="single"/>
                <w14:textFill>
                  <w14:solidFill>
                    <w14:schemeClr w14:val="tx1"/>
                  </w14:solidFill>
                </w14:textFill>
              </w:rPr>
              <w:t>102</w:t>
            </w:r>
            <w:r>
              <w:rPr>
                <w:rFonts w:hint="default" w:ascii="Times New Roman" w:hAnsi="Times New Roman" w:eastAsia="宋体" w:cs="Times New Roman"/>
                <w:color w:val="000000" w:themeColor="text1"/>
                <w:sz w:val="24"/>
                <w14:textFill>
                  <w14:solidFill>
                    <w14:schemeClr w14:val="tx1"/>
                  </w14:solidFill>
                </w14:textFill>
              </w:rPr>
              <w:t>度</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42</w:t>
            </w:r>
            <w:r>
              <w:rPr>
                <w:rFonts w:hint="default" w:ascii="Times New Roman" w:hAnsi="Times New Roman" w:eastAsia="宋体" w:cs="Times New Roman"/>
                <w:color w:val="000000" w:themeColor="text1"/>
                <w:sz w:val="24"/>
                <w14:textFill>
                  <w14:solidFill>
                    <w14:schemeClr w14:val="tx1"/>
                  </w14:solidFill>
                </w14:textFill>
              </w:rPr>
              <w:t>分</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55.777</w:t>
            </w:r>
            <w:r>
              <w:rPr>
                <w:rFonts w:hint="default" w:ascii="Times New Roman" w:hAnsi="Times New Roman" w:eastAsia="宋体" w:cs="Times New Roman"/>
                <w:color w:val="000000" w:themeColor="text1"/>
                <w:sz w:val="24"/>
                <w14:textFill>
                  <w14:solidFill>
                    <w14:schemeClr w14:val="tx1"/>
                  </w14:solidFill>
                </w14:textFill>
              </w:rPr>
              <w:t>秒，北纬：</w:t>
            </w:r>
            <w:r>
              <w:rPr>
                <w:rFonts w:hint="default" w:ascii="Times New Roman" w:hAnsi="Times New Roman" w:eastAsia="宋体" w:cs="Times New Roman"/>
                <w:color w:val="000000" w:themeColor="text1"/>
                <w:sz w:val="24"/>
                <w:u w:val="single"/>
                <w14:textFill>
                  <w14:solidFill>
                    <w14:schemeClr w14:val="tx1"/>
                  </w14:solidFill>
                </w14:textFill>
              </w:rPr>
              <w:t>24</w:t>
            </w:r>
            <w:r>
              <w:rPr>
                <w:rFonts w:hint="default" w:ascii="Times New Roman" w:hAnsi="Times New Roman" w:eastAsia="宋体" w:cs="Times New Roman"/>
                <w:color w:val="000000" w:themeColor="text1"/>
                <w:sz w:val="24"/>
                <w14:textFill>
                  <w14:solidFill>
                    <w14:schemeClr w14:val="tx1"/>
                  </w14:solidFill>
                </w14:textFill>
              </w:rPr>
              <w:t>度</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18</w:t>
            </w:r>
            <w:r>
              <w:rPr>
                <w:rFonts w:hint="default" w:ascii="Times New Roman" w:hAnsi="Times New Roman" w:eastAsia="宋体" w:cs="Times New Roman"/>
                <w:color w:val="000000" w:themeColor="text1"/>
                <w:sz w:val="24"/>
                <w14:textFill>
                  <w14:solidFill>
                    <w14:schemeClr w14:val="tx1"/>
                  </w14:solidFill>
                </w14:textFill>
              </w:rPr>
              <w:t>分</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28.864</w:t>
            </w:r>
            <w:r>
              <w:rPr>
                <w:rFonts w:hint="default" w:ascii="Times New Roman" w:hAnsi="Times New Roman" w:eastAsia="宋体" w:cs="Times New Roman"/>
                <w:color w:val="000000" w:themeColor="text1"/>
                <w:sz w:val="24"/>
                <w14:textFill>
                  <w14:solidFill>
                    <w14:schemeClr w14:val="tx1"/>
                  </w14:solidFill>
                </w14:textFill>
              </w:rPr>
              <w:t>秒</w:t>
            </w:r>
          </w:p>
        </w:tc>
      </w:tr>
      <w:tr w14:paraId="53498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50590360">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国民经济</w:t>
            </w:r>
          </w:p>
          <w:p w14:paraId="7368D62A">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行业类别</w:t>
            </w:r>
          </w:p>
        </w:tc>
        <w:tc>
          <w:tcPr>
            <w:tcW w:w="2136" w:type="dxa"/>
            <w:vAlign w:val="center"/>
          </w:tcPr>
          <w:p w14:paraId="7FCB774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C2319包装装潢及其他印刷</w:t>
            </w:r>
          </w:p>
        </w:tc>
        <w:tc>
          <w:tcPr>
            <w:tcW w:w="1977" w:type="dxa"/>
            <w:vAlign w:val="center"/>
          </w:tcPr>
          <w:p w14:paraId="32CAA2DC">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bookmarkStart w:id="4" w:name="_Hlk49843745"/>
            <w:r>
              <w:rPr>
                <w:rFonts w:hint="default" w:ascii="Times New Roman" w:hAnsi="Times New Roman" w:eastAsia="宋体" w:cs="Times New Roman"/>
                <w:color w:val="000000" w:themeColor="text1"/>
                <w:sz w:val="24"/>
                <w14:textFill>
                  <w14:solidFill>
                    <w14:schemeClr w14:val="tx1"/>
                  </w14:solidFill>
                </w14:textFill>
              </w:rPr>
              <w:t>建设项目</w:t>
            </w:r>
          </w:p>
          <w:p w14:paraId="364CFDF5">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行业类别</w:t>
            </w:r>
            <w:bookmarkEnd w:id="4"/>
          </w:p>
        </w:tc>
        <w:tc>
          <w:tcPr>
            <w:tcW w:w="2982" w:type="dxa"/>
            <w:vAlign w:val="center"/>
          </w:tcPr>
          <w:p w14:paraId="668DD2F1">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二十、印刷和记录媒介复制业 2339印刷231</w:t>
            </w:r>
          </w:p>
        </w:tc>
      </w:tr>
      <w:tr w14:paraId="1FB2D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4BAA9043">
            <w:pPr>
              <w:pageBreakBefore w:val="0"/>
              <w:kinsoku/>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建设性质</w:t>
            </w:r>
          </w:p>
        </w:tc>
        <w:tc>
          <w:tcPr>
            <w:tcW w:w="2136" w:type="dxa"/>
            <w:vAlign w:val="center"/>
          </w:tcPr>
          <w:p w14:paraId="0C40F507">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新建（迁建）</w:t>
            </w:r>
          </w:p>
          <w:p w14:paraId="565F57EA">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改建</w:t>
            </w:r>
          </w:p>
          <w:p w14:paraId="0242DF7B">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扩建</w:t>
            </w:r>
          </w:p>
          <w:p w14:paraId="59004AEA">
            <w:pPr>
              <w:pageBreakBefore w:val="0"/>
              <w:kinsoku/>
              <w:overflowPunct/>
              <w:topLinePunct w:val="0"/>
              <w:bidi w:val="0"/>
              <w:ind w:left="0" w:leftChars="0" w:right="0" w:rightChars="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技术改造</w:t>
            </w:r>
          </w:p>
        </w:tc>
        <w:tc>
          <w:tcPr>
            <w:tcW w:w="1977" w:type="dxa"/>
            <w:vAlign w:val="center"/>
          </w:tcPr>
          <w:p w14:paraId="318276DD">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w:t>
            </w:r>
          </w:p>
          <w:p w14:paraId="24E35617">
            <w:pPr>
              <w:pageBreakBefore w:val="0"/>
              <w:kinsoku/>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申报情形</w:t>
            </w:r>
          </w:p>
        </w:tc>
        <w:tc>
          <w:tcPr>
            <w:tcW w:w="2982" w:type="dxa"/>
            <w:vAlign w:val="center"/>
          </w:tcPr>
          <w:p w14:paraId="698C0DDF">
            <w:pPr>
              <w:pageBreakBefore w:val="0"/>
              <w:kinsoku/>
              <w:overflowPunct/>
              <w:topLinePunct w:val="0"/>
              <w:bidi w:val="0"/>
              <w:ind w:left="0" w:leftChars="0" w:right="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首次申报项目</w:t>
            </w:r>
          </w:p>
          <w:p w14:paraId="47B4FECD">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不予批准后再次申报项目</w:t>
            </w:r>
          </w:p>
          <w:p w14:paraId="27D4E209">
            <w:pPr>
              <w:pageBreakBefore w:val="0"/>
              <w:kinsoku/>
              <w:overflowPunct/>
              <w:topLinePunct w:val="0"/>
              <w:bidi w:val="0"/>
              <w:ind w:left="0" w:leftChars="0" w:right="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超五年重新审核项目</w:t>
            </w:r>
          </w:p>
          <w:p w14:paraId="792008DC">
            <w:pPr>
              <w:pageBreakBefore w:val="0"/>
              <w:kinsoku/>
              <w:overflowPunct/>
              <w:topLinePunct w:val="0"/>
              <w:bidi w:val="0"/>
              <w:ind w:left="0" w:leftChars="0" w:right="0" w:rightChars="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重大变动重新报批项目</w:t>
            </w:r>
          </w:p>
        </w:tc>
      </w:tr>
      <w:tr w14:paraId="08FE5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475025C9">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项目审批（核准/</w:t>
            </w:r>
          </w:p>
          <w:p w14:paraId="6B7B9BAD">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备案）部门</w:t>
            </w:r>
          </w:p>
        </w:tc>
        <w:tc>
          <w:tcPr>
            <w:tcW w:w="2136" w:type="dxa"/>
            <w:vAlign w:val="center"/>
          </w:tcPr>
          <w:p w14:paraId="39050D2B">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玉溪市</w:t>
            </w:r>
            <w:r>
              <w:rPr>
                <w:rFonts w:hint="default" w:ascii="Times New Roman" w:hAnsi="Times New Roman" w:eastAsia="宋体" w:cs="Times New Roman"/>
                <w:color w:val="000000" w:themeColor="text1"/>
                <w:sz w:val="24"/>
                <w:lang w:eastAsia="zh-CN"/>
                <w14:textFill>
                  <w14:solidFill>
                    <w14:schemeClr w14:val="tx1"/>
                  </w14:solidFill>
                </w14:textFill>
              </w:rPr>
              <w:t>高新技术产业开发区管理委员会</w:t>
            </w:r>
          </w:p>
        </w:tc>
        <w:tc>
          <w:tcPr>
            <w:tcW w:w="1977" w:type="dxa"/>
            <w:vAlign w:val="center"/>
          </w:tcPr>
          <w:p w14:paraId="36936D3F">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项目审批（核准/</w:t>
            </w:r>
          </w:p>
          <w:p w14:paraId="16CB8F0D">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备案）文号</w:t>
            </w:r>
          </w:p>
        </w:tc>
        <w:tc>
          <w:tcPr>
            <w:tcW w:w="2982" w:type="dxa"/>
            <w:vAlign w:val="center"/>
          </w:tcPr>
          <w:p w14:paraId="2A770A76">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玉</w:t>
            </w:r>
            <w:r>
              <w:rPr>
                <w:rFonts w:hint="default" w:ascii="Times New Roman" w:hAnsi="Times New Roman" w:eastAsia="宋体" w:cs="Times New Roman"/>
                <w:color w:val="000000" w:themeColor="text1"/>
                <w:sz w:val="24"/>
                <w:lang w:eastAsia="zh-CN"/>
                <w14:textFill>
                  <w14:solidFill>
                    <w14:schemeClr w14:val="tx1"/>
                  </w14:solidFill>
                </w14:textFill>
              </w:rPr>
              <w:t>高开委发备案</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202</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37</w:t>
            </w:r>
            <w:r>
              <w:rPr>
                <w:rFonts w:hint="default" w:ascii="Times New Roman" w:hAnsi="Times New Roman" w:eastAsia="宋体" w:cs="Times New Roman"/>
                <w:color w:val="000000" w:themeColor="text1"/>
                <w:sz w:val="24"/>
                <w14:textFill>
                  <w14:solidFill>
                    <w14:schemeClr w14:val="tx1"/>
                  </w14:solidFill>
                </w14:textFill>
              </w:rPr>
              <w:t>号</w:t>
            </w:r>
          </w:p>
        </w:tc>
      </w:tr>
      <w:tr w14:paraId="525E0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14:paraId="113C6E2E">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总投资（万元）</w:t>
            </w:r>
          </w:p>
        </w:tc>
        <w:tc>
          <w:tcPr>
            <w:tcW w:w="2136" w:type="dxa"/>
            <w:vAlign w:val="center"/>
          </w:tcPr>
          <w:p w14:paraId="3412FB5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7000</w:t>
            </w:r>
          </w:p>
        </w:tc>
        <w:tc>
          <w:tcPr>
            <w:tcW w:w="1977" w:type="dxa"/>
            <w:tcMar>
              <w:top w:w="16" w:type="dxa"/>
              <w:left w:w="16" w:type="dxa"/>
              <w:right w:w="16" w:type="dxa"/>
            </w:tcMar>
            <w:vAlign w:val="center"/>
          </w:tcPr>
          <w:p w14:paraId="3CCEF2FC">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环保投资（万元）</w:t>
            </w:r>
          </w:p>
        </w:tc>
        <w:tc>
          <w:tcPr>
            <w:tcW w:w="2982" w:type="dxa"/>
            <w:vAlign w:val="center"/>
          </w:tcPr>
          <w:p w14:paraId="0F9B464C">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244.1</w:t>
            </w:r>
          </w:p>
        </w:tc>
      </w:tr>
      <w:tr w14:paraId="0E266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4" w:type="dxa"/>
            <w:gridSpan w:val="2"/>
            <w:tcMar>
              <w:top w:w="16" w:type="dxa"/>
              <w:left w:w="16" w:type="dxa"/>
              <w:right w:w="16" w:type="dxa"/>
            </w:tcMar>
            <w:vAlign w:val="center"/>
          </w:tcPr>
          <w:p w14:paraId="42CD3CFB">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环保投资占比（%）</w:t>
            </w:r>
          </w:p>
        </w:tc>
        <w:tc>
          <w:tcPr>
            <w:tcW w:w="2136" w:type="dxa"/>
            <w:vAlign w:val="center"/>
          </w:tcPr>
          <w:p w14:paraId="48177C2D">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3.487</w:t>
            </w:r>
          </w:p>
        </w:tc>
        <w:tc>
          <w:tcPr>
            <w:tcW w:w="1977" w:type="dxa"/>
            <w:tcMar>
              <w:top w:w="16" w:type="dxa"/>
              <w:left w:w="16" w:type="dxa"/>
              <w:right w:w="16" w:type="dxa"/>
            </w:tcMar>
            <w:vAlign w:val="center"/>
          </w:tcPr>
          <w:p w14:paraId="11F3C002">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施工工期</w:t>
            </w:r>
          </w:p>
        </w:tc>
        <w:tc>
          <w:tcPr>
            <w:tcW w:w="2982" w:type="dxa"/>
            <w:vAlign w:val="center"/>
          </w:tcPr>
          <w:p w14:paraId="14920CE1">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6个月</w:t>
            </w:r>
          </w:p>
        </w:tc>
      </w:tr>
      <w:tr w14:paraId="465E1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2A591B32">
            <w:pPr>
              <w:pageBreakBefore w:val="0"/>
              <w:kinsoku/>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是否开工建设</w:t>
            </w:r>
          </w:p>
        </w:tc>
        <w:tc>
          <w:tcPr>
            <w:tcW w:w="2136" w:type="dxa"/>
            <w:vAlign w:val="center"/>
          </w:tcPr>
          <w:p w14:paraId="636414B6">
            <w:pPr>
              <w:pageBreakBefore w:val="0"/>
              <w:kinsoku/>
              <w:overflowPunct/>
              <w:topLinePunct w:val="0"/>
              <w:bidi w:val="0"/>
              <w:adjustRightInd w:val="0"/>
              <w:snapToGrid w:val="0"/>
              <w:ind w:left="0" w:leftChars="0" w:right="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否</w:t>
            </w:r>
          </w:p>
          <w:p w14:paraId="3E49B987">
            <w:pPr>
              <w:pageBreakBefore w:val="0"/>
              <w:kinsoku/>
              <w:overflowPunct/>
              <w:topLinePunct w:val="0"/>
              <w:bidi w:val="0"/>
              <w:adjustRightInd w:val="0"/>
              <w:snapToGrid w:val="0"/>
              <w:ind w:left="0" w:leftChars="0" w:right="0" w:rightChars="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是：</w:t>
            </w:r>
          </w:p>
        </w:tc>
        <w:tc>
          <w:tcPr>
            <w:tcW w:w="1977" w:type="dxa"/>
            <w:tcMar>
              <w:top w:w="16" w:type="dxa"/>
              <w:left w:w="16" w:type="dxa"/>
              <w:right w:w="16" w:type="dxa"/>
            </w:tcMar>
            <w:vAlign w:val="center"/>
          </w:tcPr>
          <w:p w14:paraId="50E3533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pacing w:val="-6"/>
                <w:sz w:val="24"/>
                <w14:textFill>
                  <w14:solidFill>
                    <w14:schemeClr w14:val="tx1"/>
                  </w14:solidFill>
                </w14:textFill>
              </w:rPr>
            </w:pPr>
            <w:r>
              <w:rPr>
                <w:rFonts w:hint="default" w:ascii="Times New Roman" w:hAnsi="Times New Roman" w:eastAsia="宋体" w:cs="Times New Roman"/>
                <w:color w:val="000000" w:themeColor="text1"/>
                <w:spacing w:val="-6"/>
                <w:sz w:val="24"/>
                <w14:textFill>
                  <w14:solidFill>
                    <w14:schemeClr w14:val="tx1"/>
                  </w14:solidFill>
                </w14:textFill>
              </w:rPr>
              <w:t>用地（用海）</w:t>
            </w:r>
          </w:p>
          <w:p w14:paraId="0F26EA26">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6"/>
                <w:sz w:val="24"/>
                <w14:textFill>
                  <w14:solidFill>
                    <w14:schemeClr w14:val="tx1"/>
                  </w14:solidFill>
                </w14:textFill>
              </w:rPr>
              <w:t>面积（m</w:t>
            </w:r>
            <w:r>
              <w:rPr>
                <w:rFonts w:hint="default" w:ascii="Times New Roman" w:hAnsi="Times New Roman" w:eastAsia="宋体" w:cs="Times New Roman"/>
                <w:color w:val="000000" w:themeColor="text1"/>
                <w:spacing w:val="-6"/>
                <w:sz w:val="24"/>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14:textFill>
                  <w14:solidFill>
                    <w14:schemeClr w14:val="tx1"/>
                  </w14:solidFill>
                </w14:textFill>
              </w:rPr>
              <w:t>）</w:t>
            </w:r>
          </w:p>
        </w:tc>
        <w:tc>
          <w:tcPr>
            <w:tcW w:w="2982" w:type="dxa"/>
            <w:vAlign w:val="center"/>
          </w:tcPr>
          <w:p w14:paraId="0D769555">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4000</w:t>
            </w:r>
          </w:p>
        </w:tc>
      </w:tr>
      <w:tr w14:paraId="0FA61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17" w:type="dxa"/>
            <w:vAlign w:val="center"/>
          </w:tcPr>
          <w:p w14:paraId="0650E885">
            <w:pPr>
              <w:pageBreakBefore w:val="0"/>
              <w:kinsoku/>
              <w:overflowPunct/>
              <w:topLinePunct w:val="0"/>
              <w:autoSpaceDE w:val="0"/>
              <w:autoSpaceDN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专项评价设置情况</w:t>
            </w:r>
          </w:p>
        </w:tc>
        <w:tc>
          <w:tcPr>
            <w:tcW w:w="7512" w:type="dxa"/>
            <w:gridSpan w:val="4"/>
            <w:vAlign w:val="center"/>
          </w:tcPr>
          <w:p w14:paraId="3148327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项目与</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建设项目环境影响报告表编制技术指南（污染影响类）（试行）》的专项评价设置原则表对照情况如下：</w:t>
            </w:r>
          </w:p>
          <w:p w14:paraId="0DCAF26D">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表1-1  项目专项评价判定表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2423"/>
              <w:gridCol w:w="3293"/>
              <w:gridCol w:w="710"/>
            </w:tblGrid>
            <w:tr w14:paraId="429C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16EED09B">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专项评价的类别</w:t>
                  </w:r>
                </w:p>
              </w:tc>
              <w:tc>
                <w:tcPr>
                  <w:tcW w:w="2379" w:type="dxa"/>
                  <w:vAlign w:val="center"/>
                </w:tcPr>
                <w:p w14:paraId="17B3389F">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设置原则</w:t>
                  </w:r>
                </w:p>
              </w:tc>
              <w:tc>
                <w:tcPr>
                  <w:tcW w:w="3234" w:type="dxa"/>
                  <w:vAlign w:val="center"/>
                </w:tcPr>
                <w:p w14:paraId="10BE22D3">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本项目情况</w:t>
                  </w:r>
                </w:p>
              </w:tc>
              <w:tc>
                <w:tcPr>
                  <w:tcW w:w="697" w:type="dxa"/>
                  <w:vAlign w:val="center"/>
                </w:tcPr>
                <w:p w14:paraId="55F1DF1C">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设置与否</w:t>
                  </w:r>
                </w:p>
              </w:tc>
            </w:tr>
            <w:tr w14:paraId="7A2D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976" w:type="dxa"/>
                  <w:vAlign w:val="center"/>
                </w:tcPr>
                <w:p w14:paraId="50A6088D">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w:t>
                  </w:r>
                </w:p>
              </w:tc>
              <w:tc>
                <w:tcPr>
                  <w:tcW w:w="2379" w:type="dxa"/>
                  <w:vAlign w:val="center"/>
                </w:tcPr>
                <w:p w14:paraId="4D68EF19">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排放废气中含有有毒有害污染物</w:t>
                  </w:r>
                  <w:r>
                    <w:rPr>
                      <w:rFonts w:hint="default" w:ascii="Times New Roman" w:hAnsi="Times New Roman" w:eastAsia="宋体" w:cs="Times New Roman"/>
                      <w:color w:val="000000" w:themeColor="text1"/>
                      <w:sz w:val="22"/>
                      <w:szCs w:val="22"/>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、二噁英、苯并芘、氰化物、氯气且厂外500m范围内有环境空气保护目标</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的建设项目</w:t>
                  </w:r>
                </w:p>
              </w:tc>
              <w:tc>
                <w:tcPr>
                  <w:tcW w:w="3234" w:type="dxa"/>
                  <w:vAlign w:val="center"/>
                </w:tcPr>
                <w:p w14:paraId="1C14BAB1">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项目排放废气主要为非甲烷总烃</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颗粒物、</w:t>
                  </w:r>
                  <w:r>
                    <w:rPr>
                      <w:rFonts w:hint="default" w:ascii="Times New Roman" w:hAnsi="Times New Roman" w:eastAsia="宋体" w:cs="Times New Roman"/>
                      <w:color w:val="000000" w:themeColor="text1"/>
                      <w:lang w:eastAsia="zh-CN"/>
                      <w14:textFill>
                        <w14:solidFill>
                          <w14:schemeClr w14:val="tx1"/>
                        </w14:solidFill>
                      </w14:textFill>
                    </w:rPr>
                    <w:t>二氧化硫、氮氧化物</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不涉及</w:t>
                  </w:r>
                  <w:r>
                    <w:rPr>
                      <w:rFonts w:hint="default" w:ascii="Times New Roman" w:hAnsi="Times New Roman" w:eastAsia="宋体" w:cs="Times New Roman"/>
                      <w:color w:val="000000" w:themeColor="text1"/>
                      <w14:textFill>
                        <w14:solidFill>
                          <w14:schemeClr w14:val="tx1"/>
                        </w14:solidFill>
                      </w14:textFill>
                    </w:rPr>
                    <w:t>排放含有毒有害污染物、二噁英、苯并</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a</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芘、氰化物、氯气等废气。</w:t>
                  </w:r>
                </w:p>
              </w:tc>
              <w:tc>
                <w:tcPr>
                  <w:tcW w:w="697" w:type="dxa"/>
                  <w:vAlign w:val="center"/>
                </w:tcPr>
                <w:p w14:paraId="6EFC9EC9">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14:paraId="436A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1C195F82">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地表水</w:t>
                  </w:r>
                </w:p>
              </w:tc>
              <w:tc>
                <w:tcPr>
                  <w:tcW w:w="2379" w:type="dxa"/>
                  <w:vAlign w:val="center"/>
                </w:tcPr>
                <w:p w14:paraId="5293D204">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新增工业废水直排建设项目（槽罐车外运污水处理厂的除外）；新增废水直排的污水集中处理厂</w:t>
                  </w:r>
                </w:p>
              </w:tc>
              <w:tc>
                <w:tcPr>
                  <w:tcW w:w="3234" w:type="dxa"/>
                  <w:vAlign w:val="center"/>
                </w:tcPr>
                <w:p w14:paraId="719EAC24">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近期由于园区污水处理厂暂未正常运行，生活污水经化粪池预处理后进入自建生活污水处理设施处理达绿化标准后用于厂区周边绿化，</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w:t>
                  </w:r>
                </w:p>
                <w:p w14:paraId="0511CAD8">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远期待园区污水处理厂正常运行后，产生的生活污水通过化粪池预处理，达到标后，排入园区市政污水管网，进入园区污水处理厂处理。</w:t>
                  </w:r>
                </w:p>
                <w:p w14:paraId="0F709EA2">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14:textFill>
                        <w14:solidFill>
                          <w14:schemeClr w14:val="tx1"/>
                        </w14:solidFill>
                      </w14:textFill>
                    </w:rPr>
                    <w:t>工业废水直排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97" w:type="dxa"/>
                  <w:vAlign w:val="center"/>
                </w:tcPr>
                <w:p w14:paraId="7A132E48">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14:paraId="6076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5D001424">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w:t>
                  </w:r>
                </w:p>
              </w:tc>
              <w:tc>
                <w:tcPr>
                  <w:tcW w:w="2379" w:type="dxa"/>
                  <w:vAlign w:val="center"/>
                </w:tcPr>
                <w:p w14:paraId="6D9F7762">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有毒有害和易燃易爆危险物质存储量超过临界量</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的建设项目</w:t>
                  </w:r>
                </w:p>
              </w:tc>
              <w:tc>
                <w:tcPr>
                  <w:tcW w:w="3234" w:type="dxa"/>
                  <w:vAlign w:val="center"/>
                </w:tcPr>
                <w:p w14:paraId="76ECA1C0">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项目涉及有毒有害和易燃易爆危险物质最大暂存量未超过临界量</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Q=</w:t>
                  </w:r>
                  <w:r>
                    <w:rPr>
                      <w:rFonts w:hint="eastAsia" w:cs="Times New Roman"/>
                      <w:color w:val="000000" w:themeColor="text1"/>
                      <w:lang w:val="en-US" w:eastAsia="zh-CN"/>
                      <w14:textFill>
                        <w14:solidFill>
                          <w14:schemeClr w14:val="tx1"/>
                        </w14:solidFill>
                      </w14:textFill>
                    </w:rPr>
                    <w:t>0.10584147</w:t>
                  </w:r>
                  <w:r>
                    <w:rPr>
                      <w:rFonts w:hint="default" w:ascii="Times New Roman" w:hAnsi="Times New Roman" w:eastAsia="宋体" w:cs="Times New Roman"/>
                      <w:color w:val="000000" w:themeColor="text1"/>
                      <w14:textFill>
                        <w14:solidFill>
                          <w14:schemeClr w14:val="tx1"/>
                        </w14:solidFill>
                      </w14:textFill>
                    </w:rPr>
                    <w:t>＜1。</w:t>
                  </w:r>
                </w:p>
              </w:tc>
              <w:tc>
                <w:tcPr>
                  <w:tcW w:w="697" w:type="dxa"/>
                  <w:vAlign w:val="center"/>
                </w:tcPr>
                <w:p w14:paraId="1760575B">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14:paraId="33DA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77A494F8">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生态</w:t>
                  </w:r>
                </w:p>
              </w:tc>
              <w:tc>
                <w:tcPr>
                  <w:tcW w:w="2379" w:type="dxa"/>
                  <w:vAlign w:val="center"/>
                </w:tcPr>
                <w:p w14:paraId="69C8D446">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取水口下游500m范围有重要水生生物的自然产卵场、索饵场、越冬场和洄游通道的新增河道取水的污染类建设项目</w:t>
                  </w:r>
                </w:p>
              </w:tc>
              <w:tc>
                <w:tcPr>
                  <w:tcW w:w="3234" w:type="dxa"/>
                  <w:vAlign w:val="center"/>
                </w:tcPr>
                <w:p w14:paraId="0646A1E8">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不涉及</w:t>
                  </w:r>
                </w:p>
              </w:tc>
              <w:tc>
                <w:tcPr>
                  <w:tcW w:w="697" w:type="dxa"/>
                  <w:vAlign w:val="center"/>
                </w:tcPr>
                <w:p w14:paraId="37472AE3">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14:paraId="6F93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1F1F6BD8">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海洋</w:t>
                  </w:r>
                </w:p>
              </w:tc>
              <w:tc>
                <w:tcPr>
                  <w:tcW w:w="2379" w:type="dxa"/>
                  <w:vAlign w:val="center"/>
                </w:tcPr>
                <w:p w14:paraId="49C217D2">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直接向海洋排放污染物的海洋工程建设项目</w:t>
                  </w:r>
                </w:p>
              </w:tc>
              <w:tc>
                <w:tcPr>
                  <w:tcW w:w="3234" w:type="dxa"/>
                  <w:vAlign w:val="center"/>
                </w:tcPr>
                <w:p w14:paraId="6AAE222E">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不涉及</w:t>
                  </w:r>
                </w:p>
              </w:tc>
              <w:tc>
                <w:tcPr>
                  <w:tcW w:w="697" w:type="dxa"/>
                  <w:vAlign w:val="center"/>
                </w:tcPr>
                <w:p w14:paraId="75FFB833">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14:paraId="3B51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3E300081">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地下水</w:t>
                  </w:r>
                </w:p>
              </w:tc>
              <w:tc>
                <w:tcPr>
                  <w:tcW w:w="2379" w:type="dxa"/>
                  <w:vAlign w:val="center"/>
                </w:tcPr>
                <w:p w14:paraId="7C0BEF3A">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涉及集中式饮用水水源和热水、矿泉水、温泉等特殊地下水资源保护区</w:t>
                  </w:r>
                </w:p>
              </w:tc>
              <w:tc>
                <w:tcPr>
                  <w:tcW w:w="3234" w:type="dxa"/>
                  <w:vAlign w:val="center"/>
                </w:tcPr>
                <w:p w14:paraId="7217C6AC">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项目选址不涉及集中式饮用水水源和热水、矿泉水、温泉等特殊地下水资源保护区</w:t>
                  </w:r>
                </w:p>
              </w:tc>
              <w:tc>
                <w:tcPr>
                  <w:tcW w:w="697" w:type="dxa"/>
                  <w:vAlign w:val="center"/>
                </w:tcPr>
                <w:p w14:paraId="4A316A72">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14:paraId="5731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6" w:type="dxa"/>
                  <w:gridSpan w:val="4"/>
                  <w:vAlign w:val="center"/>
                </w:tcPr>
                <w:p w14:paraId="4279B545">
                  <w:pPr>
                    <w:pStyle w:val="124"/>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注：1.废气中有毒有害污染物指纳入</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有毒有害大气污染物名录》的污染物（不包括无排放标准的污染物）。2.环境空气保护目标指自然保护区、风景名胜区、居住区、文化区和农村地区中人群较集中的区域。3.临界量及其计算方法可参考</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建设项目环境风险评价技术导则》（HJ 169）附录B、附录C.</w:t>
                  </w:r>
                </w:p>
              </w:tc>
            </w:tr>
          </w:tbl>
          <w:p w14:paraId="11C93229">
            <w:pPr>
              <w:pageBreakBefore w:val="0"/>
              <w:kinsoku/>
              <w:overflowPunct/>
              <w:topLinePunct w:val="0"/>
              <w:bidi w:val="0"/>
              <w:adjustRightInd w:val="0"/>
              <w:snapToGrid w:val="0"/>
              <w:spacing w:line="356" w:lineRule="auto"/>
              <w:ind w:left="0" w:leftChars="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由上表可知，本项目不设置专项评价。</w:t>
            </w:r>
          </w:p>
        </w:tc>
      </w:tr>
      <w:tr w14:paraId="6D07F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17" w:type="dxa"/>
            <w:vAlign w:val="center"/>
          </w:tcPr>
          <w:p w14:paraId="6058EA5B">
            <w:pPr>
              <w:pageBreakBefore w:val="0"/>
              <w:kinsoku/>
              <w:overflowPunct/>
              <w:topLinePunct w:val="0"/>
              <w:autoSpaceDE w:val="0"/>
              <w:autoSpaceDN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规划情况</w:t>
            </w:r>
          </w:p>
        </w:tc>
        <w:tc>
          <w:tcPr>
            <w:tcW w:w="7512" w:type="dxa"/>
            <w:gridSpan w:val="4"/>
            <w:vAlign w:val="center"/>
          </w:tcPr>
          <w:p w14:paraId="7AE5D1C1">
            <w:pPr>
              <w:autoSpaceDE w:val="0"/>
              <w:autoSpaceDN w:val="0"/>
              <w:spacing w:line="360" w:lineRule="auto"/>
              <w:rPr>
                <w:rFonts w:hint="default" w:ascii="Times New Roman" w:hAnsi="Times New Roman" w:eastAsia="宋体" w:cs="Times New Roman"/>
                <w:b w:val="0"/>
                <w:bCs w:val="0"/>
                <w:color w:val="000000" w:themeColor="text1"/>
                <w:kern w:val="0"/>
                <w:sz w:val="24"/>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u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规划文件名称：</w:t>
            </w:r>
            <w:r>
              <w:rPr>
                <w:rFonts w:hint="default" w:ascii="Times New Roman" w:hAnsi="Times New Roman" w:eastAsia="宋体" w:cs="Times New Roman"/>
                <w:b w:val="0"/>
                <w:bCs w:val="0"/>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玉溪高新技术产业开发区总体规划修编（2021-2035年）》</w:t>
            </w:r>
          </w:p>
          <w:p w14:paraId="453193EF">
            <w:pPr>
              <w:autoSpaceDE w:val="0"/>
              <w:autoSpaceDN w:val="0"/>
              <w:spacing w:line="360" w:lineRule="auto"/>
              <w:rPr>
                <w:rFonts w:hint="default" w:ascii="Times New Roman" w:hAnsi="Times New Roman" w:eastAsia="宋体" w:cs="Times New Roman"/>
                <w:b w:val="0"/>
                <w:bCs w:val="0"/>
                <w:color w:val="000000" w:themeColor="text1"/>
                <w:kern w:val="0"/>
                <w:sz w:val="24"/>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u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审批机关：玉溪市人民政府</w:t>
            </w:r>
          </w:p>
          <w:p w14:paraId="5EC3067D">
            <w:pPr>
              <w:autoSpaceDE w:val="0"/>
              <w:autoSpaceDN w:val="0"/>
              <w:spacing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kern w:val="0"/>
                <w:sz w:val="24"/>
                <w:u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审批文件名称及文号：</w:t>
            </w:r>
            <w:r>
              <w:rPr>
                <w:rFonts w:hint="default" w:ascii="Times New Roman" w:hAnsi="Times New Roman" w:eastAsia="宋体" w:cs="Times New Roman"/>
                <w:b w:val="0"/>
                <w:bCs w:val="0"/>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玉溪市人民政府关于玉溪高新技术产业开发区总体规划修编</w:t>
            </w:r>
            <w:r>
              <w:rPr>
                <w:rFonts w:hint="default" w:ascii="Times New Roman" w:hAnsi="Times New Roman" w:eastAsia="宋体" w:cs="Times New Roman"/>
                <w:b w:val="0"/>
                <w:bCs w:val="0"/>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2021-2035年</w:t>
            </w:r>
            <w:r>
              <w:rPr>
                <w:rFonts w:hint="default" w:ascii="Times New Roman" w:hAnsi="Times New Roman" w:eastAsia="宋体" w:cs="Times New Roman"/>
                <w:b w:val="0"/>
                <w:bCs w:val="0"/>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的批复》（玉政复〔2023〕5号）。</w:t>
            </w:r>
          </w:p>
        </w:tc>
      </w:tr>
      <w:tr w14:paraId="56300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317" w:type="dxa"/>
            <w:vAlign w:val="center"/>
          </w:tcPr>
          <w:p w14:paraId="7E1731B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规划环境影响评价情况</w:t>
            </w:r>
          </w:p>
        </w:tc>
        <w:tc>
          <w:tcPr>
            <w:tcW w:w="7512" w:type="dxa"/>
            <w:gridSpan w:val="4"/>
            <w:vAlign w:val="center"/>
          </w:tcPr>
          <w:p w14:paraId="20E203DA">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1、规划环评文件名称：</w:t>
            </w:r>
            <w:r>
              <w:rPr>
                <w:rFonts w:hint="default" w:ascii="Times New Roman" w:hAnsi="Times New Roman" w:eastAsia="宋体" w:cs="Times New Roman"/>
                <w:b w:val="0"/>
                <w:bCs w:val="0"/>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玉溪高新技术产业开发区总体规划修编（2021-2035年）环境影响报告书》</w:t>
            </w:r>
            <w:r>
              <w:rPr>
                <w:rFonts w:hint="default" w:ascii="Times New Roman" w:hAnsi="Times New Roman" w:eastAsia="宋体" w:cs="Times New Roman"/>
                <w:color w:val="000000" w:themeColor="text1"/>
                <w:sz w:val="24"/>
                <w14:textFill>
                  <w14:solidFill>
                    <w14:schemeClr w14:val="tx1"/>
                  </w14:solidFill>
                </w14:textFill>
              </w:rPr>
              <w:t>；</w:t>
            </w:r>
          </w:p>
          <w:p w14:paraId="6A9DA8CB">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规划环评</w:t>
            </w:r>
            <w:r>
              <w:rPr>
                <w:rFonts w:hint="default" w:ascii="Times New Roman" w:hAnsi="Times New Roman" w:eastAsia="宋体" w:cs="Times New Roman"/>
                <w:color w:val="000000" w:themeColor="text1"/>
                <w:sz w:val="24"/>
                <w14:textFill>
                  <w14:solidFill>
                    <w14:schemeClr w14:val="tx1"/>
                  </w14:solidFill>
                </w14:textFill>
              </w:rPr>
              <w:t>审查机关：</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云南省生态环境厅</w:t>
            </w:r>
            <w:r>
              <w:rPr>
                <w:rFonts w:hint="default" w:ascii="Times New Roman" w:hAnsi="Times New Roman" w:eastAsia="宋体" w:cs="Times New Roman"/>
                <w:color w:val="000000" w:themeColor="text1"/>
                <w:sz w:val="24"/>
                <w14:textFill>
                  <w14:solidFill>
                    <w14:schemeClr w14:val="tx1"/>
                  </w14:solidFill>
                </w14:textFill>
              </w:rPr>
              <w:t>；</w:t>
            </w:r>
          </w:p>
          <w:p w14:paraId="1DC8D2AB">
            <w:pPr>
              <w:keepNext w:val="0"/>
              <w:keepLines w:val="0"/>
              <w:pageBreakBefore w:val="0"/>
              <w:widowControl w:val="0"/>
              <w:kinsoku/>
              <w:wordWrap/>
              <w:overflowPunct/>
              <w:topLinePunct w:val="0"/>
              <w:autoSpaceDE w:val="0"/>
              <w:autoSpaceDN w:val="0"/>
              <w:bidi w:val="0"/>
              <w:adjustRightInd/>
              <w:snapToGrid/>
              <w:spacing w:line="360" w:lineRule="auto"/>
              <w:ind w:left="0" w:leftChars="0" w:right="0"/>
              <w:jc w:val="both"/>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3、审查文件名称及文号：</w:t>
            </w:r>
            <w:r>
              <w:rPr>
                <w:rFonts w:hint="eastAsia" w:cs="Times New Roman"/>
                <w:b w:val="0"/>
                <w:bCs w:val="0"/>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云南省生态环境厅关于</w:t>
            </w:r>
            <w:r>
              <w:rPr>
                <w:rFonts w:hint="default" w:ascii="Times New Roman" w:hAnsi="Times New Roman" w:eastAsia="宋体" w:cs="Times New Roman"/>
                <w:b w:val="0"/>
                <w:bCs w:val="0"/>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玉溪高新技术产业开发区总体规划修编（2021-2035年）环境影响报告书》审查意见的函</w:t>
            </w:r>
            <w:r>
              <w:rPr>
                <w:rFonts w:hint="eastAsia" w:cs="Times New Roman"/>
                <w:b w:val="0"/>
                <w:bCs w:val="0"/>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云环函〔2022〕400号。</w:t>
            </w:r>
          </w:p>
        </w:tc>
      </w:tr>
      <w:tr w14:paraId="6B3B5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17" w:type="dxa"/>
            <w:vAlign w:val="center"/>
          </w:tcPr>
          <w:p w14:paraId="26BFFA68">
            <w:pPr>
              <w:pageBreakBefore w:val="0"/>
              <w:kinsoku/>
              <w:overflowPunct/>
              <w:topLinePunct w:val="0"/>
              <w:autoSpaceDE w:val="0"/>
              <w:autoSpaceDN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规划及规划环境影响评价符合性分析</w:t>
            </w:r>
          </w:p>
        </w:tc>
        <w:tc>
          <w:tcPr>
            <w:tcW w:w="7512" w:type="dxa"/>
            <w:gridSpan w:val="4"/>
            <w:vAlign w:val="center"/>
          </w:tcPr>
          <w:p w14:paraId="64134238">
            <w:pPr>
              <w:keepNext w:val="0"/>
              <w:keepLines w:val="0"/>
              <w:pageBreakBefore w:val="0"/>
              <w:widowControl/>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与《</w:t>
            </w:r>
            <w:r>
              <w:rPr>
                <w:rFonts w:hint="default" w:ascii="Times New Roman" w:hAnsi="Times New Roman" w:eastAsia="宋体" w:cs="Times New Roman"/>
                <w:b/>
                <w:bCs/>
                <w:color w:val="000000" w:themeColor="text1"/>
                <w:kern w:val="0"/>
                <w:sz w:val="24"/>
                <w:u w:val="none"/>
                <w14:textFill>
                  <w14:solidFill>
                    <w14:schemeClr w14:val="tx1"/>
                  </w14:solidFill>
                </w14:textFill>
              </w:rPr>
              <w:t>玉溪高新技术产业开发区总体规划修编（2021-2035年）</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符合性分析</w:t>
            </w:r>
          </w:p>
          <w:p w14:paraId="3CB95FE6">
            <w:pPr>
              <w:autoSpaceDE w:val="0"/>
              <w:autoSpaceDN w:val="0"/>
              <w:spacing w:line="360" w:lineRule="auto"/>
              <w:ind w:firstLine="480" w:firstLineChars="200"/>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根据</w:t>
            </w:r>
            <w:r>
              <w:rPr>
                <w:rFonts w:hint="default" w:ascii="Times New Roman" w:hAnsi="Times New Roman" w:eastAsia="宋体" w:cs="Times New Roman"/>
                <w:b w:val="0"/>
                <w:bCs w:val="0"/>
                <w:color w:val="000000" w:themeColor="text1"/>
                <w:kern w:val="0"/>
                <w:sz w:val="24"/>
                <w:szCs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玉溪高新区技术产业开发区总体规划修编（2021-2035年）》，玉溪高新技术产业开发区规划总用地面积为71.56km</w:t>
            </w:r>
            <w:r>
              <w:rPr>
                <w:rFonts w:hint="default" w:ascii="Times New Roman" w:hAnsi="Times New Roman" w:eastAsia="宋体" w:cs="Times New Roman"/>
                <w:b w:val="0"/>
                <w:bCs w:val="0"/>
                <w:color w:val="000000" w:themeColor="text1"/>
                <w:kern w:val="0"/>
                <w:sz w:val="24"/>
                <w:szCs w:val="24"/>
                <w:u w:val="none"/>
                <w:vertAlign w:val="super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，除龙泉片区位于江川区境内、双小地块位于峨山县境内，其余区域均属于红塔区辖区范围内。</w:t>
            </w:r>
          </w:p>
          <w:p w14:paraId="1CD0D1D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核心区规划总面积11.38km</w:t>
            </w:r>
            <w:r>
              <w:rPr>
                <w:rFonts w:hint="default"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，分为九龙片区及南片区两个地块；红塔片区规划总面积18.01km</w:t>
            </w:r>
            <w:r>
              <w:rPr>
                <w:rFonts w:hint="default"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分为北城卧牛山地块、北城青龙山地块、莲池地块、观音山地块、大营街地块，共五个地块；研和片区规划总面积25.16km</w:t>
            </w:r>
            <w:r>
              <w:rPr>
                <w:rFonts w:hint="default"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，分为地块一、地块二、地块三、双小地块，共四个地块；龙泉片区规划总面积17.01km</w:t>
            </w:r>
            <w:r>
              <w:rPr>
                <w:rFonts w:hint="default"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，整个片区为一个地块。</w:t>
            </w:r>
          </w:p>
          <w:p w14:paraId="07AF597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核心区：打造健康数字产城融合示范区。以高质量产城融合为发展导向，以大健康为特色，重点发展生物医药大健康和数字服务，坚持创新要素集聚，打造产城融合示范区。九龙片区承载技术研发、创业孵化、技术转移转化等功能。南片区打造健康创新产城融合示范区。重点产业为：数字经济、生物医药大健康、绿色食品、卷烟及配套。</w:t>
            </w:r>
          </w:p>
          <w:p w14:paraId="19F5E51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红塔片区：打造材料制造转型示范区。围绕高质量发展目标，坚持卷烟配套、装备制造等产业改造升级和新材料、生物医药等产业培育壮大</w:t>
            </w:r>
            <w:r>
              <w:rPr>
                <w:rFonts w:hint="eastAsia"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双轮驱动</w:t>
            </w:r>
            <w:r>
              <w:rPr>
                <w:rFonts w:hint="eastAsia"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，加快新旧动能转换，打造转型提升示范区。重点产业为：卷烟及配套、装备制造、生物医药大健康。</w:t>
            </w:r>
          </w:p>
          <w:p w14:paraId="3CD6449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研和片区：打造特色产业聚集区。重点发展数控机床制造、金属冶炼及制品加工、现代物流等领域，形成组团特色，打造全国知名的</w:t>
            </w:r>
            <w:r>
              <w:rPr>
                <w:rFonts w:hint="eastAsia"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专、精、特、新</w:t>
            </w:r>
            <w:r>
              <w:rPr>
                <w:rFonts w:hint="eastAsia"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特色产业聚集区。重点产业为：装备制造、现代物流、金属冶炼及制品加工。</w:t>
            </w:r>
          </w:p>
          <w:p w14:paraId="6AA9EE0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龙泉片区：打造绿色能源特色制造区。重点聚焦锂电池、新型储能等新能源领域，做大做强锂离子动力电池产业，推进先进的氢燃料电池动力系统、固态电池研发及产业化，发展电池及材料技术研发、成果转化、检验检测、电池回收梯次利用及材料再生利用等服务。重点产业为：锂电池、新型储能等新能源材料。</w:t>
            </w:r>
          </w:p>
          <w:p w14:paraId="515EC3E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目位于</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玉溪高新区龙泉片区</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A5地块C2栋。本项目为</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软包装、新能源包装材料项目，项目属于园区规划产业配套的包装材料加工企业，</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与园区发展定位不冲突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。项目于2025年9月3日与玉溪高新技术产业开发区管理委员会签订了投资协议，同意项目入驻。项目于2025年9月5日取得了玉溪高新技术产业开发区管理委员会</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投资项目备案证（备案文号：玉高开委发备案〔2025〕37号）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，同意项目建设。</w:t>
            </w:r>
          </w:p>
          <w:p w14:paraId="5272A45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综上，项目选址符合《玉溪高新技术产业开发区总体规划修编（2021-2035年）》中园区总体规划及产业定位和布局。</w:t>
            </w:r>
          </w:p>
          <w:p w14:paraId="67E24AB6">
            <w:pPr>
              <w:widowControl/>
              <w:spacing w:line="360" w:lineRule="auto"/>
              <w:ind w:firstLine="482"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2、与《</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玉溪高新技术产业开发区总体规划修编（2021-2035年）环境影响报告书</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及其审查意见</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符合性分析</w:t>
            </w:r>
          </w:p>
          <w:p w14:paraId="31D1C18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1-2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项目与规划环评准入要求对照分析</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7"/>
              <w:gridCol w:w="313"/>
              <w:gridCol w:w="3076"/>
              <w:gridCol w:w="2815"/>
              <w:gridCol w:w="705"/>
            </w:tblGrid>
            <w:tr w14:paraId="293B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noWrap w:val="0"/>
                  <w:vAlign w:val="center"/>
                </w:tcPr>
                <w:p w14:paraId="6A424BD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c>
                <w:tcPr>
                  <w:tcW w:w="2284" w:type="pct"/>
                  <w:gridSpan w:val="2"/>
                  <w:noWrap w:val="0"/>
                  <w:vAlign w:val="center"/>
                </w:tcPr>
                <w:p w14:paraId="643F218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14:textFill>
                        <w14:solidFill>
                          <w14:schemeClr w14:val="tx1"/>
                        </w14:solidFill>
                      </w14:textFill>
                    </w:rPr>
                    <w:t>规划环评</w:t>
                  </w:r>
                  <w:r>
                    <w:rPr>
                      <w:rFonts w:hint="default" w:ascii="Times New Roman" w:hAnsi="Times New Roman" w:eastAsia="宋体" w:cs="Times New Roman"/>
                      <w:b/>
                      <w:bCs/>
                      <w:color w:val="000000" w:themeColor="text1"/>
                      <w:kern w:val="0"/>
                      <w:sz w:val="21"/>
                      <w:szCs w:val="21"/>
                      <w:u w:val="none"/>
                      <w:lang w:eastAsia="zh-CN"/>
                      <w14:textFill>
                        <w14:solidFill>
                          <w14:schemeClr w14:val="tx1"/>
                        </w14:solidFill>
                      </w14:textFill>
                    </w:rPr>
                    <w:t>园区总体环境准入要求</w:t>
                  </w:r>
                </w:p>
              </w:tc>
              <w:tc>
                <w:tcPr>
                  <w:tcW w:w="1897" w:type="pct"/>
                  <w:noWrap w:val="0"/>
                  <w:vAlign w:val="center"/>
                </w:tcPr>
                <w:p w14:paraId="4BD0955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14:textFill>
                        <w14:solidFill>
                          <w14:schemeClr w14:val="tx1"/>
                        </w14:solidFill>
                      </w14:textFill>
                    </w:rPr>
                    <w:t>项目情况</w:t>
                  </w:r>
                </w:p>
              </w:tc>
              <w:tc>
                <w:tcPr>
                  <w:tcW w:w="475" w:type="pct"/>
                  <w:noWrap w:val="0"/>
                  <w:vAlign w:val="center"/>
                </w:tcPr>
                <w:p w14:paraId="3548EC7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14:textFill>
                        <w14:solidFill>
                          <w14:schemeClr w14:val="tx1"/>
                        </w14:solidFill>
                      </w14:textFill>
                    </w:rPr>
                    <w:t>符合性</w:t>
                  </w:r>
                </w:p>
              </w:tc>
            </w:tr>
            <w:tr w14:paraId="7C0B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7" w:hRule="atLeast"/>
                <w:jc w:val="center"/>
              </w:trPr>
              <w:tc>
                <w:tcPr>
                  <w:tcW w:w="342" w:type="pct"/>
                  <w:vMerge w:val="restart"/>
                  <w:noWrap w:val="0"/>
                  <w:vAlign w:val="center"/>
                </w:tcPr>
                <w:p w14:paraId="21C802A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总体要求</w:t>
                  </w:r>
                </w:p>
              </w:tc>
              <w:tc>
                <w:tcPr>
                  <w:tcW w:w="2284" w:type="pct"/>
                  <w:gridSpan w:val="2"/>
                  <w:noWrap w:val="0"/>
                  <w:vAlign w:val="center"/>
                </w:tcPr>
                <w:p w14:paraId="628231F8">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满足《玉溪市</w:t>
                  </w:r>
                  <w:r>
                    <w:rPr>
                      <w:rFonts w:hint="eastAsia" w:cs="Times New Roman"/>
                      <w:color w:val="000000" w:themeColor="text1"/>
                      <w:kern w:val="0"/>
                      <w:sz w:val="21"/>
                      <w:szCs w:val="21"/>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三线一单</w:t>
                  </w:r>
                  <w:r>
                    <w:rPr>
                      <w:rFonts w:hint="eastAsia" w:cs="Times New Roman"/>
                      <w:color w:val="000000" w:themeColor="text1"/>
                      <w:kern w:val="0"/>
                      <w:sz w:val="21"/>
                      <w:szCs w:val="21"/>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分区管控实施意见》</w:t>
                  </w:r>
                </w:p>
              </w:tc>
              <w:tc>
                <w:tcPr>
                  <w:tcW w:w="1897" w:type="pct"/>
                  <w:noWrap w:val="0"/>
                  <w:vAlign w:val="center"/>
                </w:tcPr>
                <w:p w14:paraId="01CC8E9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根据分析，本项目满足《玉溪市</w:t>
                  </w:r>
                  <w:r>
                    <w:rPr>
                      <w:rFonts w:hint="eastAsia" w:cs="Times New Roman"/>
                      <w:color w:val="000000" w:themeColor="text1"/>
                      <w:kern w:val="0"/>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三线一单</w:t>
                  </w:r>
                  <w:r>
                    <w:rPr>
                      <w:rFonts w:hint="eastAsia" w:cs="Times New Roman"/>
                      <w:color w:val="000000" w:themeColor="text1"/>
                      <w:kern w:val="0"/>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生态环境分区管控实施意见》中（生态保护红线、环境质量底线、资源利用上线）及</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《玉溪市生态环境局关于印发玉溪市生态环境分区管控动态更新调整方案（2023年）的通知》（玉市环〔2024〕40号）（生态环境分区管控）</w:t>
                  </w: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w:t>
                  </w:r>
                </w:p>
              </w:tc>
              <w:tc>
                <w:tcPr>
                  <w:tcW w:w="475" w:type="pct"/>
                  <w:noWrap w:val="0"/>
                  <w:vAlign w:val="center"/>
                </w:tcPr>
                <w:p w14:paraId="0D97CF9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符合</w:t>
                  </w:r>
                </w:p>
              </w:tc>
            </w:tr>
            <w:tr w14:paraId="0BFE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00B96A9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2284" w:type="pct"/>
                  <w:gridSpan w:val="2"/>
                  <w:noWrap w:val="0"/>
                  <w:vAlign w:val="center"/>
                </w:tcPr>
                <w:p w14:paraId="0A4CA30E">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满足规划区产业定位，且不属于《产业结构调整目录（2019年）》《市场准入负面清单（2022）》中限制类和淘汰类</w:t>
                  </w:r>
                </w:p>
              </w:tc>
              <w:tc>
                <w:tcPr>
                  <w:tcW w:w="1897" w:type="pct"/>
                  <w:noWrap w:val="0"/>
                  <w:vAlign w:val="center"/>
                </w:tcPr>
                <w:p w14:paraId="1E8070CF">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本项目为软包装、新能源包装材料项目，对照《产业结构调整指导目录（2024年本）》，本项目为允许类。同时，本项目设备不属于国家明令淘汰的落后设备，符合国家和云南省现行相关产业政策。</w:t>
                  </w:r>
                </w:p>
                <w:p w14:paraId="5FE3F46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项目于2025年9月5日取得了玉溪高新技术产业开发区管理委员会投资项目备案证（备案文号：玉高开委发备案〔2025〕37号），同意项目建设。</w:t>
                  </w:r>
                </w:p>
              </w:tc>
              <w:tc>
                <w:tcPr>
                  <w:tcW w:w="475" w:type="pct"/>
                  <w:noWrap w:val="0"/>
                  <w:vAlign w:val="center"/>
                </w:tcPr>
                <w:p w14:paraId="2D6F4EA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符合</w:t>
                  </w:r>
                </w:p>
              </w:tc>
            </w:tr>
            <w:tr w14:paraId="0FA0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noWrap w:val="0"/>
                  <w:vAlign w:val="center"/>
                </w:tcPr>
                <w:p w14:paraId="3818130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用地准入</w:t>
                  </w:r>
                </w:p>
              </w:tc>
              <w:tc>
                <w:tcPr>
                  <w:tcW w:w="2284" w:type="pct"/>
                  <w:gridSpan w:val="2"/>
                  <w:noWrap w:val="0"/>
                  <w:vAlign w:val="center"/>
                </w:tcPr>
                <w:p w14:paraId="1A700F1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 xml:space="preserve">用地必须符合用地类别，且不得突破 </w:t>
                  </w:r>
                </w:p>
                <w:p w14:paraId="0810710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规划用地上限，且满足本规划投资强</w:t>
                  </w:r>
                </w:p>
                <w:p w14:paraId="543F8846">
                  <w:pPr>
                    <w:keepNext w:val="0"/>
                    <w:keepLines w:val="0"/>
                    <w:pageBreakBefore w:val="0"/>
                    <w:kinsoku/>
                    <w:wordWrap/>
                    <w:overflowPunct/>
                    <w:topLinePunct w:val="0"/>
                    <w:autoSpaceDE w:val="0"/>
                    <w:autoSpaceDN w:val="0"/>
                    <w:bidi w:val="0"/>
                    <w:adjustRightInd w:val="0"/>
                    <w:snapToGrid w:val="0"/>
                    <w:ind w:firstLine="0" w:firstLineChars="0"/>
                    <w:jc w:val="both"/>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度要求</w:t>
                  </w:r>
                </w:p>
              </w:tc>
              <w:tc>
                <w:tcPr>
                  <w:tcW w:w="1897" w:type="pct"/>
                  <w:noWrap w:val="0"/>
                  <w:vAlign w:val="center"/>
                </w:tcPr>
                <w:p w14:paraId="581C818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本项目位于玉溪高新区龙泉片区，位于工业园区内，利用工业园区内现有闲置厂房进行建设，不新增占地，不涉及土地利用上线。</w:t>
                  </w:r>
                </w:p>
              </w:tc>
              <w:tc>
                <w:tcPr>
                  <w:tcW w:w="475" w:type="pct"/>
                  <w:noWrap w:val="0"/>
                  <w:vAlign w:val="center"/>
                </w:tcPr>
                <w:p w14:paraId="5C7A87B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符合</w:t>
                  </w:r>
                </w:p>
              </w:tc>
            </w:tr>
            <w:tr w14:paraId="155B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noWrap w:val="0"/>
                  <w:vAlign w:val="center"/>
                </w:tcPr>
                <w:p w14:paraId="779B295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投资准入</w:t>
                  </w:r>
                </w:p>
              </w:tc>
              <w:tc>
                <w:tcPr>
                  <w:tcW w:w="2284" w:type="pct"/>
                  <w:gridSpan w:val="2"/>
                  <w:noWrap w:val="0"/>
                  <w:vAlign w:val="center"/>
                </w:tcPr>
                <w:p w14:paraId="541839A8">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满足本规划投资准入要求</w:t>
                  </w:r>
                </w:p>
              </w:tc>
              <w:tc>
                <w:tcPr>
                  <w:tcW w:w="1897" w:type="pct"/>
                  <w:noWrap w:val="0"/>
                  <w:vAlign w:val="center"/>
                </w:tcPr>
                <w:p w14:paraId="161C594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本项目为</w:t>
                  </w: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软包装、新能源包装材料项目，项目属于园区规划产业配套的包装材料加工企业，</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与园区发展定位不冲突。</w:t>
                  </w:r>
                </w:p>
                <w:p w14:paraId="2BE7976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项目于2025年9月3日与玉溪高新技术产业开发区管理委员会签订了投资协议，同意项目入驻</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c>
                <w:tcPr>
                  <w:tcW w:w="475" w:type="pct"/>
                  <w:noWrap w:val="0"/>
                  <w:vAlign w:val="center"/>
                </w:tcPr>
                <w:p w14:paraId="36E18B7F">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符合</w:t>
                  </w:r>
                </w:p>
              </w:tc>
            </w:tr>
            <w:tr w14:paraId="2F05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noWrap w:val="0"/>
                  <w:vAlign w:val="center"/>
                </w:tcPr>
                <w:p w14:paraId="35E43E6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能耗要求</w:t>
                  </w:r>
                </w:p>
              </w:tc>
              <w:tc>
                <w:tcPr>
                  <w:tcW w:w="2284" w:type="pct"/>
                  <w:gridSpan w:val="2"/>
                  <w:noWrap w:val="0"/>
                  <w:vAlign w:val="center"/>
                </w:tcPr>
                <w:p w14:paraId="6A8A9560">
                  <w:pPr>
                    <w:keepNext w:val="0"/>
                    <w:keepLines w:val="0"/>
                    <w:widowControl/>
                    <w:suppressLineNumbers w:val="0"/>
                    <w:jc w:val="left"/>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新建项目单位GDP能源消耗降幅，在全市五年规划期末降幅的基础上再降10%，且需满足《工业重点领域能效标杆水平和基准水平（2021年版）》标杆水平</w:t>
                  </w:r>
                </w:p>
              </w:tc>
              <w:tc>
                <w:tcPr>
                  <w:tcW w:w="1897" w:type="pct"/>
                  <w:noWrap w:val="0"/>
                  <w:vAlign w:val="center"/>
                </w:tcPr>
                <w:p w14:paraId="7EBC292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本项目采用清洁能源电能、天然气，不属于高耗能项目</w:t>
                  </w:r>
                </w:p>
              </w:tc>
              <w:tc>
                <w:tcPr>
                  <w:tcW w:w="475" w:type="pct"/>
                  <w:noWrap w:val="0"/>
                  <w:vAlign w:val="center"/>
                </w:tcPr>
                <w:p w14:paraId="3A6913C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符合</w:t>
                  </w:r>
                </w:p>
              </w:tc>
            </w:tr>
            <w:tr w14:paraId="111B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noWrap w:val="0"/>
                  <w:vAlign w:val="center"/>
                </w:tcPr>
                <w:p w14:paraId="26AD3037">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水耗要求</w:t>
                  </w:r>
                </w:p>
              </w:tc>
              <w:tc>
                <w:tcPr>
                  <w:tcW w:w="2284" w:type="pct"/>
                  <w:gridSpan w:val="2"/>
                  <w:noWrap w:val="0"/>
                  <w:vAlign w:val="center"/>
                </w:tcPr>
                <w:p w14:paraId="240CDCE6">
                  <w:pPr>
                    <w:keepNext w:val="0"/>
                    <w:keepLines w:val="0"/>
                    <w:widowControl/>
                    <w:suppressLineNumbers w:val="0"/>
                    <w:jc w:val="left"/>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满足云南省水平线，重点行业还需满足清洁生产要求；近期万元工业增加值水耗不高于32m</w:t>
                  </w:r>
                  <w:r>
                    <w:rPr>
                      <w:rFonts w:hint="default" w:ascii="Times New Roman" w:hAnsi="Times New Roman" w:eastAsia="宋体" w:cs="Times New Roman"/>
                      <w:b w:val="0"/>
                      <w:bCs w:val="0"/>
                      <w:color w:val="000000" w:themeColor="text1"/>
                      <w:sz w:val="21"/>
                      <w:szCs w:val="21"/>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，远期不高于26m</w:t>
                  </w:r>
                  <w:r>
                    <w:rPr>
                      <w:rFonts w:hint="default" w:ascii="Times New Roman" w:hAnsi="Times New Roman" w:eastAsia="宋体" w:cs="Times New Roman"/>
                      <w:b w:val="0"/>
                      <w:bCs w:val="0"/>
                      <w:color w:val="000000" w:themeColor="text1"/>
                      <w:sz w:val="21"/>
                      <w:szCs w:val="21"/>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1897" w:type="pct"/>
                  <w:noWrap w:val="0"/>
                  <w:vAlign w:val="center"/>
                </w:tcPr>
                <w:p w14:paraId="24F9CBF8">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本项目不属于高耗水企业，用水由市政管网提供。</w:t>
                  </w:r>
                </w:p>
              </w:tc>
              <w:tc>
                <w:tcPr>
                  <w:tcW w:w="475" w:type="pct"/>
                  <w:noWrap w:val="0"/>
                  <w:vAlign w:val="center"/>
                </w:tcPr>
                <w:p w14:paraId="16040F5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符合</w:t>
                  </w:r>
                </w:p>
              </w:tc>
            </w:tr>
            <w:tr w14:paraId="1CBE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noWrap w:val="0"/>
                  <w:vAlign w:val="center"/>
                </w:tcPr>
                <w:p w14:paraId="5DAAB8D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碳排放准入</w:t>
                  </w:r>
                </w:p>
              </w:tc>
              <w:tc>
                <w:tcPr>
                  <w:tcW w:w="2284" w:type="pct"/>
                  <w:gridSpan w:val="2"/>
                  <w:noWrap w:val="0"/>
                  <w:vAlign w:val="center"/>
                </w:tcPr>
                <w:p w14:paraId="47925792">
                  <w:pPr>
                    <w:keepNext w:val="0"/>
                    <w:keepLines w:val="0"/>
                    <w:widowControl/>
                    <w:suppressLineNumbers w:val="0"/>
                    <w:jc w:val="left"/>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规划末期碳排放总量不超过959.94万吨，一般项目近期单位工业增加值碳排放强度低于玉溪市平均工业碳排放强度要求；金属冶炼行业满足行业达峰规划相关要求。</w:t>
                  </w:r>
                </w:p>
              </w:tc>
              <w:tc>
                <w:tcPr>
                  <w:tcW w:w="1897" w:type="pct"/>
                  <w:noWrap w:val="0"/>
                  <w:vAlign w:val="center"/>
                </w:tcPr>
                <w:p w14:paraId="1BB0188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本项目不属于高排放项目，本项目排放废气经采取治理措施处理后能够达标排放。</w:t>
                  </w:r>
                </w:p>
              </w:tc>
              <w:tc>
                <w:tcPr>
                  <w:tcW w:w="475" w:type="pct"/>
                  <w:noWrap w:val="0"/>
                  <w:vAlign w:val="center"/>
                </w:tcPr>
                <w:p w14:paraId="6181F1C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t>符合</w:t>
                  </w:r>
                </w:p>
              </w:tc>
            </w:tr>
            <w:tr w14:paraId="7950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1" w:hRule="atLeast"/>
                <w:jc w:val="center"/>
              </w:trPr>
              <w:tc>
                <w:tcPr>
                  <w:tcW w:w="342" w:type="pct"/>
                  <w:noWrap w:val="0"/>
                  <w:vAlign w:val="center"/>
                </w:tcPr>
                <w:p w14:paraId="1927952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c>
                <w:tcPr>
                  <w:tcW w:w="2284" w:type="pct"/>
                  <w:gridSpan w:val="2"/>
                  <w:noWrap w:val="0"/>
                  <w:vAlign w:val="center"/>
                </w:tcPr>
                <w:p w14:paraId="18739AD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bCs/>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14:textFill>
                        <w14:solidFill>
                          <w14:schemeClr w14:val="tx1"/>
                        </w14:solidFill>
                      </w14:textFill>
                    </w:rPr>
                    <w:t>规划环评</w:t>
                  </w:r>
                  <w:r>
                    <w:rPr>
                      <w:rFonts w:hint="default" w:ascii="Times New Roman" w:hAnsi="Times New Roman" w:eastAsia="宋体" w:cs="Times New Roman"/>
                      <w:b/>
                      <w:bCs/>
                      <w:color w:val="000000" w:themeColor="text1"/>
                      <w:kern w:val="0"/>
                      <w:sz w:val="21"/>
                      <w:szCs w:val="21"/>
                      <w:u w:val="none"/>
                      <w:lang w:eastAsia="zh-CN"/>
                      <w14:textFill>
                        <w14:solidFill>
                          <w14:schemeClr w14:val="tx1"/>
                        </w14:solidFill>
                      </w14:textFill>
                    </w:rPr>
                    <w:t>园区生态环境准入要求</w:t>
                  </w:r>
                </w:p>
              </w:tc>
              <w:tc>
                <w:tcPr>
                  <w:tcW w:w="1897" w:type="pct"/>
                  <w:noWrap w:val="0"/>
                  <w:vAlign w:val="center"/>
                </w:tcPr>
                <w:p w14:paraId="7CAF9FE5">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bCs/>
                      <w:color w:val="000000" w:themeColor="text1"/>
                      <w:kern w:val="0"/>
                      <w:sz w:val="21"/>
                      <w:szCs w:val="21"/>
                      <w:u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14:textFill>
                        <w14:solidFill>
                          <w14:schemeClr w14:val="tx1"/>
                        </w14:solidFill>
                      </w14:textFill>
                    </w:rPr>
                    <w:t>项目情况</w:t>
                  </w:r>
                </w:p>
              </w:tc>
              <w:tc>
                <w:tcPr>
                  <w:tcW w:w="475" w:type="pct"/>
                  <w:noWrap w:val="0"/>
                  <w:vAlign w:val="center"/>
                </w:tcPr>
                <w:p w14:paraId="0DD22A77">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bCs/>
                      <w:color w:val="000000" w:themeColor="text1"/>
                      <w:kern w:val="0"/>
                      <w:sz w:val="21"/>
                      <w:szCs w:val="21"/>
                      <w:u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14:textFill>
                        <w14:solidFill>
                          <w14:schemeClr w14:val="tx1"/>
                        </w14:solidFill>
                      </w14:textFill>
                    </w:rPr>
                    <w:t>符合性</w:t>
                  </w:r>
                </w:p>
              </w:tc>
            </w:tr>
            <w:tr w14:paraId="7C89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restart"/>
                  <w:noWrap w:val="0"/>
                  <w:vAlign w:val="center"/>
                </w:tcPr>
                <w:p w14:paraId="2F27976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龙泉片区</w:t>
                  </w:r>
                </w:p>
              </w:tc>
              <w:tc>
                <w:tcPr>
                  <w:tcW w:w="211" w:type="pct"/>
                  <w:vMerge w:val="restart"/>
                  <w:noWrap w:val="0"/>
                  <w:vAlign w:val="center"/>
                </w:tcPr>
                <w:p w14:paraId="169E14D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空间布局</w:t>
                  </w:r>
                </w:p>
              </w:tc>
              <w:tc>
                <w:tcPr>
                  <w:tcW w:w="2072" w:type="pct"/>
                  <w:noWrap w:val="0"/>
                  <w:vAlign w:val="center"/>
                </w:tcPr>
                <w:p w14:paraId="70CAE815">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1、禁止不符合产业政策、不符合片区产业定位企业入驻。</w:t>
                  </w:r>
                </w:p>
                <w:p w14:paraId="6AD63FE7">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1897" w:type="pct"/>
                  <w:noWrap w:val="0"/>
                  <w:vAlign w:val="center"/>
                </w:tcPr>
                <w:p w14:paraId="5478EC2D">
                  <w:pPr>
                    <w:keepNext w:val="0"/>
                    <w:keepLines w:val="0"/>
                    <w:pageBreakBefore w:val="0"/>
                    <w:kinsoku/>
                    <w:wordWrap/>
                    <w:overflowPunct/>
                    <w:topLinePunct w:val="0"/>
                    <w:autoSpaceDE w:val="0"/>
                    <w:autoSpaceDN w:val="0"/>
                    <w:bidi w:val="0"/>
                    <w:adjustRightInd w:val="0"/>
                    <w:snapToGrid w:val="0"/>
                    <w:ind w:firstLine="0" w:firstLineChars="0"/>
                    <w:jc w:val="both"/>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项目于2025年9月3日与玉溪高新技术产业开发区管理委员会签订了投资协议，同意项目入驻。项目于2025年9月5日取得了玉溪高新技术产业开发区管理委员会投资项目备案证（备案文号：玉高开委发备案〔2025〕37号），同意项目建设。</w:t>
                  </w:r>
                </w:p>
              </w:tc>
              <w:tc>
                <w:tcPr>
                  <w:tcW w:w="475" w:type="pct"/>
                  <w:noWrap w:val="0"/>
                  <w:vAlign w:val="center"/>
                </w:tcPr>
                <w:p w14:paraId="2B6A16C5">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7D33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6B922A0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211" w:type="pct"/>
                  <w:vMerge w:val="continue"/>
                  <w:noWrap w:val="0"/>
                  <w:vAlign w:val="center"/>
                </w:tcPr>
                <w:p w14:paraId="3FC90D8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79A0DA73">
                  <w:pPr>
                    <w:keepNext w:val="0"/>
                    <w:keepLines w:val="0"/>
                    <w:pageBreakBefore w:val="0"/>
                    <w:widowControl/>
                    <w:suppressLineNumbers w:val="0"/>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2.禁止布局重大环境风险源。</w:t>
                  </w:r>
                </w:p>
              </w:tc>
              <w:tc>
                <w:tcPr>
                  <w:tcW w:w="1897" w:type="pct"/>
                  <w:noWrap w:val="0"/>
                  <w:vAlign w:val="center"/>
                </w:tcPr>
                <w:p w14:paraId="50DFCEF5">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本项目不涉及重大环境风险源。</w:t>
                  </w:r>
                </w:p>
              </w:tc>
              <w:tc>
                <w:tcPr>
                  <w:tcW w:w="475" w:type="pct"/>
                  <w:noWrap w:val="0"/>
                  <w:vAlign w:val="center"/>
                </w:tcPr>
                <w:p w14:paraId="4D49D0C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39A6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28B2AF88">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211" w:type="pct"/>
                  <w:vMerge w:val="continue"/>
                  <w:noWrap w:val="0"/>
                  <w:vAlign w:val="center"/>
                </w:tcPr>
                <w:p w14:paraId="2264FF65">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2AACD6F1">
                  <w:pPr>
                    <w:keepNext w:val="0"/>
                    <w:keepLines w:val="0"/>
                    <w:pageBreakBefore w:val="0"/>
                    <w:widowControl/>
                    <w:suppressLineNumbers w:val="0"/>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应严格遵守《云南省星云湖保护条例》相关要求，禁止新建、扩建、改建对星云湖水质产生严重污染的项目。</w:t>
                  </w:r>
                </w:p>
                <w:p w14:paraId="675F004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p>
              </w:tc>
              <w:tc>
                <w:tcPr>
                  <w:tcW w:w="1897" w:type="pct"/>
                  <w:noWrap w:val="0"/>
                  <w:vAlign w:val="center"/>
                </w:tcPr>
                <w:p w14:paraId="0BDD1E8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本项目位于玉溪高新区龙泉片区，位于工业园区内。</w:t>
                  </w:r>
                </w:p>
                <w:p w14:paraId="44A0F3D0">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本项目位于星云湖绿色发展区，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不涉及星云湖生态保护核心区、生态保护缓冲区；</w:t>
                  </w:r>
                </w:p>
                <w:p w14:paraId="1F4DE96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对照《云南省星云湖保护条例》，本项目不涉及《云南省星云湖保护条例》中绿色发展区的禁止行为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53CBF097">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近期生活污水经化粪池预处理后进入自建生活污水处理设施处理达标后用于厂区周边绿化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；远期生活污水通过化粪池预处理后排入园区市政污水管网，进入园区污水处理厂处理，不属于对星云湖水质产生严重污染的项目。</w:t>
                  </w:r>
                </w:p>
              </w:tc>
              <w:tc>
                <w:tcPr>
                  <w:tcW w:w="475" w:type="pct"/>
                  <w:noWrap w:val="0"/>
                  <w:vAlign w:val="center"/>
                </w:tcPr>
                <w:p w14:paraId="4F6657C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6BE8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7B35EE5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211" w:type="pct"/>
                  <w:vMerge w:val="continue"/>
                  <w:noWrap w:val="0"/>
                  <w:vAlign w:val="center"/>
                </w:tcPr>
                <w:p w14:paraId="2ED47F1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0487953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4、禁止激光视盘机生产线、专业电镀、铅酸蓄电池等产业入驻。</w:t>
                  </w:r>
                </w:p>
              </w:tc>
              <w:tc>
                <w:tcPr>
                  <w:tcW w:w="1897" w:type="pct"/>
                  <w:noWrap w:val="0"/>
                  <w:vAlign w:val="center"/>
                </w:tcPr>
                <w:p w14:paraId="606257DF">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本项目为软包装、新能源包装材料项目，不涉及激光视盘机生产线、专业电镀、铅酸蓄电池等产业。</w:t>
                  </w:r>
                </w:p>
              </w:tc>
              <w:tc>
                <w:tcPr>
                  <w:tcW w:w="475" w:type="pct"/>
                  <w:noWrap w:val="0"/>
                  <w:vAlign w:val="center"/>
                </w:tcPr>
                <w:p w14:paraId="05897C5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4C45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6740D66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211" w:type="pct"/>
                  <w:vMerge w:val="continue"/>
                  <w:noWrap w:val="0"/>
                  <w:vAlign w:val="center"/>
                </w:tcPr>
                <w:p w14:paraId="48B5248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72A5A9AE">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5、距离村庄较近的项目应设置不少于50m的防护距离。</w:t>
                  </w:r>
                </w:p>
              </w:tc>
              <w:tc>
                <w:tcPr>
                  <w:tcW w:w="1897" w:type="pct"/>
                  <w:noWrap w:val="0"/>
                  <w:vAlign w:val="center"/>
                </w:tcPr>
                <w:p w14:paraId="02E9627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本项目位于工业园区内，周边500m范围内无村庄。</w:t>
                  </w:r>
                </w:p>
              </w:tc>
              <w:tc>
                <w:tcPr>
                  <w:tcW w:w="475" w:type="pct"/>
                  <w:noWrap w:val="0"/>
                  <w:vAlign w:val="center"/>
                </w:tcPr>
                <w:p w14:paraId="4D0F64B0">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7020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7B05E80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211" w:type="pct"/>
                  <w:vMerge w:val="continue"/>
                  <w:noWrap w:val="0"/>
                  <w:vAlign w:val="center"/>
                </w:tcPr>
                <w:p w14:paraId="3526AFE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09B3FC6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6、禁止布局高耗能、高排放、高耗水项目。</w:t>
                  </w:r>
                </w:p>
              </w:tc>
              <w:tc>
                <w:tcPr>
                  <w:tcW w:w="1897" w:type="pct"/>
                  <w:noWrap w:val="0"/>
                  <w:vAlign w:val="center"/>
                </w:tcPr>
                <w:p w14:paraId="47863840">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本项目不属于高耗能、高排放、高耗水项目。</w:t>
                  </w:r>
                </w:p>
              </w:tc>
              <w:tc>
                <w:tcPr>
                  <w:tcW w:w="475" w:type="pct"/>
                  <w:noWrap w:val="0"/>
                  <w:vAlign w:val="center"/>
                </w:tcPr>
                <w:p w14:paraId="76B244B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7717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08FB20B7">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211" w:type="pct"/>
                  <w:vMerge w:val="continue"/>
                  <w:noWrap w:val="0"/>
                  <w:vAlign w:val="center"/>
                </w:tcPr>
                <w:p w14:paraId="2BBA5C7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571B743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7、禁止布局化工等三类工业项目。</w:t>
                  </w:r>
                </w:p>
              </w:tc>
              <w:tc>
                <w:tcPr>
                  <w:tcW w:w="1897" w:type="pct"/>
                  <w:noWrap w:val="0"/>
                  <w:vAlign w:val="center"/>
                </w:tcPr>
                <w:p w14:paraId="032180E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本项目不属于化工等三类工业项目</w:t>
                  </w:r>
                </w:p>
              </w:tc>
              <w:tc>
                <w:tcPr>
                  <w:tcW w:w="475" w:type="pct"/>
                  <w:noWrap w:val="0"/>
                  <w:vAlign w:val="center"/>
                </w:tcPr>
                <w:p w14:paraId="541B072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115E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5102841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211" w:type="pct"/>
                  <w:vMerge w:val="continue"/>
                  <w:noWrap w:val="0"/>
                  <w:vAlign w:val="center"/>
                </w:tcPr>
                <w:p w14:paraId="66A4E22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1E10E1F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8、入园企业必须满足《云南省星云湖保护条例》及其他星云湖相关保护规划、实施方案等相关要求。</w:t>
                  </w:r>
                </w:p>
              </w:tc>
              <w:tc>
                <w:tcPr>
                  <w:tcW w:w="1897" w:type="pct"/>
                  <w:noWrap w:val="0"/>
                  <w:vAlign w:val="center"/>
                </w:tcPr>
                <w:p w14:paraId="6972FCB5">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本项目位于玉溪高新区龙泉片区，位于工业园区内。</w:t>
                  </w:r>
                </w:p>
                <w:p w14:paraId="07B2F360">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本项目位于星云湖绿色发展区，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不涉及星云湖生态保护核心区、生态保护缓冲区；</w:t>
                  </w:r>
                </w:p>
                <w:p w14:paraId="6127548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对照《云南省星云湖保护条例》，本项目不涉及《云南省星云湖保护条例》中绿色发展区的禁止行为。</w:t>
                  </w:r>
                </w:p>
              </w:tc>
              <w:tc>
                <w:tcPr>
                  <w:tcW w:w="475" w:type="pct"/>
                  <w:noWrap w:val="0"/>
                  <w:vAlign w:val="center"/>
                </w:tcPr>
                <w:p w14:paraId="32E0063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4A71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30F8F9D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211" w:type="pct"/>
                  <w:vMerge w:val="continue"/>
                  <w:noWrap w:val="0"/>
                  <w:vAlign w:val="center"/>
                </w:tcPr>
                <w:p w14:paraId="57FA195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42259BC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9、渔村河、小街河、周官河河道25m范围内划为禁建区，禁止开发建设。</w:t>
                  </w:r>
                </w:p>
              </w:tc>
              <w:tc>
                <w:tcPr>
                  <w:tcW w:w="1897" w:type="pct"/>
                  <w:noWrap w:val="0"/>
                  <w:vAlign w:val="center"/>
                </w:tcPr>
                <w:p w14:paraId="1F2548E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本项目不涉及河道25m范围内禁建区。</w:t>
                  </w:r>
                </w:p>
              </w:tc>
              <w:tc>
                <w:tcPr>
                  <w:tcW w:w="475" w:type="pct"/>
                  <w:noWrap w:val="0"/>
                  <w:vAlign w:val="center"/>
                </w:tcPr>
                <w:p w14:paraId="1589973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09DD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17677DF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p>
              </w:tc>
              <w:tc>
                <w:tcPr>
                  <w:tcW w:w="211" w:type="pct"/>
                  <w:vMerge w:val="restart"/>
                  <w:noWrap w:val="0"/>
                  <w:vAlign w:val="center"/>
                </w:tcPr>
                <w:p w14:paraId="42D97A6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污染物排放管控</w:t>
                  </w:r>
                </w:p>
              </w:tc>
              <w:tc>
                <w:tcPr>
                  <w:tcW w:w="2072" w:type="pct"/>
                  <w:noWrap w:val="0"/>
                  <w:vAlign w:val="center"/>
                </w:tcPr>
                <w:p w14:paraId="4641D53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1、对原有企业及时开展环保优化提升，进一步减少污染物排放。</w:t>
                  </w:r>
                </w:p>
              </w:tc>
              <w:tc>
                <w:tcPr>
                  <w:tcW w:w="1897" w:type="pct"/>
                  <w:noWrap w:val="0"/>
                  <w:vAlign w:val="center"/>
                </w:tcPr>
                <w:p w14:paraId="50A8FD48">
                  <w:pPr>
                    <w:pStyle w:val="18"/>
                    <w:keepNext w:val="0"/>
                    <w:keepLines w:val="0"/>
                    <w:pageBreakBefore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不涉及</w:t>
                  </w:r>
                </w:p>
              </w:tc>
              <w:tc>
                <w:tcPr>
                  <w:tcW w:w="475" w:type="pct"/>
                  <w:noWrap w:val="0"/>
                  <w:vAlign w:val="center"/>
                </w:tcPr>
                <w:p w14:paraId="5FF8174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w:t>
                  </w:r>
                </w:p>
              </w:tc>
            </w:tr>
            <w:tr w14:paraId="4C49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5002700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p>
              </w:tc>
              <w:tc>
                <w:tcPr>
                  <w:tcW w:w="211" w:type="pct"/>
                  <w:vMerge w:val="continue"/>
                  <w:noWrap w:val="0"/>
                  <w:vAlign w:val="center"/>
                </w:tcPr>
                <w:p w14:paraId="26167D0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28000CB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2、对工业废水须进行综合利用、封闭循环使用，做到工业废水零排放。</w:t>
                  </w:r>
                </w:p>
              </w:tc>
              <w:tc>
                <w:tcPr>
                  <w:tcW w:w="1897" w:type="pct"/>
                  <w:noWrap w:val="0"/>
                  <w:vAlign w:val="center"/>
                </w:tcPr>
                <w:p w14:paraId="25B60044">
                  <w:pPr>
                    <w:pStyle w:val="90"/>
                    <w:widowControl w:val="0"/>
                    <w:tabs>
                      <w:tab w:val="left" w:pos="271"/>
                    </w:tabs>
                    <w:autoSpaceDE w:val="0"/>
                    <w:autoSpaceDN w:val="0"/>
                    <w:adjustRightInd w:val="0"/>
                    <w:snapToGrid w:val="0"/>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对印刷设备进行清理时均采用抹布蘸取少量油墨清洗剂对设备进行擦拭，无清洗废水产生。</w:t>
                  </w:r>
                </w:p>
              </w:tc>
              <w:tc>
                <w:tcPr>
                  <w:tcW w:w="475" w:type="pct"/>
                  <w:noWrap w:val="0"/>
                  <w:vAlign w:val="center"/>
                </w:tcPr>
                <w:p w14:paraId="2EAE4AC0">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符合</w:t>
                  </w:r>
                </w:p>
              </w:tc>
            </w:tr>
            <w:tr w14:paraId="040D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6F880758">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p>
              </w:tc>
              <w:tc>
                <w:tcPr>
                  <w:tcW w:w="211" w:type="pct"/>
                  <w:vMerge w:val="continue"/>
                  <w:noWrap w:val="0"/>
                  <w:vAlign w:val="center"/>
                </w:tcPr>
                <w:p w14:paraId="21E9728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4B8D453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3、严格用地、用水指标的审批。</w:t>
                  </w:r>
                </w:p>
              </w:tc>
              <w:tc>
                <w:tcPr>
                  <w:tcW w:w="1897" w:type="pct"/>
                  <w:noWrap w:val="0"/>
                  <w:vAlign w:val="center"/>
                </w:tcPr>
                <w:p w14:paraId="3EA7B23F">
                  <w:pPr>
                    <w:pStyle w:val="18"/>
                    <w:keepNext w:val="0"/>
                    <w:keepLines w:val="0"/>
                    <w:pageBreakBefore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本项目于2025年9月3日与玉溪高新技术产业开发区管理委员会签订了投资协议，同意项目入驻。</w:t>
                  </w:r>
                </w:p>
                <w:p w14:paraId="5952EB72">
                  <w:pPr>
                    <w:pStyle w:val="18"/>
                    <w:keepNext w:val="0"/>
                    <w:keepLines w:val="0"/>
                    <w:pageBreakBefore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本项目不属于高耗水企业，用水由市政管网提供。</w:t>
                  </w:r>
                </w:p>
              </w:tc>
              <w:tc>
                <w:tcPr>
                  <w:tcW w:w="475" w:type="pct"/>
                  <w:noWrap w:val="0"/>
                  <w:vAlign w:val="center"/>
                </w:tcPr>
                <w:p w14:paraId="35A124C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符合</w:t>
                  </w:r>
                </w:p>
              </w:tc>
            </w:tr>
            <w:tr w14:paraId="2EAE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45CAC4C8">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p>
              </w:tc>
              <w:tc>
                <w:tcPr>
                  <w:tcW w:w="211" w:type="pct"/>
                  <w:vMerge w:val="continue"/>
                  <w:noWrap w:val="0"/>
                  <w:vAlign w:val="center"/>
                </w:tcPr>
                <w:p w14:paraId="09B1DD4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49CD749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4、园区应加快环保基础设施建设，各片区生活污水必须处理达到《城镇污水处理厂污染物排放标准》（GB18918－2002）一级标准的A标准，达标后进行综合回用，不外排。</w:t>
                  </w:r>
                </w:p>
              </w:tc>
              <w:tc>
                <w:tcPr>
                  <w:tcW w:w="1897" w:type="pct"/>
                  <w:noWrap w:val="0"/>
                  <w:vAlign w:val="center"/>
                </w:tcPr>
                <w:p w14:paraId="1CE063C6">
                  <w:pPr>
                    <w:pStyle w:val="90"/>
                    <w:widowControl w:val="0"/>
                    <w:tabs>
                      <w:tab w:val="left" w:pos="271"/>
                    </w:tabs>
                    <w:autoSpaceDE w:val="0"/>
                    <w:autoSpaceDN w:val="0"/>
                    <w:adjustRightInd w:val="0"/>
                    <w:snapToGrid w:val="0"/>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对印刷设备进行清理时均采用抹布蘸取少量油墨清洗剂对设备进行擦拭，无清洗废水产生。</w:t>
                  </w:r>
                </w:p>
                <w:p w14:paraId="0DF73EE3">
                  <w:pPr>
                    <w:pStyle w:val="90"/>
                    <w:widowControl w:val="0"/>
                    <w:tabs>
                      <w:tab w:val="left" w:pos="271"/>
                    </w:tabs>
                    <w:autoSpaceDE w:val="0"/>
                    <w:autoSpaceDN w:val="0"/>
                    <w:adjustRightInd w:val="0"/>
                    <w:snapToGrid w:val="0"/>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近期由于园区污水处理厂暂未正常运行，生活污水经化粪池预处理后进入自建生活污水处理设施处理达标后用于厂区周边绿化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；远期待园区污水处理厂正常运行后，产生的生活污水通过化粪池预处理后排入园区市政污水管网，进入园区污水处理厂处理。</w:t>
                  </w:r>
                </w:p>
              </w:tc>
              <w:tc>
                <w:tcPr>
                  <w:tcW w:w="475" w:type="pct"/>
                  <w:noWrap w:val="0"/>
                  <w:vAlign w:val="center"/>
                </w:tcPr>
                <w:p w14:paraId="6DC8CD6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符合</w:t>
                  </w:r>
                </w:p>
              </w:tc>
            </w:tr>
            <w:tr w14:paraId="3BEC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2" w:type="pct"/>
                  <w:vMerge w:val="continue"/>
                  <w:noWrap w:val="0"/>
                  <w:vAlign w:val="center"/>
                </w:tcPr>
                <w:p w14:paraId="151686D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p>
              </w:tc>
              <w:tc>
                <w:tcPr>
                  <w:tcW w:w="211" w:type="pct"/>
                  <w:vMerge w:val="restart"/>
                  <w:noWrap w:val="0"/>
                  <w:vAlign w:val="center"/>
                </w:tcPr>
                <w:p w14:paraId="33EE3135">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环境风险防控</w:t>
                  </w:r>
                </w:p>
              </w:tc>
              <w:tc>
                <w:tcPr>
                  <w:tcW w:w="2072" w:type="pct"/>
                  <w:noWrap w:val="0"/>
                  <w:vAlign w:val="center"/>
                </w:tcPr>
                <w:p w14:paraId="1D3A0985">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1.禁止布置重大危险源</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w:t>
                  </w:r>
                </w:p>
              </w:tc>
              <w:tc>
                <w:tcPr>
                  <w:tcW w:w="1897" w:type="pct"/>
                  <w:noWrap w:val="0"/>
                  <w:vAlign w:val="center"/>
                </w:tcPr>
                <w:p w14:paraId="09291F7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本项目不涉及重大环境风险源。</w:t>
                  </w:r>
                </w:p>
              </w:tc>
              <w:tc>
                <w:tcPr>
                  <w:tcW w:w="475" w:type="pct"/>
                  <w:noWrap w:val="0"/>
                  <w:vAlign w:val="center"/>
                </w:tcPr>
                <w:p w14:paraId="0634E15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符合</w:t>
                  </w:r>
                </w:p>
              </w:tc>
            </w:tr>
            <w:tr w14:paraId="7C37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463F79B0">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p>
              </w:tc>
              <w:tc>
                <w:tcPr>
                  <w:tcW w:w="211" w:type="pct"/>
                  <w:vMerge w:val="continue"/>
                  <w:noWrap w:val="0"/>
                  <w:vAlign w:val="center"/>
                </w:tcPr>
                <w:p w14:paraId="747B0AF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7FED2B8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2.禁止</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环境保护综合名录（2021年版）》中高风险、高污染行业以及</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云南省城镇人口密集区危险化学品生产企业搬迁改造实施方案》中相关企业入驻。</w:t>
                  </w:r>
                </w:p>
              </w:tc>
              <w:tc>
                <w:tcPr>
                  <w:tcW w:w="1897" w:type="pct"/>
                  <w:noWrap w:val="0"/>
                  <w:vAlign w:val="center"/>
                </w:tcPr>
                <w:p w14:paraId="1F2D991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本项目不属于</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高风险、高污染行业</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；不涉及《</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云南省城镇人口密集区危险化学品生产企业搬迁改造实施方案》</w:t>
                  </w:r>
                </w:p>
              </w:tc>
              <w:tc>
                <w:tcPr>
                  <w:tcW w:w="475" w:type="pct"/>
                  <w:noWrap w:val="0"/>
                  <w:vAlign w:val="center"/>
                </w:tcPr>
                <w:p w14:paraId="14FF6ED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符合</w:t>
                  </w:r>
                </w:p>
              </w:tc>
            </w:tr>
            <w:tr w14:paraId="2D21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5B51772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p>
              </w:tc>
              <w:tc>
                <w:tcPr>
                  <w:tcW w:w="211" w:type="pct"/>
                  <w:vMerge w:val="restart"/>
                  <w:noWrap w:val="0"/>
                  <w:vAlign w:val="center"/>
                </w:tcPr>
                <w:p w14:paraId="1AC0D78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资源开发效率要求</w:t>
                  </w:r>
                </w:p>
              </w:tc>
              <w:tc>
                <w:tcPr>
                  <w:tcW w:w="2072" w:type="pct"/>
                  <w:noWrap w:val="0"/>
                  <w:vAlign w:val="center"/>
                </w:tcPr>
                <w:p w14:paraId="2146D60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1.2030年，玉溪市用水总量控制在12.81亿m</w:t>
                  </w:r>
                  <w:r>
                    <w:rPr>
                      <w:rFonts w:hint="default" w:ascii="Times New Roman" w:hAnsi="Times New Roman" w:eastAsia="宋体" w:cs="Times New Roman"/>
                      <w:b w:val="0"/>
                      <w:bCs w:val="0"/>
                      <w:color w:val="000000" w:themeColor="text1"/>
                      <w:sz w:val="21"/>
                      <w:szCs w:val="21"/>
                      <w:u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以内，水资源利用效率和效益接近同期国内先进水平，万元GDP用水量降低到30m</w:t>
                  </w:r>
                  <w:r>
                    <w:rPr>
                      <w:rFonts w:hint="default" w:ascii="Times New Roman" w:hAnsi="Times New Roman" w:eastAsia="宋体" w:cs="Times New Roman"/>
                      <w:b w:val="0"/>
                      <w:bCs w:val="0"/>
                      <w:color w:val="000000" w:themeColor="text1"/>
                      <w:sz w:val="21"/>
                      <w:szCs w:val="21"/>
                      <w:u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以下，主要河流生态需水量保证率达到90%以上。</w:t>
                  </w:r>
                </w:p>
              </w:tc>
              <w:tc>
                <w:tcPr>
                  <w:tcW w:w="1897" w:type="pct"/>
                  <w:noWrap w:val="0"/>
                  <w:vAlign w:val="center"/>
                </w:tcPr>
                <w:p w14:paraId="06808BA3">
                  <w:pPr>
                    <w:autoSpaceDE w:val="0"/>
                    <w:autoSpaceDN w:val="0"/>
                    <w:adjustRightInd w:val="0"/>
                    <w:snapToGrid w:val="0"/>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本项目为软包装、新能源包装材料项目</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，用水量</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不大，用水由市政供水管网提供，不涉及地下取水。</w:t>
                  </w:r>
                </w:p>
              </w:tc>
              <w:tc>
                <w:tcPr>
                  <w:tcW w:w="475" w:type="pct"/>
                  <w:noWrap w:val="0"/>
                  <w:vAlign w:val="center"/>
                </w:tcPr>
                <w:p w14:paraId="2852181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符合</w:t>
                  </w:r>
                </w:p>
              </w:tc>
            </w:tr>
            <w:tr w14:paraId="12BA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226B861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p>
              </w:tc>
              <w:tc>
                <w:tcPr>
                  <w:tcW w:w="211" w:type="pct"/>
                  <w:vMerge w:val="continue"/>
                  <w:noWrap w:val="0"/>
                  <w:vAlign w:val="center"/>
                </w:tcPr>
                <w:p w14:paraId="361DB4DE">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5EAC8B1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2.玉溪市高污染燃料禁燃区内：禁止销售、燃用高污染燃料。禁止新建、扩建使用高污染燃料的锅炉、炉窑、炉灶等燃烧设施。禁燃区已建成各类高污染燃料的锅炉、炉窑、炉灶等燃烧设施，应当按照国家、省、州要求淘汰或改用清洁能源。</w:t>
                  </w:r>
                </w:p>
              </w:tc>
              <w:tc>
                <w:tcPr>
                  <w:tcW w:w="1897" w:type="pct"/>
                  <w:noWrap w:val="0"/>
                  <w:vAlign w:val="center"/>
                </w:tcPr>
                <w:p w14:paraId="424D242E">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本项目不涉及高污染燃料禁燃区，本项目不涉及</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禁止新建、扩建使用高污染燃料的锅炉、炉窑、炉灶等燃烧设施</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w:t>
                  </w:r>
                </w:p>
              </w:tc>
              <w:tc>
                <w:tcPr>
                  <w:tcW w:w="475" w:type="pct"/>
                  <w:noWrap w:val="0"/>
                  <w:vAlign w:val="center"/>
                </w:tcPr>
                <w:p w14:paraId="60603CC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符合</w:t>
                  </w:r>
                </w:p>
              </w:tc>
            </w:tr>
            <w:tr w14:paraId="66EF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vMerge w:val="continue"/>
                  <w:noWrap w:val="0"/>
                  <w:vAlign w:val="center"/>
                </w:tcPr>
                <w:p w14:paraId="12CF618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p>
              </w:tc>
              <w:tc>
                <w:tcPr>
                  <w:tcW w:w="211" w:type="pct"/>
                  <w:vMerge w:val="continue"/>
                  <w:noWrap w:val="0"/>
                  <w:vAlign w:val="center"/>
                </w:tcPr>
                <w:p w14:paraId="3717629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p>
              </w:tc>
              <w:tc>
                <w:tcPr>
                  <w:tcW w:w="2072" w:type="pct"/>
                  <w:noWrap w:val="0"/>
                  <w:vAlign w:val="center"/>
                </w:tcPr>
                <w:p w14:paraId="0142436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3.入驻企业工业用水鼓励优先使用再生水，禁止取用地下水作为生产用水。</w:t>
                  </w:r>
                </w:p>
              </w:tc>
              <w:tc>
                <w:tcPr>
                  <w:tcW w:w="1897" w:type="pct"/>
                  <w:noWrap w:val="0"/>
                  <w:vAlign w:val="center"/>
                </w:tcPr>
                <w:p w14:paraId="2EF84BB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本项目用水由市政供水管网提供，不涉及地下取水。</w:t>
                  </w:r>
                </w:p>
                <w:p w14:paraId="12A2DC7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对印刷设备进行清理时均采用抹布蘸取少量油墨清洗剂对设备进行擦拭，无清洗废水产生</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w:t>
                  </w:r>
                </w:p>
              </w:tc>
              <w:tc>
                <w:tcPr>
                  <w:tcW w:w="475" w:type="pct"/>
                  <w:noWrap w:val="0"/>
                  <w:vAlign w:val="center"/>
                </w:tcPr>
                <w:p w14:paraId="1851C26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符合</w:t>
                  </w:r>
                </w:p>
              </w:tc>
            </w:tr>
          </w:tbl>
          <w:p w14:paraId="09DEEB18">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000000" w:themeColor="text1"/>
                <w:kern w:val="0"/>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表 1-3</w:t>
            </w:r>
            <w:r>
              <w:rPr>
                <w:rFonts w:hint="default" w:ascii="Times New Roman" w:hAnsi="Times New Roman" w:eastAsia="宋体" w:cs="Times New Roman"/>
                <w:b/>
                <w:bCs/>
                <w:color w:val="000000" w:themeColor="text1"/>
                <w:sz w:val="21"/>
                <w:szCs w:val="21"/>
                <w:u w:val="none"/>
                <w14:textFill>
                  <w14:solidFill>
                    <w14:schemeClr w14:val="tx1"/>
                  </w14:solidFill>
                </w14:textFill>
              </w:rPr>
              <w:tab/>
            </w:r>
            <w:r>
              <w:rPr>
                <w:rFonts w:hint="default" w:ascii="Times New Roman" w:hAnsi="Times New Roman" w:eastAsia="宋体" w:cs="Times New Roman"/>
                <w:b/>
                <w:bCs/>
                <w:color w:val="000000" w:themeColor="text1"/>
                <w:sz w:val="21"/>
                <w:szCs w:val="21"/>
                <w:u w:val="none"/>
                <w14:textFill>
                  <w14:solidFill>
                    <w14:schemeClr w14:val="tx1"/>
                  </w14:solidFill>
                </w14:textFill>
              </w:rPr>
              <w:t>项目与规划环评审查意见符合性分析对照表</w:t>
            </w:r>
          </w:p>
          <w:tbl>
            <w:tblPr>
              <w:tblStyle w:val="3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57" w:type="dxa"/>
                <w:bottom w:w="0" w:type="dxa"/>
                <w:right w:w="57" w:type="dxa"/>
              </w:tblCellMar>
            </w:tblPr>
            <w:tblGrid>
              <w:gridCol w:w="4526"/>
              <w:gridCol w:w="2320"/>
              <w:gridCol w:w="578"/>
            </w:tblGrid>
            <w:tr w14:paraId="72A33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047" w:type="pct"/>
                  <w:noWrap w:val="0"/>
                  <w:vAlign w:val="center"/>
                </w:tcPr>
                <w:p w14:paraId="575D1FDF">
                  <w:pPr>
                    <w:pStyle w:val="90"/>
                    <w:adjustRightInd w:val="0"/>
                    <w:snapToGrid w:val="0"/>
                    <w:jc w:val="center"/>
                    <w:rPr>
                      <w:rFonts w:hint="default" w:ascii="Times New Roman" w:hAnsi="Times New Roman" w:eastAsia="宋体" w:cs="Times New Roman"/>
                      <w:bCs w:val="0"/>
                      <w:color w:val="000000" w:themeColor="text1"/>
                      <w:sz w:val="21"/>
                      <w:szCs w:val="21"/>
                      <w:u w:val="none"/>
                      <w14:textFill>
                        <w14:solidFill>
                          <w14:schemeClr w14:val="tx1"/>
                        </w14:solidFill>
                      </w14:textFill>
                    </w:rPr>
                  </w:pPr>
                  <w:r>
                    <w:rPr>
                      <w:rFonts w:hint="default" w:ascii="Times New Roman" w:hAnsi="Times New Roman" w:eastAsia="宋体" w:cs="Times New Roman"/>
                      <w:bCs w:val="0"/>
                      <w:color w:val="000000" w:themeColor="text1"/>
                      <w:sz w:val="21"/>
                      <w:szCs w:val="21"/>
                      <w:u w:val="none"/>
                      <w14:textFill>
                        <w14:solidFill>
                          <w14:schemeClr w14:val="tx1"/>
                        </w14:solidFill>
                      </w14:textFill>
                    </w:rPr>
                    <w:t>审查意见要求</w:t>
                  </w:r>
                </w:p>
              </w:tc>
              <w:tc>
                <w:tcPr>
                  <w:tcW w:w="1562" w:type="pct"/>
                  <w:noWrap w:val="0"/>
                  <w:vAlign w:val="center"/>
                </w:tcPr>
                <w:p w14:paraId="589283AE">
                  <w:pPr>
                    <w:pStyle w:val="90"/>
                    <w:adjustRightInd w:val="0"/>
                    <w:snapToGrid w:val="0"/>
                    <w:jc w:val="center"/>
                    <w:rPr>
                      <w:rFonts w:hint="default" w:ascii="Times New Roman" w:hAnsi="Times New Roman" w:eastAsia="宋体" w:cs="Times New Roman"/>
                      <w:bCs w:val="0"/>
                      <w:color w:val="000000" w:themeColor="text1"/>
                      <w:sz w:val="21"/>
                      <w:szCs w:val="21"/>
                      <w:u w:val="none"/>
                      <w14:textFill>
                        <w14:solidFill>
                          <w14:schemeClr w14:val="tx1"/>
                        </w14:solidFill>
                      </w14:textFill>
                    </w:rPr>
                  </w:pPr>
                  <w:r>
                    <w:rPr>
                      <w:rFonts w:hint="default" w:ascii="Times New Roman" w:hAnsi="Times New Roman" w:eastAsia="宋体" w:cs="Times New Roman"/>
                      <w:bCs w:val="0"/>
                      <w:color w:val="000000" w:themeColor="text1"/>
                      <w:sz w:val="21"/>
                      <w:szCs w:val="21"/>
                      <w:u w:val="none"/>
                      <w14:textFill>
                        <w14:solidFill>
                          <w14:schemeClr w14:val="tx1"/>
                        </w14:solidFill>
                      </w14:textFill>
                    </w:rPr>
                    <w:t>本项目落实情况</w:t>
                  </w:r>
                </w:p>
              </w:tc>
              <w:tc>
                <w:tcPr>
                  <w:tcW w:w="389" w:type="pct"/>
                  <w:noWrap w:val="0"/>
                  <w:vAlign w:val="center"/>
                </w:tcPr>
                <w:p w14:paraId="7006A495">
                  <w:pPr>
                    <w:pStyle w:val="90"/>
                    <w:adjustRightInd w:val="0"/>
                    <w:snapToGrid w:val="0"/>
                    <w:jc w:val="center"/>
                    <w:rPr>
                      <w:rFonts w:hint="default" w:ascii="Times New Roman" w:hAnsi="Times New Roman" w:eastAsia="宋体" w:cs="Times New Roman"/>
                      <w:bCs w:val="0"/>
                      <w:color w:val="000000" w:themeColor="text1"/>
                      <w:sz w:val="21"/>
                      <w:szCs w:val="21"/>
                      <w:u w:val="none"/>
                      <w14:textFill>
                        <w14:solidFill>
                          <w14:schemeClr w14:val="tx1"/>
                        </w14:solidFill>
                      </w14:textFill>
                    </w:rPr>
                  </w:pPr>
                  <w:r>
                    <w:rPr>
                      <w:rFonts w:hint="default" w:ascii="Times New Roman" w:hAnsi="Times New Roman" w:eastAsia="宋体" w:cs="Times New Roman"/>
                      <w:bCs w:val="0"/>
                      <w:color w:val="000000" w:themeColor="text1"/>
                      <w:sz w:val="21"/>
                      <w:szCs w:val="21"/>
                      <w:u w:val="none"/>
                      <w14:textFill>
                        <w14:solidFill>
                          <w14:schemeClr w14:val="tx1"/>
                        </w14:solidFill>
                      </w14:textFill>
                    </w:rPr>
                    <w:t>对照情况</w:t>
                  </w:r>
                </w:p>
              </w:tc>
            </w:tr>
            <w:tr w14:paraId="61852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047" w:type="pct"/>
                  <w:noWrap w:val="0"/>
                  <w:vAlign w:val="center"/>
                </w:tcPr>
                <w:p w14:paraId="7C1DC373">
                  <w:pPr>
                    <w:pStyle w:val="90"/>
                    <w:adjustRightInd w:val="0"/>
                    <w:snapToGrid w:val="0"/>
                    <w:jc w:val="cente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（一）</w:t>
                  </w:r>
                  <w:r>
                    <w:rPr>
                      <w:rFonts w:hint="default" w:ascii="Times New Roman" w:hAnsi="Times New Roman" w:eastAsia="宋体" w:cs="Times New Roman"/>
                      <w:b w:val="0"/>
                      <w:color w:val="000000" w:themeColor="text1"/>
                      <w:sz w:val="21"/>
                      <w:szCs w:val="21"/>
                      <w:u w:val="none"/>
                      <w14:textFill>
                        <w14:solidFill>
                          <w14:schemeClr w14:val="tx1"/>
                        </w14:solidFill>
                      </w14:textFill>
                    </w:rPr>
                    <w:t>加强规划引导，坚持绿色低碳高质量发展理念，结合生态环境分区管控要求，区域统筹保护好生态空间。产业开发应符合国家产业政策和相关规划</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，龙泉片区有效管控开发强度，按国家生态工业示范园区标准推进《规划》实施，实现产业发展与生态环境保护、人居环境安全相协调，引导高新区低碳化、绿色化、循环化发展。</w:t>
                  </w:r>
                </w:p>
              </w:tc>
              <w:tc>
                <w:tcPr>
                  <w:tcW w:w="1562" w:type="pct"/>
                  <w:noWrap w:val="0"/>
                  <w:vAlign w:val="center"/>
                </w:tcPr>
                <w:p w14:paraId="586FF273">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项目于2025年9月3日与玉溪高新技术产业开发区管理委员会签订了投资协议，同意项目入驻。项目于2025年9月5日取得了玉溪高新技术产业开发区管理委员会投资项目备案证（备案文号：玉高开委发备案〔2025〕37号），同意项目建设。</w:t>
                  </w:r>
                </w:p>
              </w:tc>
              <w:tc>
                <w:tcPr>
                  <w:tcW w:w="389" w:type="pct"/>
                  <w:noWrap w:val="0"/>
                  <w:vAlign w:val="center"/>
                </w:tcPr>
                <w:p w14:paraId="20FC9FB9">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color w:val="000000" w:themeColor="text1"/>
                      <w:sz w:val="21"/>
                      <w:szCs w:val="21"/>
                      <w:u w:val="none"/>
                      <w14:textFill>
                        <w14:solidFill>
                          <w14:schemeClr w14:val="tx1"/>
                        </w14:solidFill>
                      </w14:textFill>
                    </w:rPr>
                    <w:t>符合</w:t>
                  </w:r>
                </w:p>
              </w:tc>
            </w:tr>
            <w:tr w14:paraId="23FBB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047" w:type="pct"/>
                  <w:noWrap w:val="0"/>
                  <w:vAlign w:val="center"/>
                </w:tcPr>
                <w:p w14:paraId="48463FE9">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（二）</w:t>
                  </w:r>
                  <w:r>
                    <w:rPr>
                      <w:rFonts w:hint="default" w:ascii="Times New Roman" w:hAnsi="Times New Roman" w:eastAsia="宋体" w:cs="Times New Roman"/>
                      <w:color w:val="000000" w:themeColor="text1"/>
                      <w14:textFill>
                        <w14:solidFill>
                          <w14:schemeClr w14:val="tx1"/>
                        </w14:solidFill>
                      </w14:textFill>
                    </w:rPr>
                    <w:t>进一步优化高新区空间布局，加强空间管控，严格对环境敏感区的保护,严禁不符合管控要求的各类开发和建设活动。</w:t>
                  </w:r>
                </w:p>
                <w:p w14:paraId="69406186">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高新区严格限制《环境保护综合名录》中</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高污染、高环境风险产品名录</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的企业入驻，其中九龙地块、南地块、大营街地块、龙泉片区禁止上述企业入驻。南地块、大营街地块禁止引入高污染燃料企业，禁止新建、扩建三类工业用地布局的项目。南地块、青龙山地块应优化布局，企业与红塔山自然保护区保持一定缓冲距离。</w:t>
                  </w:r>
                </w:p>
                <w:p w14:paraId="02954898">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研和片区禁止布局有色金属冶炼行业。研和片区地块一和地块三、观音山地块位于岩溶含水层分布区，含水层天然防污性能弱，地下水环境较脆弱，在岩溶强发育、天窗、漏斗等分布区域，禁止布局危险化学品仓储设施和污水处理等对地下水存在较大环境风险的设施。</w:t>
                  </w:r>
                </w:p>
                <w:p w14:paraId="2E2D5C85">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龙泉片区位于星云湖二级保护区范围内，应严格遵守《</w:t>
                  </w:r>
                  <w:r>
                    <w:rPr>
                      <w:rFonts w:hint="default" w:ascii="Times New Roman" w:hAnsi="Times New Roman" w:eastAsia="宋体" w:cs="Times New Roman"/>
                      <w:color w:val="000000" w:themeColor="text1"/>
                      <w:lang w:eastAsia="zh-CN"/>
                      <w14:textFill>
                        <w14:solidFill>
                          <w14:schemeClr w14:val="tx1"/>
                        </w14:solidFill>
                      </w14:textFill>
                    </w:rPr>
                    <w:t>云南省星云湖保护条例</w:t>
                  </w:r>
                  <w:r>
                    <w:rPr>
                      <w:rFonts w:hint="default" w:ascii="Times New Roman" w:hAnsi="Times New Roman" w:eastAsia="宋体" w:cs="Times New Roman"/>
                      <w:color w:val="000000" w:themeColor="text1"/>
                      <w14:textFill>
                        <w14:solidFill>
                          <w14:schemeClr w14:val="tx1"/>
                        </w14:solidFill>
                      </w14:textFill>
                    </w:rPr>
                    <w:t>》、《中共云南省委云南省人民政府关于</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湖泊革命</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攻坚战的实施意见》相关要求，新建、改建、扩建项目应当符合星云湖保护和开发利用总体规划，禁止新建、改建、扩建严重污染环境、破坏生态的项目以及其他污染水体和破坏生态环境的行为，禁止布局高耗能、高排放、高耗水项目。</w:t>
                  </w:r>
                </w:p>
                <w:p w14:paraId="53CEADC9">
                  <w:pP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高新区按《云南省人民政府办公厅关于推动落后和低端低效产能退出的实施意见》(云政办发〔2022)17号)相关要求，出清技术方面落后产能，依法依规关停退出能耗、环保、质量、安全不达标和落后、过剩产能，分行业有序退出</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限制类</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产能，钢铁等行业实施超低排放改造，鼓励发展短流程工艺，压减粗钢产能。工业用地与人口密集区、自然保护区、河流岸线等敏感区间应合理设置绿化隔离带，留出必要的防护距离，防控布局性环境风</w:t>
                  </w:r>
                  <w:r>
                    <w:rPr>
                      <w:rFonts w:hint="default" w:ascii="Times New Roman" w:hAnsi="Times New Roman" w:eastAsia="宋体" w:cs="Times New Roman"/>
                      <w:b w:val="0"/>
                      <w:color w:val="000000" w:themeColor="text1"/>
                      <w:sz w:val="21"/>
                      <w:szCs w:val="21"/>
                      <w:u w:val="none"/>
                      <w14:textFill>
                        <w14:solidFill>
                          <w14:schemeClr w14:val="tx1"/>
                        </w14:solidFill>
                      </w14:textFill>
                    </w:rPr>
                    <w:t>。</w:t>
                  </w:r>
                </w:p>
              </w:tc>
              <w:tc>
                <w:tcPr>
                  <w:tcW w:w="1562" w:type="pct"/>
                  <w:noWrap w:val="0"/>
                  <w:vAlign w:val="center"/>
                </w:tcPr>
                <w:p w14:paraId="5227A18D">
                  <w:pPr>
                    <w:pStyle w:val="90"/>
                    <w:adjustRightInd w:val="0"/>
                    <w:snapToGrid w:val="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本项目位于龙泉片区，本项目《环境保护综合名录》中的不属于高风险、高污染行业。</w:t>
                  </w:r>
                </w:p>
                <w:p w14:paraId="49E20719">
                  <w:pPr>
                    <w:pStyle w:val="90"/>
                    <w:adjustRightInd w:val="0"/>
                    <w:snapToGrid w:val="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本项目不属于钢铁冶炼、石油化工等三类工业用地布局的项目。</w:t>
                  </w:r>
                </w:p>
                <w:p w14:paraId="438E344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本项目位于星云湖绿色发展区，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不涉及星云湖生态保护核心区、生态保护缓冲区；</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对照《云南省星云湖保护条例》，本项目不涉及《云南省星云湖保护条例》中绿色发展区的禁止行为。</w:t>
                  </w:r>
                </w:p>
                <w:p w14:paraId="5024D1B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本项目不属于</w:t>
                  </w:r>
                  <w:r>
                    <w:rPr>
                      <w:rFonts w:hint="default" w:ascii="Times New Roman" w:hAnsi="Times New Roman" w:eastAsia="宋体" w:cs="Times New Roman"/>
                      <w:color w:val="000000" w:themeColor="text1"/>
                      <w14:textFill>
                        <w14:solidFill>
                          <w14:schemeClr w14:val="tx1"/>
                        </w14:solidFill>
                      </w14:textFill>
                    </w:rPr>
                    <w:t>高耗能、高排放、高耗水项目</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w:t>
                  </w:r>
                </w:p>
              </w:tc>
              <w:tc>
                <w:tcPr>
                  <w:tcW w:w="389" w:type="pct"/>
                  <w:noWrap w:val="0"/>
                  <w:vAlign w:val="center"/>
                </w:tcPr>
                <w:p w14:paraId="6EB0E202">
                  <w:pPr>
                    <w:pStyle w:val="90"/>
                    <w:adjustRightInd w:val="0"/>
                    <w:snapToGrid w:val="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符合</w:t>
                  </w:r>
                </w:p>
              </w:tc>
            </w:tr>
            <w:tr w14:paraId="7E827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047" w:type="pct"/>
                  <w:noWrap w:val="0"/>
                  <w:vAlign w:val="center"/>
                </w:tcPr>
                <w:p w14:paraId="39D70178">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（三）</w:t>
                  </w:r>
                  <w:r>
                    <w:rPr>
                      <w:rFonts w:hint="default" w:ascii="Times New Roman" w:hAnsi="Times New Roman" w:eastAsia="宋体" w:cs="Times New Roman"/>
                      <w:color w:val="000000" w:themeColor="text1"/>
                      <w14:textFill>
                        <w14:solidFill>
                          <w14:schemeClr w14:val="tx1"/>
                        </w14:solidFill>
                      </w14:textFill>
                    </w:rPr>
                    <w:t>严守环境质量底线，严格环境管控。根据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三线一单</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国家和云南省有关大气污染防治行动的相关要求，制定大气污染物总量管控要求，合理确定产业规模、布局、建设时序。采用先进的生产工艺路线、装备、清洁能源与原料，从源头上控制污染物的产生。入驻企业要采用先进高效的污染防治措施，重点做好外排废气中颗粒物削减、脱硫脱硝，挥发性有机物、异味等特征污染物的减排工作，大气污染物排放水平应达到国内先进水平，必要时对高新区开发强度及布局产业规模进行控制。新建、扩建钢铁冶炼项目大气污染物需满足超低排放要求，重点行业建设项目应实行主要污染物区域削减。南片区新建、扩建项目废气污染物实行减量替代。</w:t>
                  </w:r>
                </w:p>
                <w:p w14:paraId="1069E5B7">
                  <w:pP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高度重视高新区废水收集、处理、回用、排放的环境管理。高新区实施</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雨污分流</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，因地制宜建设初期雨水收集处理系统，配合玉溪市、红塔区等相关政府部门，加强玉溪大河等河道的水</w:t>
                  </w:r>
                  <w:r>
                    <w:rPr>
                      <w:rFonts w:hint="default" w:ascii="Times New Roman" w:hAnsi="Times New Roman" w:eastAsia="宋体" w:cs="Times New Roman"/>
                      <w:color w:val="000000" w:themeColor="text1"/>
                      <w:lang w:eastAsia="zh-CN"/>
                      <w14:textFill>
                        <w14:solidFill>
                          <w14:schemeClr w14:val="tx1"/>
                        </w14:solidFill>
                      </w14:textFill>
                    </w:rPr>
                    <w:t>环境综合整治与生态修复工程。玉溪市应尽快编制并实施流域水环境限期达标方案，结合水污染防治方案实施相应的水环境质量改善工程，加快推进污水处理厂、再生水处理设施及配套管网建设和改造。区域水环境质量未达到水质目标前，建设项目实行流域内主要污染物倍量削减，除城镇污水处理厂入河排污口外，严格控制新设、改设或者扩大排污口。龙泉片区禁止排放生产废水的项目入驻，生活污水处理达标后实现片区综合回用，不外排。</w:t>
                  </w:r>
                </w:p>
                <w:p w14:paraId="3BC15C07">
                  <w:pP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建设应充分考虑对地下水环境的影响，优化布局，严格水文地质、工程地质勘察，合理规避地下暗河及落水洞发育区，做好地下水污染防治和监控，按相关规范要求采取针对性防渗措施。严格执行《地下水管理条例》中相关规定，在泉域保护范围以及岩溶强发育、存在较多落水洞和岩溶漏斗的区域内，不得新建、改建、扩建可能造成地下水污染的建设项目，确保区域地下水安全。</w:t>
                  </w:r>
                </w:p>
                <w:p w14:paraId="6856DBAC">
                  <w:pP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将土壤污染防治工作纳入高新区规划及相关环境保护规划，采取有效预防措施，防止、减少土壤污染。重视污染物通过大气一土壤一地下水等环境介质跨相输送、迁移和累积过程及影响，确保满足土壤环境管控要求。</w:t>
                  </w:r>
                </w:p>
                <w:p w14:paraId="596032A7">
                  <w:pP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危险废物须按规定严格管控，积极推进工业固体废物综合利用，确实需要暂存或安全填埋处置的，暂存(处置)场的选址、建设必须按照相关要求严格落实污染防治措施。</w:t>
                  </w:r>
                </w:p>
                <w:p w14:paraId="55E57F98">
                  <w:pP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根据国家和地方碳达峰行动方案和节能减排工作要求，积极开展园区减污降碳协同管控，推广园区能源梯级利用等节能低碳技术，实现减污降碳协同增效目标。</w:t>
                  </w:r>
                </w:p>
              </w:tc>
              <w:tc>
                <w:tcPr>
                  <w:tcW w:w="1562" w:type="pct"/>
                  <w:noWrap w:val="0"/>
                  <w:vAlign w:val="center"/>
                </w:tcPr>
                <w:p w14:paraId="36CE53FB">
                  <w:pPr>
                    <w:pStyle w:val="90"/>
                    <w:widowControl w:val="0"/>
                    <w:tabs>
                      <w:tab w:val="left" w:pos="271"/>
                    </w:tabs>
                    <w:autoSpaceDE w:val="0"/>
                    <w:autoSpaceDN w:val="0"/>
                    <w:adjustRightInd w:val="0"/>
                    <w:snapToGrid w:val="0"/>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本项目位于龙泉片区，本项目不属于</w:t>
                  </w:r>
                  <w:r>
                    <w:rPr>
                      <w:rFonts w:hint="default" w:ascii="Times New Roman" w:hAnsi="Times New Roman" w:eastAsia="宋体" w:cs="Times New Roman"/>
                      <w:b w:val="0"/>
                      <w:color w:val="000000" w:themeColor="text1"/>
                      <w:sz w:val="21"/>
                      <w:szCs w:val="21"/>
                      <w:u w:val="none"/>
                      <w14:textFill>
                        <w14:solidFill>
                          <w14:schemeClr w14:val="tx1"/>
                        </w14:solidFill>
                      </w14:textFill>
                    </w:rPr>
                    <w:t>新建、扩建钢铁冶炼项目</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w:t>
                  </w:r>
                </w:p>
                <w:p w14:paraId="77609429">
                  <w:pPr>
                    <w:pStyle w:val="90"/>
                    <w:widowControl w:val="0"/>
                    <w:tabs>
                      <w:tab w:val="left" w:pos="271"/>
                    </w:tabs>
                    <w:autoSpaceDE w:val="0"/>
                    <w:autoSpaceDN w:val="0"/>
                    <w:adjustRightInd w:val="0"/>
                    <w:snapToGrid w:val="0"/>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p w14:paraId="3D06E6BE">
                  <w:pPr>
                    <w:pStyle w:val="90"/>
                    <w:widowControl w:val="0"/>
                    <w:tabs>
                      <w:tab w:val="left" w:pos="271"/>
                    </w:tabs>
                    <w:autoSpaceDE w:val="0"/>
                    <w:autoSpaceDN w:val="0"/>
                    <w:adjustRightInd w:val="0"/>
                    <w:snapToGrid w:val="0"/>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对印刷设备进行清理时均采用抹布蘸取少量油墨清洗剂对设备进行擦拭，无清洗废水产生。</w:t>
                  </w:r>
                </w:p>
                <w:p w14:paraId="506504CA">
                  <w:pPr>
                    <w:pStyle w:val="90"/>
                    <w:widowControl w:val="0"/>
                    <w:tabs>
                      <w:tab w:val="left" w:pos="271"/>
                    </w:tabs>
                    <w:autoSpaceDE w:val="0"/>
                    <w:autoSpaceDN w:val="0"/>
                    <w:adjustRightInd w:val="0"/>
                    <w:snapToGrid w:val="0"/>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近期由于园区污水处理厂暂未正常运行，生活污水经化粪池预处理后进入自建生活污水处理设施处理达标后用于厂区周边绿化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；远期待园区污水处理厂正常运行后，产生的生活污水通过化粪池预处理后排入园区市政污水管网，进入园区污水处理厂处理。</w:t>
                  </w:r>
                </w:p>
                <w:p w14:paraId="324DB962">
                  <w:pPr>
                    <w:pStyle w:val="90"/>
                    <w:widowControl w:val="0"/>
                    <w:tabs>
                      <w:tab w:val="left" w:pos="271"/>
                    </w:tabs>
                    <w:autoSpaceDE w:val="0"/>
                    <w:autoSpaceDN w:val="0"/>
                    <w:adjustRightInd w:val="0"/>
                    <w:snapToGrid w:val="0"/>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项目设置危废暂存间，危险废物经收集后暂存于危废暂存间定期委托有资质单位处置。</w:t>
                  </w:r>
                </w:p>
                <w:p w14:paraId="04C4FD26">
                  <w:pPr>
                    <w:pStyle w:val="90"/>
                    <w:widowControl w:val="0"/>
                    <w:tabs>
                      <w:tab w:val="left" w:pos="271"/>
                    </w:tabs>
                    <w:autoSpaceDE w:val="0"/>
                    <w:autoSpaceDN w:val="0"/>
                    <w:adjustRightInd w:val="0"/>
                    <w:snapToGrid w:val="0"/>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w:t>
                  </w:r>
                  <w:r>
                    <w:rPr>
                      <w:rFonts w:hint="default" w:ascii="Times New Roman" w:hAnsi="Times New Roman" w:eastAsia="宋体" w:cs="Times New Roman"/>
                      <w:b w:val="0"/>
                      <w:color w:val="000000" w:themeColor="text1"/>
                      <w:sz w:val="21"/>
                      <w:szCs w:val="21"/>
                      <w:u w:val="none"/>
                      <w14:textFill>
                        <w14:solidFill>
                          <w14:schemeClr w14:val="tx1"/>
                        </w14:solidFill>
                      </w14:textFill>
                    </w:rPr>
                    <w:t>项目建成后实行分区防渗，做好地下水污染防治。项目建成后实行分区防渗，做好土壤污染防治。本项目不涉及危险废物。</w:t>
                  </w:r>
                </w:p>
              </w:tc>
              <w:tc>
                <w:tcPr>
                  <w:tcW w:w="389" w:type="pct"/>
                  <w:noWrap w:val="0"/>
                  <w:vAlign w:val="center"/>
                </w:tcPr>
                <w:p w14:paraId="28DEE644">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color w:val="000000" w:themeColor="text1"/>
                      <w:sz w:val="21"/>
                      <w:szCs w:val="21"/>
                      <w:u w:val="none"/>
                      <w14:textFill>
                        <w14:solidFill>
                          <w14:schemeClr w14:val="tx1"/>
                        </w14:solidFill>
                      </w14:textFill>
                    </w:rPr>
                    <w:t>符合</w:t>
                  </w:r>
                </w:p>
              </w:tc>
            </w:tr>
            <w:tr w14:paraId="221E6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047" w:type="pct"/>
                  <w:noWrap w:val="0"/>
                  <w:vAlign w:val="center"/>
                </w:tcPr>
                <w:p w14:paraId="44F4522C">
                  <w:pP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（四）严格执行环境准入要求，加强入园项目生态环境准入管理。落实蓝天、碧水、净土保卫战有关管控要求，加强</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两高</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行业生态环境源头防控，引进项目的生产工艺、设备、污染物排放和资源利用等，应达到清洁生产国内先进水平。推进技术研发型、创新型产业发展，提升产业的技术水平和高新区的绿色低碳化水平。高新区招商引资、入园项目环评审批应严格执行生态环境准入要求。要以高新区的资源环境承载能力为基础，充分论证、有序发展，严禁引进工艺装备落后，不符合污染物排放总量控制要求的企业。</w:t>
                  </w:r>
                </w:p>
              </w:tc>
              <w:tc>
                <w:tcPr>
                  <w:tcW w:w="1562" w:type="pct"/>
                  <w:noWrap w:val="0"/>
                  <w:vAlign w:val="center"/>
                </w:tcPr>
                <w:p w14:paraId="5D74B464">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color w:val="000000" w:themeColor="text1"/>
                      <w:sz w:val="21"/>
                      <w:szCs w:val="21"/>
                      <w:u w:val="none"/>
                      <w14:textFill>
                        <w14:solidFill>
                          <w14:schemeClr w14:val="tx1"/>
                        </w14:solidFill>
                      </w14:textFill>
                    </w:rPr>
                    <w:t>本项目不属于</w:t>
                  </w:r>
                  <w:r>
                    <w:rPr>
                      <w:rFonts w:hint="eastAsia" w:cs="Times New Roman"/>
                      <w:b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14:textFill>
                        <w14:solidFill>
                          <w14:schemeClr w14:val="tx1"/>
                        </w14:solidFill>
                      </w14:textFill>
                    </w:rPr>
                    <w:t>两高</w:t>
                  </w:r>
                  <w:r>
                    <w:rPr>
                      <w:rFonts w:hint="eastAsia" w:cs="Times New Roman"/>
                      <w:b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14:textFill>
                        <w14:solidFill>
                          <w14:schemeClr w14:val="tx1"/>
                        </w14:solidFill>
                      </w14:textFill>
                    </w:rPr>
                    <w:t>行业，所用生产工艺、设备均不落后，根据工程分析，废气、噪声均能达标排放，</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生产</w:t>
                  </w:r>
                  <w:r>
                    <w:rPr>
                      <w:rFonts w:hint="default" w:ascii="Times New Roman" w:hAnsi="Times New Roman" w:eastAsia="宋体" w:cs="Times New Roman"/>
                      <w:b w:val="0"/>
                      <w:color w:val="000000" w:themeColor="text1"/>
                      <w:sz w:val="21"/>
                      <w:szCs w:val="21"/>
                      <w:u w:val="none"/>
                      <w14:textFill>
                        <w14:solidFill>
                          <w14:schemeClr w14:val="tx1"/>
                        </w14:solidFill>
                      </w14:textFill>
                    </w:rPr>
                    <w:t>废水不外排</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，生活污水进入园区污水管网</w:t>
                  </w:r>
                  <w:r>
                    <w:rPr>
                      <w:rFonts w:hint="default" w:ascii="Times New Roman" w:hAnsi="Times New Roman" w:eastAsia="宋体" w:cs="Times New Roman"/>
                      <w:b w:val="0"/>
                      <w:color w:val="000000" w:themeColor="text1"/>
                      <w:sz w:val="21"/>
                      <w:szCs w:val="21"/>
                      <w:u w:val="none"/>
                      <w14:textFill>
                        <w14:solidFill>
                          <w14:schemeClr w14:val="tx1"/>
                        </w14:solidFill>
                      </w14:textFill>
                    </w:rPr>
                    <w:t>，固废均得到合理处置。</w:t>
                  </w:r>
                </w:p>
              </w:tc>
              <w:tc>
                <w:tcPr>
                  <w:tcW w:w="389" w:type="pct"/>
                  <w:noWrap w:val="0"/>
                  <w:vAlign w:val="center"/>
                </w:tcPr>
                <w:p w14:paraId="31A64927">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color w:val="000000" w:themeColor="text1"/>
                      <w:sz w:val="21"/>
                      <w:szCs w:val="21"/>
                      <w:u w:val="none"/>
                      <w14:textFill>
                        <w14:solidFill>
                          <w14:schemeClr w14:val="tx1"/>
                        </w14:solidFill>
                      </w14:textFill>
                    </w:rPr>
                    <w:t>符合</w:t>
                  </w:r>
                </w:p>
              </w:tc>
            </w:tr>
            <w:tr w14:paraId="5A29C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047" w:type="pct"/>
                  <w:noWrap w:val="0"/>
                  <w:vAlign w:val="center"/>
                </w:tcPr>
                <w:p w14:paraId="067371B7">
                  <w:pP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五）建立健全区域环境风险防范和生态安全保障体系。加强高新区内易导致环境风险的有毒有害和易燃易爆物质的生产、使用、贮运等管理，统筹考虑区内污染防治、生态恢复与建设、环境风险防范、环境管理等事宜。强化高新区危险化学品储运和废水的环境风险管理，制定建立厂区、园区、区域三级防控措施，强化高新区环境监测与预警能力建设、环境风险应急与防范措施，建立应急响应联动机制和风险防控体系并编制应急预案，防范环境风险，避免事故废水排入区外水体，保障区域环境安全</w:t>
                  </w:r>
                  <w:r>
                    <w:rPr>
                      <w:rFonts w:hint="default" w:ascii="Times New Roman" w:hAnsi="Times New Roman" w:eastAsia="宋体" w:cs="Times New Roman"/>
                      <w:b w:val="0"/>
                      <w:color w:val="000000" w:themeColor="text1"/>
                      <w:sz w:val="21"/>
                      <w:szCs w:val="21"/>
                      <w:u w:val="none"/>
                      <w14:textFill>
                        <w14:solidFill>
                          <w14:schemeClr w14:val="tx1"/>
                        </w14:solidFill>
                      </w14:textFill>
                    </w:rPr>
                    <w:t>。</w:t>
                  </w:r>
                </w:p>
              </w:tc>
              <w:tc>
                <w:tcPr>
                  <w:tcW w:w="1562" w:type="pct"/>
                  <w:noWrap w:val="0"/>
                  <w:vAlign w:val="center"/>
                </w:tcPr>
                <w:p w14:paraId="50E73025">
                  <w:pPr>
                    <w:pStyle w:val="90"/>
                    <w:widowControl w:val="0"/>
                    <w:tabs>
                      <w:tab w:val="left" w:pos="271"/>
                    </w:tabs>
                    <w:autoSpaceDE w:val="0"/>
                    <w:autoSpaceDN w:val="0"/>
                    <w:adjustRightInd w:val="0"/>
                    <w:snapToGrid w:val="0"/>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项目设置危废暂存间，危险废物经收集后暂存于危废暂存间定期委托有资质单位处置。</w:t>
                  </w:r>
                </w:p>
                <w:p w14:paraId="329521EC">
                  <w:pPr>
                    <w:pStyle w:val="90"/>
                    <w:widowControl w:val="0"/>
                    <w:tabs>
                      <w:tab w:val="left" w:pos="271"/>
                    </w:tabs>
                    <w:autoSpaceDE w:val="0"/>
                    <w:autoSpaceDN w:val="0"/>
                    <w:adjustRightInd w:val="0"/>
                    <w:snapToGrid w:val="0"/>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项目建设完成后，将及时编制突发环境事件应急预案。</w:t>
                  </w:r>
                </w:p>
              </w:tc>
              <w:tc>
                <w:tcPr>
                  <w:tcW w:w="389" w:type="pct"/>
                  <w:noWrap w:val="0"/>
                  <w:vAlign w:val="center"/>
                </w:tcPr>
                <w:p w14:paraId="4552F2BA">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color w:val="000000" w:themeColor="text1"/>
                      <w:sz w:val="21"/>
                      <w:szCs w:val="21"/>
                      <w:u w:val="none"/>
                      <w14:textFill>
                        <w14:solidFill>
                          <w14:schemeClr w14:val="tx1"/>
                        </w14:solidFill>
                      </w14:textFill>
                    </w:rPr>
                    <w:t>符合</w:t>
                  </w:r>
                </w:p>
              </w:tc>
            </w:tr>
            <w:tr w14:paraId="1E73B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047" w:type="pct"/>
                  <w:noWrap w:val="0"/>
                  <w:vAlign w:val="center"/>
                </w:tcPr>
                <w:p w14:paraId="2667EA90">
                  <w:pP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六）建立环境质量监测网络并共享数据。根据高新区功能分区、产业布局、重点企业分布、特征污染物的排放种类和状况、环境敏感目标分布等情况，统筹安排环境监测监控网络建设，做好区内大气、地表水、地下水、土壤等环境的长期跟踪监测与管理，督促排污企业落实自行监测责任。根据监测结果、实际环境影响、不良环境影响减缓措施的有效性等提出完善环境管理方案并适时优化调整《规划》。</w:t>
                  </w:r>
                </w:p>
              </w:tc>
              <w:tc>
                <w:tcPr>
                  <w:tcW w:w="1562" w:type="pct"/>
                  <w:noWrap w:val="0"/>
                  <w:vAlign w:val="center"/>
                </w:tcPr>
                <w:p w14:paraId="797769E2">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color w:val="000000" w:themeColor="text1"/>
                      <w:sz w:val="21"/>
                      <w:szCs w:val="21"/>
                      <w:u w:val="none"/>
                      <w14:textFill>
                        <w14:solidFill>
                          <w14:schemeClr w14:val="tx1"/>
                        </w14:solidFill>
                      </w14:textFill>
                    </w:rPr>
                    <w:t>本项目建成后及时申报排污许可证，并按</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照排污许可证</w:t>
                  </w:r>
                  <w:r>
                    <w:rPr>
                      <w:rFonts w:hint="default" w:ascii="Times New Roman" w:hAnsi="Times New Roman" w:eastAsia="宋体" w:cs="Times New Roman"/>
                      <w:b w:val="0"/>
                      <w:color w:val="000000" w:themeColor="text1"/>
                      <w:sz w:val="21"/>
                      <w:szCs w:val="21"/>
                      <w:u w:val="none"/>
                      <w14:textFill>
                        <w14:solidFill>
                          <w14:schemeClr w14:val="tx1"/>
                        </w14:solidFill>
                      </w14:textFill>
                    </w:rPr>
                    <w:t>要求进行自行监测，确保达标排放。</w:t>
                  </w:r>
                </w:p>
              </w:tc>
              <w:tc>
                <w:tcPr>
                  <w:tcW w:w="389" w:type="pct"/>
                  <w:noWrap w:val="0"/>
                  <w:vAlign w:val="center"/>
                </w:tcPr>
                <w:p w14:paraId="515E4F51">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color w:val="000000" w:themeColor="text1"/>
                      <w:sz w:val="21"/>
                      <w:szCs w:val="21"/>
                      <w:u w:val="none"/>
                      <w14:textFill>
                        <w14:solidFill>
                          <w14:schemeClr w14:val="tx1"/>
                        </w14:solidFill>
                      </w14:textFill>
                    </w:rPr>
                    <w:t>符合</w:t>
                  </w:r>
                </w:p>
              </w:tc>
            </w:tr>
            <w:tr w14:paraId="617CF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047" w:type="pct"/>
                  <w:tcBorders>
                    <w:bottom w:val="single" w:color="000000" w:sz="2" w:space="0"/>
                  </w:tcBorders>
                  <w:noWrap w:val="0"/>
                  <w:vAlign w:val="center"/>
                </w:tcPr>
                <w:p w14:paraId="4572A1E9">
                  <w:pP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（七）推进高新区环保基础设施建设，促进区域环境质量持续改善。加快建设配套的污水处理厂和再生水水厂，并同步建设污水管网、雨水管网及中水回用管网。做好</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雨污分流</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清污分流</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，做好污染雨水收集处理、强化中水回用。督促高新区企业加强废气、废水、噪声、固废等环保设施建设和运行管理</w:t>
                  </w:r>
                  <w:r>
                    <w:rPr>
                      <w:rFonts w:hint="default" w:ascii="Times New Roman" w:hAnsi="Times New Roman" w:eastAsia="宋体" w:cs="Times New Roman"/>
                      <w:b w:val="0"/>
                      <w:color w:val="000000" w:themeColor="text1"/>
                      <w:sz w:val="21"/>
                      <w:szCs w:val="21"/>
                      <w:u w:val="none"/>
                      <w14:textFill>
                        <w14:solidFill>
                          <w14:schemeClr w14:val="tx1"/>
                        </w14:solidFill>
                      </w14:textFill>
                    </w:rPr>
                    <w:t>。</w:t>
                  </w:r>
                </w:p>
              </w:tc>
              <w:tc>
                <w:tcPr>
                  <w:tcW w:w="1562" w:type="pct"/>
                  <w:noWrap w:val="0"/>
                  <w:vAlign w:val="center"/>
                </w:tcPr>
                <w:p w14:paraId="109124CC">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color w:val="000000" w:themeColor="text1"/>
                      <w:sz w:val="21"/>
                      <w:szCs w:val="21"/>
                      <w:u w:val="none"/>
                      <w14:textFill>
                        <w14:solidFill>
                          <w14:schemeClr w14:val="tx1"/>
                        </w14:solidFill>
                      </w14:textFill>
                    </w:rPr>
                    <w:t>本项目实行</w:t>
                  </w:r>
                  <w:r>
                    <w:rPr>
                      <w:rFonts w:hint="eastAsia" w:cs="Times New Roman"/>
                      <w:b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14:textFill>
                        <w14:solidFill>
                          <w14:schemeClr w14:val="tx1"/>
                        </w14:solidFill>
                      </w14:textFill>
                    </w:rPr>
                    <w:t>雨污分流</w:t>
                  </w:r>
                  <w:r>
                    <w:rPr>
                      <w:rFonts w:hint="eastAsia" w:cs="Times New Roman"/>
                      <w:b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14:textFill>
                        <w14:solidFill>
                          <w14:schemeClr w14:val="tx1"/>
                        </w14:solidFill>
                      </w14:textFill>
                    </w:rPr>
                    <w:t>，经工程分析，废气、噪声均能达标排放，</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生产</w:t>
                  </w:r>
                  <w:r>
                    <w:rPr>
                      <w:rFonts w:hint="default" w:ascii="Times New Roman" w:hAnsi="Times New Roman" w:eastAsia="宋体" w:cs="Times New Roman"/>
                      <w:b w:val="0"/>
                      <w:color w:val="000000" w:themeColor="text1"/>
                      <w:sz w:val="21"/>
                      <w:szCs w:val="21"/>
                      <w:u w:val="none"/>
                      <w14:textFill>
                        <w14:solidFill>
                          <w14:schemeClr w14:val="tx1"/>
                        </w14:solidFill>
                      </w14:textFill>
                    </w:rPr>
                    <w:t>废水不外排</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，生活污水进入园区污水管网</w:t>
                  </w:r>
                  <w:r>
                    <w:rPr>
                      <w:rFonts w:hint="default" w:ascii="Times New Roman" w:hAnsi="Times New Roman" w:eastAsia="宋体" w:cs="Times New Roman"/>
                      <w:b w:val="0"/>
                      <w:color w:val="000000" w:themeColor="text1"/>
                      <w:sz w:val="21"/>
                      <w:szCs w:val="21"/>
                      <w:u w:val="none"/>
                      <w14:textFill>
                        <w14:solidFill>
                          <w14:schemeClr w14:val="tx1"/>
                        </w14:solidFill>
                      </w14:textFill>
                    </w:rPr>
                    <w:t>，固废均得到合理处置。</w:t>
                  </w:r>
                </w:p>
              </w:tc>
              <w:tc>
                <w:tcPr>
                  <w:tcW w:w="389" w:type="pct"/>
                  <w:tcBorders>
                    <w:bottom w:val="single" w:color="000000" w:sz="2" w:space="0"/>
                  </w:tcBorders>
                  <w:noWrap w:val="0"/>
                  <w:vAlign w:val="center"/>
                </w:tcPr>
                <w:p w14:paraId="64A71D55">
                  <w:pPr>
                    <w:pStyle w:val="90"/>
                    <w:adjustRightInd w:val="0"/>
                    <w:snapToGrid w:val="0"/>
                    <w:jc w:val="center"/>
                    <w:rPr>
                      <w:rFonts w:hint="default" w:ascii="Times New Roman" w:hAnsi="Times New Roman" w:eastAsia="宋体" w:cs="Times New Roman"/>
                      <w:b w:val="0"/>
                      <w:color w:val="000000" w:themeColor="text1"/>
                      <w:sz w:val="21"/>
                      <w:szCs w:val="21"/>
                      <w:u w:val="none"/>
                      <w14:textFill>
                        <w14:solidFill>
                          <w14:schemeClr w14:val="tx1"/>
                        </w14:solidFill>
                      </w14:textFill>
                    </w:rPr>
                  </w:pPr>
                  <w:r>
                    <w:rPr>
                      <w:rFonts w:hint="default" w:ascii="Times New Roman" w:hAnsi="Times New Roman" w:eastAsia="宋体" w:cs="Times New Roman"/>
                      <w:b w:val="0"/>
                      <w:color w:val="000000" w:themeColor="text1"/>
                      <w:sz w:val="21"/>
                      <w:szCs w:val="21"/>
                      <w:u w:val="none"/>
                      <w14:textFill>
                        <w14:solidFill>
                          <w14:schemeClr w14:val="tx1"/>
                        </w14:solidFill>
                      </w14:textFill>
                    </w:rPr>
                    <w:t>符合</w:t>
                  </w:r>
                </w:p>
              </w:tc>
            </w:tr>
          </w:tbl>
          <w:p w14:paraId="3F58E200">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由上表可以看出，本项目的建设符合《玉溪高新技术产业开发区总体规划修编（2021-2035年）环境影响报告书》规划环评及其审查意见的要求。</w:t>
            </w:r>
          </w:p>
        </w:tc>
      </w:tr>
      <w:tr w14:paraId="0C556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17" w:type="dxa"/>
            <w:vAlign w:val="center"/>
          </w:tcPr>
          <w:p w14:paraId="387FC505">
            <w:pPr>
              <w:pageBreakBefore w:val="0"/>
              <w:kinsoku/>
              <w:overflowPunct/>
              <w:topLinePunct w:val="0"/>
              <w:autoSpaceDE w:val="0"/>
              <w:autoSpaceDN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其他符合性分析</w:t>
            </w:r>
          </w:p>
        </w:tc>
        <w:tc>
          <w:tcPr>
            <w:tcW w:w="7512" w:type="dxa"/>
            <w:gridSpan w:val="4"/>
            <w:vAlign w:val="center"/>
          </w:tcPr>
          <w:p w14:paraId="7A2118E2">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1、产业政策相符性分析</w:t>
            </w:r>
          </w:p>
          <w:p w14:paraId="1FAF7C1B">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本项目为软包装、新能源包装材料项目，对照《产业结构调整指导目录（2024年本）》，本项目为允许类。同时，本项目设备不属于国家明令淘汰的落后设备，符合国家和云南省现行相关产业政策。</w:t>
            </w:r>
          </w:p>
          <w:p w14:paraId="6B83A125">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项目于2025年9月5日取得了玉溪高新技术产业开发区管理委员会投资项目备案证（备案文号：玉高开委发备案〔2025〕37号），同意项目建设。</w:t>
            </w:r>
          </w:p>
          <w:p w14:paraId="24946EC3">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综上，本项目符合国家和地方相关产业政策。</w:t>
            </w:r>
          </w:p>
          <w:p w14:paraId="064AB62A">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2、项目选址合理性分析</w:t>
            </w:r>
          </w:p>
          <w:p w14:paraId="1FC12167">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玉溪高新区龙泉片区</w:t>
            </w:r>
            <w:r>
              <w:rPr>
                <w:rFonts w:hint="default" w:ascii="Times New Roman" w:hAnsi="Times New Roman" w:eastAsia="宋体" w:cs="Times New Roman"/>
                <w:color w:val="000000" w:themeColor="text1"/>
                <w:lang w:val="en-US" w:eastAsia="zh-CN"/>
                <w14:textFill>
                  <w14:solidFill>
                    <w14:schemeClr w14:val="tx1"/>
                  </w14:solidFill>
                </w14:textFill>
              </w:rPr>
              <w:t>，根据《玉溪高新技术产业开发区总体规划修编（2021-2035年）》，本项目用地属于玉溪高新技术产业开发区龙泉片区，位于工业园区内。项目于2025年9月3日与玉溪高新技术产业开发区管理委员会签订了投资协议，同意项目入驻。</w:t>
            </w:r>
            <w:r>
              <w:rPr>
                <w:rFonts w:hint="default" w:ascii="Times New Roman" w:hAnsi="Times New Roman" w:eastAsia="宋体" w:cs="Times New Roman"/>
                <w:color w:val="000000" w:themeColor="text1"/>
                <w14:textFill>
                  <w14:solidFill>
                    <w14:schemeClr w14:val="tx1"/>
                  </w14:solidFill>
                </w14:textFill>
              </w:rPr>
              <w:t>项目建设符合云南省玉溪高新区龙泉片区规划产业要求，与</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玉溪高新技术产业开发区总体规划修编（2021-2035年）环境影响报告书》及其审查意见中对入驻企业环保限制性要求相符。</w:t>
            </w:r>
          </w:p>
          <w:p w14:paraId="0356C73C">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本项目位于星云湖绿色发展区，不涉及星云湖生态保护核心区、生态保护缓冲区；对照《云南省星云湖保护条例》，本项目不涉及《云南省星云湖保护条例》中绿色发展区的禁止行为。</w:t>
            </w:r>
          </w:p>
          <w:p w14:paraId="2B0A9D1E">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项目选址不涉及自然保护区、风景旅游点、饮用水源地、文物古迹等需特殊保护的环境敏感对象，项目区500m范围内无村庄等关心点。本项目对关心点的影响不大。</w:t>
            </w:r>
          </w:p>
          <w:p w14:paraId="51695041">
            <w:pPr>
              <w:pStyle w:val="84"/>
              <w:pageBreakBefore w:val="0"/>
              <w:kinsoku/>
              <w:overflowPunct/>
              <w:topLinePunct w:val="0"/>
              <w:bidi w:val="0"/>
              <w:ind w:left="0" w:leftChars="0" w:right="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w:t>
            </w:r>
            <w:r>
              <w:rPr>
                <w:rFonts w:hint="default" w:ascii="Times New Roman" w:hAnsi="Times New Roman" w:eastAsia="宋体" w:cs="Times New Roman"/>
                <w:color w:val="000000" w:themeColor="text1"/>
                <w:lang w:eastAsia="zh-CN"/>
                <w14:textFill>
                  <w14:solidFill>
                    <w14:schemeClr w14:val="tx1"/>
                  </w14:solidFill>
                </w14:textFill>
              </w:rPr>
              <w:t>废气</w:t>
            </w:r>
            <w:r>
              <w:rPr>
                <w:rFonts w:hint="default" w:ascii="Times New Roman" w:hAnsi="Times New Roman" w:eastAsia="宋体" w:cs="Times New Roman"/>
                <w:color w:val="000000" w:themeColor="text1"/>
                <w14:textFill>
                  <w14:solidFill>
                    <w14:schemeClr w14:val="tx1"/>
                  </w14:solidFill>
                </w14:textFill>
              </w:rPr>
              <w:t>经采取相应的对策措施后均能达标排放。主要生产设备均置于厂房内，无组织排放的挥发性有机物对周边大气环境影响较小</w:t>
            </w:r>
            <w:r>
              <w:rPr>
                <w:rFonts w:hint="default" w:ascii="Times New Roman" w:hAnsi="Times New Roman" w:eastAsia="宋体" w:cs="Times New Roman"/>
                <w:color w:val="000000" w:themeColor="text1"/>
                <w:lang w:eastAsia="zh-CN"/>
                <w14:textFill>
                  <w14:solidFill>
                    <w14:schemeClr w14:val="tx1"/>
                  </w14:solidFill>
                </w14:textFill>
              </w:rPr>
              <w:t>；根据调查，本项目</w:t>
            </w:r>
            <w:r>
              <w:rPr>
                <w:rFonts w:hint="default" w:ascii="Times New Roman" w:hAnsi="Times New Roman" w:eastAsia="宋体" w:cs="Times New Roman"/>
                <w:color w:val="000000" w:themeColor="text1"/>
                <w14:textFill>
                  <w14:solidFill>
                    <w14:schemeClr w14:val="tx1"/>
                  </w14:solidFill>
                </w14:textFill>
              </w:rPr>
              <w:t>周围的企业云南福胤钢结构制造有限公司</w:t>
            </w:r>
            <w:r>
              <w:rPr>
                <w:rFonts w:hint="default" w:ascii="Times New Roman" w:hAnsi="Times New Roman" w:eastAsia="宋体" w:cs="Times New Roman"/>
                <w:color w:val="000000" w:themeColor="text1"/>
                <w:lang w:eastAsia="zh-CN"/>
                <w14:textFill>
                  <w14:solidFill>
                    <w14:schemeClr w14:val="tx1"/>
                  </w14:solidFill>
                </w14:textFill>
              </w:rPr>
              <w:t>（钢结构</w:t>
            </w:r>
            <w:r>
              <w:rPr>
                <w:rFonts w:hint="default" w:ascii="Times New Roman" w:hAnsi="Times New Roman" w:eastAsia="宋体" w:cs="Times New Roman"/>
                <w:color w:val="000000" w:themeColor="text1"/>
                <w14:textFill>
                  <w14:solidFill>
                    <w14:schemeClr w14:val="tx1"/>
                  </w14:solidFill>
                </w14:textFill>
              </w:rPr>
              <w:t>建材</w:t>
            </w:r>
            <w:r>
              <w:rPr>
                <w:rFonts w:hint="default" w:ascii="Times New Roman" w:hAnsi="Times New Roman" w:eastAsia="宋体" w:cs="Times New Roman"/>
                <w:color w:val="000000" w:themeColor="text1"/>
                <w:lang w:eastAsia="zh-CN"/>
                <w14:textFill>
                  <w14:solidFill>
                    <w14:schemeClr w14:val="tx1"/>
                  </w14:solidFill>
                </w14:textFill>
              </w:rPr>
              <w:t>生产，主要污染物为颗粒物等）、云南祥恒包装有限公司（包装印刷，主要污染物为颗粒物、非甲烷总烃等）等企业</w:t>
            </w:r>
            <w:r>
              <w:rPr>
                <w:rFonts w:hint="default" w:ascii="Times New Roman" w:hAnsi="Times New Roman" w:eastAsia="宋体" w:cs="Times New Roman"/>
                <w:color w:val="000000" w:themeColor="text1"/>
                <w14:textFill>
                  <w14:solidFill>
                    <w14:schemeClr w14:val="tx1"/>
                  </w14:solidFill>
                </w14:textFill>
              </w:rPr>
              <w:t>对本项目无制约性因素</w:t>
            </w:r>
            <w:r>
              <w:rPr>
                <w:rFonts w:hint="default" w:ascii="Times New Roman" w:hAnsi="Times New Roman" w:eastAsia="宋体" w:cs="Times New Roman"/>
                <w:color w:val="000000" w:themeColor="text1"/>
                <w:lang w:eastAsia="zh-CN"/>
                <w14:textFill>
                  <w14:solidFill>
                    <w14:schemeClr w14:val="tx1"/>
                  </w14:solidFill>
                </w14:textFill>
              </w:rPr>
              <w:t>，同时</w:t>
            </w:r>
            <w:r>
              <w:rPr>
                <w:rFonts w:hint="default" w:ascii="Times New Roman" w:hAnsi="Times New Roman" w:eastAsia="宋体" w:cs="Times New Roman"/>
                <w:color w:val="000000" w:themeColor="text1"/>
                <w14:textFill>
                  <w14:solidFill>
                    <w14:schemeClr w14:val="tx1"/>
                  </w14:solidFill>
                </w14:textFill>
              </w:rPr>
              <w:t>本项目对周边企业和环境影响有限，</w:t>
            </w:r>
            <w:r>
              <w:rPr>
                <w:rFonts w:hint="default" w:ascii="Times New Roman" w:hAnsi="Times New Roman" w:eastAsia="宋体" w:cs="Times New Roman"/>
                <w:color w:val="000000" w:themeColor="text1"/>
                <w:lang w:val="zh-CN"/>
                <w14:textFill>
                  <w14:solidFill>
                    <w14:schemeClr w14:val="tx1"/>
                  </w14:solidFill>
                </w14:textFill>
              </w:rPr>
              <w:t>本项目与</w:t>
            </w:r>
            <w:r>
              <w:rPr>
                <w:rFonts w:hint="default" w:ascii="Times New Roman" w:hAnsi="Times New Roman" w:eastAsia="宋体" w:cs="Times New Roman"/>
                <w:color w:val="000000" w:themeColor="text1"/>
                <w14:textFill>
                  <w14:solidFill>
                    <w14:schemeClr w14:val="tx1"/>
                  </w14:solidFill>
                </w14:textFill>
              </w:rPr>
              <w:t>周边</w:t>
            </w:r>
            <w:r>
              <w:rPr>
                <w:rFonts w:hint="default" w:ascii="Times New Roman" w:hAnsi="Times New Roman" w:eastAsia="宋体" w:cs="Times New Roman"/>
                <w:color w:val="000000" w:themeColor="text1"/>
                <w:lang w:val="zh-CN"/>
                <w14:textFill>
                  <w14:solidFill>
                    <w14:schemeClr w14:val="tx1"/>
                  </w14:solidFill>
                </w14:textFill>
              </w:rPr>
              <w:t>环境是相容的。</w:t>
            </w:r>
          </w:p>
          <w:p w14:paraId="03FD07A4">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区域交通建设基本完善，水、电、物流等基础设施供应有保障，为项目建设提供了良好的条件。营运期间产生的污染物均采取了相应的防治措施，各项污染因素均能实现达标排放，不会降低区域环境功能等级，因此选址较合理</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6F696DDA">
            <w:pPr>
              <w:pStyle w:val="31"/>
              <w:pageBreakBefore w:val="0"/>
              <w:kinsoku/>
              <w:overflowPunct/>
              <w:topLinePunct w:val="0"/>
              <w:bidi w:val="0"/>
              <w:spacing w:after="0" w:line="360" w:lineRule="auto"/>
              <w:ind w:left="0" w:leftChars="0" w:right="0" w:firstLine="482"/>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3、平面布局合理性分析</w:t>
            </w:r>
          </w:p>
          <w:p w14:paraId="2D86206E">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根据项目总平面布置图，本项目</w:t>
            </w:r>
            <w:r>
              <w:rPr>
                <w:rFonts w:hint="default" w:ascii="Times New Roman" w:hAnsi="Times New Roman" w:eastAsia="宋体" w:cs="Times New Roman"/>
                <w:color w:val="000000" w:themeColor="text1"/>
                <w:sz w:val="24"/>
                <w:lang w:eastAsia="zh-CN"/>
                <w14:textFill>
                  <w14:solidFill>
                    <w14:schemeClr w14:val="tx1"/>
                  </w14:solidFill>
                </w14:textFill>
              </w:rPr>
              <w:t>租用生产厂房</w:t>
            </w:r>
            <w:r>
              <w:rPr>
                <w:rFonts w:hint="default" w:ascii="Times New Roman" w:hAnsi="Times New Roman" w:eastAsia="宋体" w:cs="Times New Roman"/>
                <w:color w:val="000000" w:themeColor="text1"/>
                <w:sz w:val="24"/>
                <w14:textFill>
                  <w14:solidFill>
                    <w14:schemeClr w14:val="tx1"/>
                  </w14:solidFill>
                </w14:textFill>
              </w:rPr>
              <w:t>呈</w:t>
            </w:r>
            <w:r>
              <w:rPr>
                <w:rFonts w:hint="default" w:ascii="Times New Roman" w:hAnsi="Times New Roman" w:eastAsia="宋体" w:cs="Times New Roman"/>
                <w:color w:val="000000" w:themeColor="text1"/>
                <w:sz w:val="24"/>
                <w:lang w:eastAsia="zh-CN"/>
                <w14:textFill>
                  <w14:solidFill>
                    <w14:schemeClr w14:val="tx1"/>
                  </w14:solidFill>
                </w14:textFill>
              </w:rPr>
              <w:t>矩形</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租用生产厂房共</w:t>
            </w:r>
            <w:r>
              <w:rPr>
                <w:rFonts w:hint="default" w:ascii="Times New Roman" w:hAnsi="Times New Roman" w:eastAsia="宋体" w:cs="Times New Roman"/>
                <w:color w:val="000000" w:themeColor="text1"/>
                <w:sz w:val="24"/>
                <w:lang w:val="en-US" w:eastAsia="zh-CN"/>
                <w14:textFill>
                  <w14:solidFill>
                    <w14:schemeClr w14:val="tx1"/>
                  </w14:solidFill>
                </w14:textFill>
              </w:rPr>
              <w:t>2层。</w:t>
            </w:r>
          </w:p>
          <w:p w14:paraId="31FF4E19">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生产厂房1F自北向南依次布设办公室、原料区、溶剂间、生产区（印刷、复合、分切工序）、熟化区（固化工序）、办公室。</w:t>
            </w:r>
          </w:p>
          <w:p w14:paraId="61759BCF">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生产厂房2F自北向南依次布设办公室、1#生产区（制袋工序，塑料袋）、1#成品区、2#生产区（制袋工序，新能源包装）、2#成品区、办公室。</w:t>
            </w:r>
          </w:p>
          <w:p w14:paraId="4EB63039">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项目区内功能分区明确，布局合理。本项目厂区总平面布置详见附图2。</w:t>
            </w:r>
          </w:p>
          <w:p w14:paraId="7524AD86">
            <w:pPr>
              <w:pStyle w:val="3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2" w:firstLineChars="200"/>
              <w:jc w:val="left"/>
              <w:textAlignment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4"/>
                <w14:textFill>
                  <w14:solidFill>
                    <w14:schemeClr w14:val="tx1"/>
                  </w14:solidFill>
                </w14:textFill>
              </w:rPr>
              <w:t>与</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玉溪市</w:t>
            </w:r>
            <w:r>
              <w:rPr>
                <w:rFonts w:hint="eastAsia"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三线一单</w:t>
            </w:r>
            <w:r>
              <w:rPr>
                <w:rFonts w:hint="eastAsia"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生态环境分区管控实施意见》</w:t>
            </w:r>
            <w:r>
              <w:rPr>
                <w:rFonts w:hint="default" w:ascii="Times New Roman" w:hAnsi="Times New Roman" w:eastAsia="宋体" w:cs="Times New Roman"/>
                <w:b/>
                <w:bCs/>
                <w:color w:val="000000" w:themeColor="text1"/>
                <w:sz w:val="24"/>
                <w:lang w:eastAsia="zh-CN"/>
                <w14:textFill>
                  <w14:solidFill>
                    <w14:schemeClr w14:val="tx1"/>
                  </w14:solidFill>
                </w14:textFill>
              </w:rPr>
              <w:t>中（生态保护红线、环境质量底线、资源利用上线）及</w:t>
            </w:r>
            <w:r>
              <w:rPr>
                <w:rFonts w:hint="default" w:ascii="Times New Roman" w:hAnsi="Times New Roman" w:eastAsia="宋体" w:cs="Times New Roman"/>
                <w:b/>
                <w:bCs/>
                <w:color w:val="000000" w:themeColor="text1"/>
                <w:sz w:val="24"/>
                <w:lang w:val="en-US" w:eastAsia="zh-CN"/>
                <w14:textFill>
                  <w14:solidFill>
                    <w14:schemeClr w14:val="tx1"/>
                  </w14:solidFill>
                </w14:textFill>
              </w:rPr>
              <w:t>《玉溪市生态环境局关于印发玉溪市生态环境分区管控动态更新调整方案（2023年）的通知》（玉市环〔2024〕40号）（生态环境分区管控）</w:t>
            </w:r>
            <w:r>
              <w:rPr>
                <w:rFonts w:hint="default" w:ascii="Times New Roman" w:hAnsi="Times New Roman" w:eastAsia="宋体" w:cs="Times New Roman"/>
                <w:b/>
                <w:bCs/>
                <w:color w:val="000000" w:themeColor="text1"/>
                <w:sz w:val="24"/>
                <w14:textFill>
                  <w14:solidFill>
                    <w14:schemeClr w14:val="tx1"/>
                  </w14:solidFill>
                </w14:textFill>
              </w:rPr>
              <w:t>符合性分析</w:t>
            </w:r>
          </w:p>
          <w:p w14:paraId="54DCFDAA">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2021年12月6日玉溪市人民政府印发了《玉溪市</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三线一单</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生态环境分区管控实施意见的通知》（玉政发〔2021〕15号）。</w:t>
            </w:r>
          </w:p>
          <w:p w14:paraId="0877B53A">
            <w:pPr>
              <w:pageBreakBefore w:val="0"/>
              <w:kinsoku/>
              <w:overflowPunct/>
              <w:topLinePunct w:val="0"/>
              <w:bidi w:val="0"/>
              <w:spacing w:line="360" w:lineRule="auto"/>
              <w:ind w:left="0" w:leftChars="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2024年6月7日玉溪市生态环境局发布的《玉溪市生态环境局关于印发玉溪市生态环境分区管控动态更新调整方案（2023年）的通知》（玉市环〔2024〕40号）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5FC7686">
            <w:pPr>
              <w:pageBreakBefore w:val="0"/>
              <w:kinsoku/>
              <w:overflowPunct/>
              <w:topLinePunct w:val="0"/>
              <w:bidi w:val="0"/>
              <w:spacing w:line="360" w:lineRule="auto"/>
              <w:ind w:left="0" w:leftChars="0" w:right="0"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本次通过云南省生态环境分区管控公共服务查询平台进行查询，经查询，本项目涉及江川区产业园区重点管控单元。分区管控单元查询图详见附件。</w:t>
            </w:r>
          </w:p>
          <w:p w14:paraId="65146A63">
            <w:pPr>
              <w:pageBreakBefore w:val="0"/>
              <w:kinsoku/>
              <w:overflowPunct/>
              <w:topLinePunct w:val="0"/>
              <w:bidi w:val="0"/>
              <w:spacing w:line="360" w:lineRule="auto"/>
              <w:ind w:left="0" w:leftChars="0" w:right="0" w:firstLine="480" w:firstLineChars="200"/>
              <w:jc w:val="left"/>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项目与其符合性分析详见下表。</w:t>
            </w:r>
          </w:p>
          <w:p w14:paraId="7B1679FE">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14:paraId="18077450">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与玉溪市</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三线</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符合性分析</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3423"/>
              <w:gridCol w:w="2939"/>
              <w:gridCol w:w="521"/>
            </w:tblGrid>
            <w:tr w14:paraId="015D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6FA0718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2307" w:type="pct"/>
                  <w:vAlign w:val="center"/>
                </w:tcPr>
                <w:p w14:paraId="074217B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《玉溪市</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三线一单</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生态环境分区管控实施意见》要求</w:t>
                  </w:r>
                </w:p>
              </w:tc>
              <w:tc>
                <w:tcPr>
                  <w:tcW w:w="1981" w:type="pct"/>
                  <w:vAlign w:val="center"/>
                </w:tcPr>
                <w:p w14:paraId="31BA1B8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项目情况</w:t>
                  </w:r>
                </w:p>
              </w:tc>
              <w:tc>
                <w:tcPr>
                  <w:tcW w:w="349" w:type="pct"/>
                  <w:vAlign w:val="center"/>
                </w:tcPr>
                <w:p w14:paraId="1B383C9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符合性</w:t>
                  </w:r>
                </w:p>
              </w:tc>
            </w:tr>
            <w:tr w14:paraId="2DDC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4F2A136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一、生态保护红线和一般生态空间</w:t>
                  </w:r>
                </w:p>
              </w:tc>
            </w:tr>
            <w:tr w14:paraId="1260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7F96006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307" w:type="pct"/>
                  <w:vAlign w:val="center"/>
                </w:tcPr>
                <w:p w14:paraId="6EC7681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981" w:type="pct"/>
                  <w:vAlign w:val="center"/>
                </w:tcPr>
                <w:p w14:paraId="0D28718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w:t>
                  </w:r>
                  <w:r>
                    <w:rPr>
                      <w:rFonts w:hint="default" w:ascii="Times New Roman" w:hAnsi="Times New Roman" w:eastAsia="宋体" w:cs="Times New Roman"/>
                      <w:color w:val="000000" w:themeColor="text1"/>
                      <w:lang w:val="en-US" w:eastAsia="zh-CN"/>
                      <w14:textFill>
                        <w14:solidFill>
                          <w14:schemeClr w14:val="tx1"/>
                        </w14:solidFill>
                      </w14:textFill>
                    </w:rPr>
                    <w:t>玉溪高新技术产业开发区龙泉片区，位于工业园区内。</w:t>
                  </w:r>
                </w:p>
                <w:p w14:paraId="2B1C336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不涉及红塔区永久基本农田，不涉及占用红塔区生态保护红线。</w:t>
                  </w:r>
                </w:p>
                <w:p w14:paraId="001DEEE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49" w:type="pct"/>
                  <w:vAlign w:val="center"/>
                </w:tcPr>
                <w:p w14:paraId="6C8D706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E51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09DF6A9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二、环境质量底线</w:t>
                  </w:r>
                </w:p>
              </w:tc>
            </w:tr>
            <w:tr w14:paraId="4AC0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6205174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307" w:type="pct"/>
                  <w:vAlign w:val="center"/>
                </w:tcPr>
                <w:p w14:paraId="346FE8C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1981" w:type="pct"/>
                  <w:vAlign w:val="center"/>
                </w:tcPr>
                <w:p w14:paraId="195E07A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根据项目区域水系图可知，</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本项目距离最近的地表水体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为项目区东北侧约200m处的玉江大沟，玉江大沟最终进入星云湖，属于星云湖径流区范围。</w:t>
                  </w:r>
                </w:p>
                <w:p w14:paraId="0E5D89B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根据玉溪市生态环境局发布《玉溪市生态环境状况公报（2024年度）》星云湖水质为</w:t>
                  </w:r>
                  <w:r>
                    <w:rPr>
                      <w:rFonts w:hint="default" w:ascii="Times New Roman" w:hAnsi="Times New Roman" w:eastAsia="宋体" w:cs="Times New Roman"/>
                      <w:color w:val="000000" w:themeColor="text1"/>
                      <w:sz w:val="20"/>
                      <w:szCs w:val="20"/>
                      <w:lang w:val="en-US" w:eastAsia="zh-CN"/>
                      <w14:textFill>
                        <w14:solidFill>
                          <w14:schemeClr w14:val="tx1"/>
                        </w14:solidFill>
                      </w14:textFill>
                    </w:rPr>
                    <w:t>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类，不满足《地表水环境质量标准》（GB3838-2002）中</w:t>
                  </w:r>
                  <w:r>
                    <w:rPr>
                      <w:rFonts w:hint="default" w:ascii="Times New Roman" w:hAnsi="Times New Roman" w:eastAsia="宋体" w:cs="Times New Roman"/>
                      <w:color w:val="000000" w:themeColor="text1"/>
                      <w:sz w:val="20"/>
                      <w:szCs w:val="20"/>
                      <w:lang w:val="en-US" w:eastAsia="zh-CN"/>
                      <w14:textFill>
                        <w14:solidFill>
                          <w14:schemeClr w14:val="tx1"/>
                        </w14:solidFill>
                      </w14:textFill>
                    </w:rPr>
                    <w:t>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类标准，水质不达到功能区划要求。</w:t>
                  </w:r>
                </w:p>
                <w:p w14:paraId="494EF24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本项目生产过程中不产生生产废水，对印刷设备进行清理时均采用抹布蘸取少量油墨清洗剂对设备进行擦拭，无清洗废水产生。</w:t>
                  </w:r>
                </w:p>
                <w:p w14:paraId="155864E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近期由于园区污水处理厂暂未正常运行，生活污水经化粪池预处理后进入自建生活污水处理设施处理达标后用于厂区周边绿化，</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，留待晴天使用；远期待园区污水处理厂正常运行后，产生的生活污水通过化粪池预处理后排入园区市政污水管网，进入园区污水处理厂处理。</w:t>
                  </w:r>
                </w:p>
                <w:p w14:paraId="5BDB525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本项目基本不会对区域地表水造成影响。</w:t>
                  </w:r>
                </w:p>
              </w:tc>
              <w:tc>
                <w:tcPr>
                  <w:tcW w:w="349" w:type="pct"/>
                  <w:vAlign w:val="center"/>
                </w:tcPr>
                <w:p w14:paraId="41834E1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9C1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2FF50E8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307" w:type="pct"/>
                  <w:vAlign w:val="center"/>
                </w:tcPr>
                <w:p w14:paraId="429F2AB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1981" w:type="pct"/>
                  <w:vAlign w:val="center"/>
                </w:tcPr>
                <w:p w14:paraId="49D4676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本项目位于玉溪高新区龙泉片区，根据玉溪市生态环境局</w:t>
                  </w:r>
                </w:p>
                <w:p w14:paraId="4FE27A5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发布《2024年玉溪市生态环境状况公报》，江川区空寂质量优良天数为99.4%，判定所在区域为环境空气质量达标区。</w:t>
                  </w:r>
                </w:p>
                <w:p w14:paraId="5E0FADD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经分析，项目产生的大气污染物经采取积极有效的污染控制措施后，能达标排放，且排放量小，对区域环境空气质量的影响很小，不影响区域环境空气质量改善的目标要求。</w:t>
                  </w:r>
                </w:p>
              </w:tc>
              <w:tc>
                <w:tcPr>
                  <w:tcW w:w="349" w:type="pct"/>
                  <w:vAlign w:val="center"/>
                </w:tcPr>
                <w:p w14:paraId="3BE243F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63D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2921132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307" w:type="pct"/>
                  <w:vAlign w:val="center"/>
                </w:tcPr>
                <w:p w14:paraId="0B7AE71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981" w:type="pct"/>
                  <w:vAlign w:val="center"/>
                </w:tcPr>
                <w:p w14:paraId="658AB1E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不涉及使用危险化学品，运营期废气达标排放，无生产废水产生，近期生活污水经自建污水处理设施处理达标后回用于绿化，远期生活污水经化粪池预处理后排入园区污水管网，危险废物妥善处理，固废均得到合理处置。项目建成后对区域土壤环境质量产生影响较小，土壤环境风险较低。</w:t>
                  </w:r>
                </w:p>
              </w:tc>
              <w:tc>
                <w:tcPr>
                  <w:tcW w:w="349" w:type="pct"/>
                  <w:vAlign w:val="center"/>
                </w:tcPr>
                <w:p w14:paraId="5A8B875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C03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14:paraId="121EFCA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三、资源利用上线</w:t>
                  </w:r>
                </w:p>
              </w:tc>
            </w:tr>
            <w:tr w14:paraId="600E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4BCF10F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307" w:type="pct"/>
                  <w:vAlign w:val="center"/>
                </w:tcPr>
                <w:p w14:paraId="4F715D1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强化资源能源节约集约利用，持续提升资源能源利用效率，水资源、土地资源、能源消耗等达到或优于省下达的总量和强度控制目标。</w:t>
                  </w:r>
                </w:p>
              </w:tc>
              <w:tc>
                <w:tcPr>
                  <w:tcW w:w="1981" w:type="pct"/>
                  <w:vAlign w:val="center"/>
                </w:tcPr>
                <w:p w14:paraId="5388A07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本项目位于玉溪高新区龙泉片区，位于工业园区内，本项目租用现有空置厂房占地面积约为4000m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，不新增占地，不涉及土地利用上线。</w:t>
                  </w:r>
                </w:p>
                <w:p w14:paraId="486D6B9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本项目用水量约1200m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/a，用水量不大，项目用水由市政管网供给，不会突破资源利用上线。</w:t>
                  </w:r>
                </w:p>
              </w:tc>
              <w:tc>
                <w:tcPr>
                  <w:tcW w:w="349" w:type="pct"/>
                  <w:vAlign w:val="center"/>
                </w:tcPr>
                <w:p w14:paraId="4EC0B79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50607FC8">
            <w:pPr>
              <w:keepLines/>
              <w:pageBreakBefore w:val="0"/>
              <w:widowControl/>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表1-</w:t>
            </w:r>
            <w:r>
              <w:rPr>
                <w:rFonts w:hint="default" w:ascii="Times New Roman" w:hAnsi="Times New Roman" w:eastAsia="宋体" w:cs="Times New Roman"/>
                <w:b/>
                <w:bCs/>
                <w:color w:val="000000" w:themeColor="text1"/>
                <w:lang w:val="en-US" w:eastAsia="zh-CN"/>
                <w14:textFill>
                  <w14:solidFill>
                    <w14:schemeClr w14:val="tx1"/>
                  </w14:solidFill>
                </w14:textFill>
              </w:rPr>
              <w:t>5与《玉溪市生态环境局关于印发玉溪市生态环境分区管控动态更新调整方案（2023年）的通知》</w:t>
            </w:r>
            <w:r>
              <w:rPr>
                <w:rFonts w:hint="default" w:ascii="Times New Roman" w:hAnsi="Times New Roman" w:eastAsia="宋体" w:cs="Times New Roman"/>
                <w:b/>
                <w:bCs/>
                <w:color w:val="000000" w:themeColor="text1"/>
                <w14:textFill>
                  <w14:solidFill>
                    <w14:schemeClr w14:val="tx1"/>
                  </w14:solidFill>
                </w14:textFill>
              </w:rPr>
              <w:t>符合性分析一览表</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3039"/>
              <w:gridCol w:w="3009"/>
              <w:gridCol w:w="640"/>
            </w:tblGrid>
            <w:tr w14:paraId="2A07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541" w:type="pct"/>
                  <w:gridSpan w:val="2"/>
                  <w:vAlign w:val="center"/>
                </w:tcPr>
                <w:p w14:paraId="4B2492E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《玉溪市生态环境局关于印发玉溪市生态环境分区管控动态更新调整方案（2023年）的通知》</w:t>
                  </w:r>
                  <w:r>
                    <w:rPr>
                      <w:rFonts w:hint="default" w:ascii="Times New Roman" w:hAnsi="Times New Roman" w:eastAsia="宋体" w:cs="Times New Roman"/>
                      <w:color w:val="000000" w:themeColor="text1"/>
                      <w:sz w:val="21"/>
                      <w:szCs w:val="21"/>
                      <w:lang w:eastAsia="zh-CN"/>
                      <w14:textFill>
                        <w14:solidFill>
                          <w14:schemeClr w14:val="tx1"/>
                        </w14:solidFill>
                      </w14:textFill>
                    </w:rPr>
                    <w:t>要求</w:t>
                  </w:r>
                </w:p>
              </w:tc>
              <w:tc>
                <w:tcPr>
                  <w:tcW w:w="2028" w:type="pct"/>
                  <w:vAlign w:val="center"/>
                </w:tcPr>
                <w:p w14:paraId="2719907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项目情况</w:t>
                  </w:r>
                </w:p>
              </w:tc>
              <w:tc>
                <w:tcPr>
                  <w:tcW w:w="430" w:type="pct"/>
                  <w:vAlign w:val="center"/>
                </w:tcPr>
                <w:p w14:paraId="1669DE6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符合情况</w:t>
                  </w:r>
                </w:p>
              </w:tc>
            </w:tr>
            <w:tr w14:paraId="6208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4"/>
                  <w:vAlign w:val="center"/>
                </w:tcPr>
                <w:p w14:paraId="2871C59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生态环境管控总体要求</w:t>
                  </w:r>
                </w:p>
              </w:tc>
            </w:tr>
            <w:tr w14:paraId="6C64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restart"/>
                  <w:vAlign w:val="center"/>
                </w:tcPr>
                <w:p w14:paraId="1B0E468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047" w:type="pct"/>
                  <w:vAlign w:val="center"/>
                </w:tcPr>
                <w:p w14:paraId="56AA7DE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tc>
              <w:tc>
                <w:tcPr>
                  <w:tcW w:w="2028" w:type="pct"/>
                  <w:vAlign w:val="center"/>
                </w:tcPr>
                <w:p w14:paraId="676F7280">
                  <w:pPr>
                    <w:keepNext w:val="0"/>
                    <w:keepLines/>
                    <w:pageBreakBefore w:val="0"/>
                    <w:widowControl/>
                    <w:kinsoku/>
                    <w:wordWrap w:val="0"/>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本项目为软包装、新能源包装材料项目，本项目符合国家产业政策，本</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项目于2025年9月3日与玉溪高新技术产业开发区管理委员会签订了投资协议，同意项目入驻。项目于2025年9月5日取得了玉溪高新技术产业开发区管理委员会投资项目备案证（备案文号：玉高开委发备案〔2025〕37号），同意项目建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0" w:type="pct"/>
                  <w:vAlign w:val="center"/>
                </w:tcPr>
                <w:p w14:paraId="5E496D8D">
                  <w:pPr>
                    <w:keepNext w:val="0"/>
                    <w:keepLines/>
                    <w:pageBreakBefore w:val="0"/>
                    <w:widowControl/>
                    <w:kinsoku/>
                    <w:wordWrap w:val="0"/>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F64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7AA65E9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0303D77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加强河湖水域岸线空间管控，严格落实九大高原湖泊（抚仙湖、星云湖、杞麓湖）</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两线三区</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相关管控要求。加快推动重点区域、重点流域落后和过剩产能退出。依法加快城市建成区重污染企业搬迁改造或关闭退出。</w:t>
                  </w:r>
                </w:p>
              </w:tc>
              <w:tc>
                <w:tcPr>
                  <w:tcW w:w="2028" w:type="pct"/>
                  <w:vAlign w:val="center"/>
                </w:tcPr>
                <w:p w14:paraId="2CDC579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本项目为软包装、新能源包装材料项目，属新建项目，本项目位于玉溪高新区龙泉片区，位于工业园区内。</w:t>
                  </w:r>
                </w:p>
                <w:p w14:paraId="3902B09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本项目位于玉溪高新区龙泉片区，位于工业园区内。</w:t>
                  </w:r>
                </w:p>
                <w:p w14:paraId="0F1E672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本项目位于星云湖绿色发展区，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不涉及星云湖生态保护核心区、生态保护缓冲区；</w:t>
                  </w:r>
                </w:p>
                <w:p w14:paraId="1502908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对照《云南省星云湖保护条例》，本项目不涉及《云南省星云湖保护条例》中绿色发展区的禁止行为。</w:t>
                  </w:r>
                </w:p>
              </w:tc>
              <w:tc>
                <w:tcPr>
                  <w:tcW w:w="430" w:type="pct"/>
                  <w:vAlign w:val="center"/>
                </w:tcPr>
                <w:p w14:paraId="5A8CA7C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966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16547A1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2D3FB2F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两高</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2028" w:type="pct"/>
                  <w:vAlign w:val="center"/>
                </w:tcPr>
                <w:p w14:paraId="13EC7A67">
                  <w:pPr>
                    <w:pStyle w:val="14"/>
                    <w:keepNext w:val="0"/>
                    <w:pageBreakBefore w:val="0"/>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本项目为软包装、新能源包装材料项目，</w:t>
                  </w:r>
                  <w:r>
                    <w:rPr>
                      <w:rFonts w:hint="default" w:ascii="Times New Roman" w:hAnsi="Times New Roman" w:eastAsia="宋体" w:cs="Times New Roman"/>
                      <w:color w:val="000000" w:themeColor="text1"/>
                      <w:lang w:val="en-US" w:eastAsia="zh-CN"/>
                      <w14:textFill>
                        <w14:solidFill>
                          <w14:schemeClr w14:val="tx1"/>
                        </w14:solidFill>
                      </w14:textFill>
                    </w:rPr>
                    <w:t>项目不属于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在合规园区外新建、扩建钢铁、石化、化工、焦化、建材、有色、制浆造纸行业中的高污染项目</w:t>
                  </w:r>
                  <w:r>
                    <w:rPr>
                      <w:rFonts w:hint="default" w:ascii="Times New Roman" w:hAnsi="Times New Roman" w:eastAsia="宋体" w:cs="Times New Roman"/>
                      <w:color w:val="000000" w:themeColor="text1"/>
                      <w:lang w:eastAsia="zh-CN"/>
                      <w14:textFill>
                        <w14:solidFill>
                          <w14:schemeClr w14:val="tx1"/>
                        </w14:solidFill>
                      </w14:textFill>
                    </w:rPr>
                    <w:t>，</w:t>
                  </w:r>
                </w:p>
                <w:p w14:paraId="252F92AF">
                  <w:pPr>
                    <w:pStyle w:val="14"/>
                    <w:keepNext w:val="0"/>
                    <w:pageBreakBefore w:val="0"/>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项目于2025年9月5日取得了玉溪高新技术产业开发区管理委员会投资项目备案证（备案文号：玉高开委发备案〔2025〕37号），同意项目建设</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w:t>
                  </w:r>
                </w:p>
              </w:tc>
              <w:tc>
                <w:tcPr>
                  <w:tcW w:w="430" w:type="pct"/>
                  <w:vAlign w:val="center"/>
                </w:tcPr>
                <w:p w14:paraId="68D22EA4">
                  <w:pPr>
                    <w:keepNext w:val="0"/>
                    <w:keepLines/>
                    <w:pageBreakBefore w:val="0"/>
                    <w:widowControl/>
                    <w:kinsoku/>
                    <w:wordWrap w:val="0"/>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C5F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6F7E687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126D99C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禁止在九大高原湖泊（抚仙湖、星云湖、杞麓湖）流域内新建、改建、扩建污染环境、高耗水、高耗能、破坏生态平衡和自然景观的项目。</w:t>
                  </w:r>
                </w:p>
              </w:tc>
              <w:tc>
                <w:tcPr>
                  <w:tcW w:w="2028" w:type="pct"/>
                  <w:vAlign w:val="center"/>
                </w:tcPr>
                <w:p w14:paraId="31F45FB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本项目位于玉溪高新区龙泉片区，位于工业园区内。</w:t>
                  </w:r>
                </w:p>
                <w:p w14:paraId="1D644E0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本项目位于星云湖绿色发展区，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不涉及星云湖生态保护核心区、生态保护缓冲区；</w:t>
                  </w:r>
                </w:p>
                <w:p w14:paraId="60474F6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对照《云南省星云湖保护条例》，本项目不涉及《云南省星云湖保护条例》中绿色发展区的禁止行为。</w:t>
                  </w:r>
                </w:p>
                <w:p w14:paraId="6191369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本项目不属于污染环境、高耗水、高耗能、破坏生态平衡和自然景观的项目</w:t>
                  </w:r>
                </w:p>
              </w:tc>
              <w:tc>
                <w:tcPr>
                  <w:tcW w:w="430" w:type="pct"/>
                  <w:vAlign w:val="center"/>
                </w:tcPr>
                <w:p w14:paraId="6C189C7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4703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restart"/>
                  <w:vAlign w:val="center"/>
                </w:tcPr>
                <w:p w14:paraId="6312CF5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污染物排放管控</w:t>
                  </w:r>
                </w:p>
              </w:tc>
              <w:tc>
                <w:tcPr>
                  <w:tcW w:w="2047" w:type="pct"/>
                  <w:vAlign w:val="center"/>
                </w:tcPr>
                <w:p w14:paraId="6311E5D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加大</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三湖</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（抚仙湖、星云湖、杞麓湖）及</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两江</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（南盘江干流、红河水系玉溪段）流域的保护和治理，推进流域环湖截污治污，加强湖泊内源污染风险防范，开展污水处理提质增效、农业面源污染治理、入河排污口整治、开发区污染治理、</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三磷</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和重金属行业排查等专项行动，建立水环境质量管理长效机制，持续巩固治理成效。持续打好城市黑臭水体治理攻坚战，有效控制入河污染物排放，强化溯源整治，推进城镇污水管网全覆盖。</w:t>
                  </w:r>
                </w:p>
              </w:tc>
              <w:tc>
                <w:tcPr>
                  <w:tcW w:w="2028" w:type="pct"/>
                  <w:vAlign w:val="center"/>
                </w:tcPr>
                <w:p w14:paraId="3DE57DF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本项目位于玉溪高新区龙泉片区，位于工业园区内。</w:t>
                  </w:r>
                </w:p>
                <w:p w14:paraId="78253E0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本项目位于星云湖绿色发展区，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不涉及星云湖生态保护核心区、生态保护缓冲区；</w:t>
                  </w:r>
                </w:p>
                <w:p w14:paraId="449B450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对照《云南省星云湖保护条例》，本项目不涉及《云南省星云湖保护条例》中绿色发展区的禁止行为。</w:t>
                  </w:r>
                </w:p>
                <w:p w14:paraId="4D0B3F5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占用生态保护红线等及其他需要特殊保护的环境敏感对象。项目的建设符合国家及云南省现行产业政策的要求，只要严格地落实环评中提出的各项环保措施，项目各污染物均能做到达标排放，不会降低区域环境质量功能。</w:t>
                  </w:r>
                </w:p>
              </w:tc>
              <w:tc>
                <w:tcPr>
                  <w:tcW w:w="430" w:type="pct"/>
                  <w:vAlign w:val="center"/>
                </w:tcPr>
                <w:p w14:paraId="50798BC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67C9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4BA89FF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294DEDA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严格保护城乡饮用水水源地，整治饮用水水源保护区内的污染源，确保饮水安全。</w:t>
                  </w:r>
                </w:p>
              </w:tc>
              <w:tc>
                <w:tcPr>
                  <w:tcW w:w="2028" w:type="pct"/>
                  <w:vAlign w:val="center"/>
                </w:tcPr>
                <w:p w14:paraId="385B2A7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本项目不涉及饮用水源保护区。</w:t>
                  </w:r>
                </w:p>
              </w:tc>
              <w:tc>
                <w:tcPr>
                  <w:tcW w:w="430" w:type="pct"/>
                  <w:vAlign w:val="center"/>
                </w:tcPr>
                <w:p w14:paraId="3057CA1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412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40F2817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0759F9D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开展细颗粒物和臭氧协同控制、挥发性有机物和氮氧化物协同减排。</w:t>
                  </w:r>
                </w:p>
                <w:p w14:paraId="2873D66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石化、化工、包装印刷、工业涂装等VOCs排放重点源，纳入重点排污单位名录，推进挥发性有机物综合治理，实施原辅材料和产品源头替代工程，排污口安装自动监控设施。</w:t>
                  </w:r>
                </w:p>
                <w:p w14:paraId="1A1EBAF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推进运输结构调整，开展清洁柴油车（机）、清洁油品、车用尿素等专项行动，开展建筑施工工地扬尘专项治理；加大餐饮油烟污染、恶臭异味治理力度，强化秸秆综合利用和禁烧管控。</w:t>
                  </w:r>
                </w:p>
                <w:p w14:paraId="0D0E4F1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推动有色金属、钢铁、磷化工、建材等重点行业节能降碳升级改造，淘汰落后工艺技术和生产装置，实施煤电、水泥、焦化企业超低排放改造，到2025年，钢铁行业全面完成超低排放改造。</w:t>
                  </w:r>
                </w:p>
              </w:tc>
              <w:tc>
                <w:tcPr>
                  <w:tcW w:w="2028" w:type="pct"/>
                  <w:vAlign w:val="center"/>
                </w:tcPr>
                <w:p w14:paraId="092D752D">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项目均采取了相应的废气治理措施</w:t>
                  </w:r>
                  <w:r>
                    <w:rPr>
                      <w:rFonts w:hint="default" w:ascii="Times New Roman" w:hAnsi="Times New Roman" w:eastAsia="宋体" w:cs="Times New Roman"/>
                      <w:color w:val="000000" w:themeColor="text1"/>
                      <w:kern w:val="0"/>
                      <w:szCs w:val="21"/>
                      <w14:textFill>
                        <w14:solidFill>
                          <w14:schemeClr w14:val="tx1"/>
                        </w14:solidFill>
                      </w14:textFill>
                    </w:rPr>
                    <w:t>，经采取本环评提供的污染防治措施以后对周边影响不大</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p w14:paraId="26119C86">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根据排污许可《固定污染源分类管理名录》，本项目不属于重点管理排污单位。</w:t>
                  </w:r>
                </w:p>
                <w:p w14:paraId="454669C2">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本项目不涉及清洁柴油车（机）、清洁油品、车用尿素等运输。不涉及秸秆综合利用和焚烧。不属于有色金属、钢铁、磷化工、建材行业。</w:t>
                  </w:r>
                </w:p>
                <w:p w14:paraId="36F195DB">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本环评</w:t>
                  </w:r>
                  <w:r>
                    <w:rPr>
                      <w:rFonts w:hint="default" w:ascii="Times New Roman" w:hAnsi="Times New Roman" w:eastAsia="宋体" w:cs="Times New Roman"/>
                      <w:color w:val="000000" w:themeColor="text1"/>
                      <w:szCs w:val="21"/>
                      <w:lang w:eastAsia="zh-CN"/>
                      <w14:textFill>
                        <w14:solidFill>
                          <w14:schemeClr w14:val="tx1"/>
                        </w14:solidFill>
                      </w14:textFill>
                    </w:rPr>
                    <w:t>已提出</w:t>
                  </w:r>
                  <w:r>
                    <w:rPr>
                      <w:rFonts w:hint="default" w:ascii="Times New Roman" w:hAnsi="Times New Roman" w:eastAsia="宋体" w:cs="Times New Roman"/>
                      <w:color w:val="000000" w:themeColor="text1"/>
                      <w:szCs w:val="21"/>
                      <w:shd w:val="clear" w:color="auto" w:fill="FFFFFF"/>
                      <w14:textFill>
                        <w14:solidFill>
                          <w14:schemeClr w14:val="tx1"/>
                        </w14:solidFill>
                      </w14:textFill>
                    </w:rPr>
                    <w:t>施工期环境保护措施</w:t>
                  </w:r>
                  <w:r>
                    <w:rPr>
                      <w:rFonts w:hint="default" w:ascii="Times New Roman" w:hAnsi="Times New Roman" w:eastAsia="宋体" w:cs="Times New Roman"/>
                      <w:color w:val="000000" w:themeColor="text1"/>
                      <w:szCs w:val="21"/>
                      <w:shd w:val="clear" w:color="auto" w:fill="FFFFFF"/>
                      <w:lang w:eastAsia="zh-CN"/>
                      <w14:textFill>
                        <w14:solidFill>
                          <w14:schemeClr w14:val="tx1"/>
                        </w14:solidFill>
                      </w14:textFill>
                    </w:rPr>
                    <w:t>，建设单位施工过程中需</w:t>
                  </w:r>
                  <w:r>
                    <w:rPr>
                      <w:rFonts w:hint="default" w:ascii="Times New Roman" w:hAnsi="Times New Roman" w:eastAsia="宋体" w:cs="Times New Roman"/>
                      <w:color w:val="000000" w:themeColor="text1"/>
                      <w:szCs w:val="21"/>
                      <w14:textFill>
                        <w14:solidFill>
                          <w14:schemeClr w14:val="tx1"/>
                        </w14:solidFill>
                      </w14:textFill>
                    </w:rPr>
                    <w:t>落实</w:t>
                  </w:r>
                  <w:r>
                    <w:rPr>
                      <w:rFonts w:hint="default" w:ascii="Times New Roman" w:hAnsi="Times New Roman" w:eastAsia="宋体" w:cs="Times New Roman"/>
                      <w:color w:val="000000" w:themeColor="text1"/>
                      <w:szCs w:val="21"/>
                      <w:shd w:val="clear" w:color="auto" w:fill="FFFFFF"/>
                      <w14:textFill>
                        <w14:solidFill>
                          <w14:schemeClr w14:val="tx1"/>
                        </w14:solidFill>
                      </w14:textFill>
                    </w:rPr>
                    <w:t>施工工地</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14:textFill>
                        <w14:solidFill>
                          <w14:schemeClr w14:val="tx1"/>
                        </w14:solidFill>
                      </w14:textFill>
                    </w:rPr>
                    <w:t>六个百分之百</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14:textFill>
                        <w14:solidFill>
                          <w14:schemeClr w14:val="tx1"/>
                        </w14:solidFill>
                      </w14:textFill>
                    </w:rPr>
                    <w:t>工作要求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6EE2EFCF">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1A1D8971">
                  <w:pPr>
                    <w:rPr>
                      <w:rFonts w:hint="default" w:ascii="Times New Roman" w:hAnsi="Times New Roman" w:eastAsia="宋体" w:cs="Times New Roman"/>
                      <w:color w:val="000000" w:themeColor="text1"/>
                      <w:lang w:val="en-US" w:eastAsia="zh-CN"/>
                      <w14:textFill>
                        <w14:solidFill>
                          <w14:schemeClr w14:val="tx1"/>
                        </w14:solidFill>
                      </w14:textFill>
                    </w:rPr>
                  </w:pPr>
                </w:p>
                <w:p w14:paraId="6F597A3C">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25F4FF2F">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73877042">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30" w:type="pct"/>
                  <w:vAlign w:val="center"/>
                </w:tcPr>
                <w:p w14:paraId="0A2B588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B14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4E0A9E7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67AADBE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tc>
              <w:tc>
                <w:tcPr>
                  <w:tcW w:w="2028" w:type="pct"/>
                  <w:vAlign w:val="center"/>
                </w:tcPr>
                <w:p w14:paraId="079D78E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本项目不涉及农用地。</w:t>
                  </w:r>
                </w:p>
              </w:tc>
              <w:tc>
                <w:tcPr>
                  <w:tcW w:w="430" w:type="pct"/>
                  <w:vAlign w:val="center"/>
                </w:tcPr>
                <w:p w14:paraId="60C0AF4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0F3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7094354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10FC7B5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加快</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无废城市</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产生工业固体废物的单位应当建立健全工业固体废物产生、收集、贮存、运输、利用、处置全过程的污染环境防治责任制度，按照国家有关规定建立工业固体废物管理台账，加强重金属污染物排放管理，落实区域</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减量替代</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和</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等量替代</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要求，重金属污染物排放量2025年比2020年削减4%。</w:t>
                  </w:r>
                </w:p>
              </w:tc>
              <w:tc>
                <w:tcPr>
                  <w:tcW w:w="2028" w:type="pct"/>
                  <w:vAlign w:val="center"/>
                </w:tcPr>
                <w:p w14:paraId="5713557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项目生活垃圾经厂区垃圾桶收集后运至周边垃圾集中收集点，由当地环卫部门定期清运处置；</w:t>
                  </w:r>
                </w:p>
                <w:p w14:paraId="354494E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废包装材料、不合格品、边角料</w:t>
                  </w:r>
                  <w:r>
                    <w:rPr>
                      <w:rFonts w:hint="default" w:ascii="Times New Roman" w:hAnsi="Times New Roman" w:eastAsia="宋体" w:cs="Times New Roman"/>
                      <w:color w:val="000000" w:themeColor="text1"/>
                      <w:lang w:val="en-US" w:eastAsia="zh-CN"/>
                      <w14:textFill>
                        <w14:solidFill>
                          <w14:schemeClr w14:val="tx1"/>
                        </w14:solidFill>
                      </w14:textFill>
                    </w:rPr>
                    <w:t>定期外售至周边废品回收站进行资源化利用；</w:t>
                  </w:r>
                  <w:r>
                    <w:rPr>
                      <w:rFonts w:hint="default" w:ascii="Times New Roman" w:hAnsi="Times New Roman" w:eastAsia="宋体" w:cs="Times New Roman"/>
                      <w:b w:val="0"/>
                      <w:bCs w:val="0"/>
                      <w:color w:val="000000" w:themeColor="text1"/>
                      <w:lang w:val="en-US" w:eastAsia="zh-CN"/>
                      <w14:textFill>
                        <w14:solidFill>
                          <w14:schemeClr w14:val="tx1"/>
                        </w14:solidFill>
                      </w14:textFill>
                    </w:rPr>
                    <w:t>废陶瓷蓄热体委托RTO设备厂商进行更换，更换后由厂商带走进行处置</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p w14:paraId="7A45F75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危险废物暂存于危废暂存间，委托有资质单位进行清运处置。固体废物均得到了妥善处置，处置率100%。</w:t>
                  </w:r>
                </w:p>
              </w:tc>
              <w:tc>
                <w:tcPr>
                  <w:tcW w:w="430" w:type="pct"/>
                  <w:vAlign w:val="center"/>
                </w:tcPr>
                <w:p w14:paraId="1BE13AC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6CE4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restart"/>
                  <w:vAlign w:val="center"/>
                </w:tcPr>
                <w:p w14:paraId="022E436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环境风险防控</w:t>
                  </w:r>
                </w:p>
              </w:tc>
              <w:tc>
                <w:tcPr>
                  <w:tcW w:w="2047" w:type="pct"/>
                  <w:vAlign w:val="center"/>
                </w:tcPr>
                <w:p w14:paraId="426F8E3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强化与其他滇中城市的大气、水污染防治联防联控协作机制，加强区域内重污染天气和跨界水体风险应急联动。</w:t>
                  </w:r>
                </w:p>
              </w:tc>
              <w:tc>
                <w:tcPr>
                  <w:tcW w:w="2028" w:type="pct"/>
                  <w:vMerge w:val="restart"/>
                  <w:vAlign w:val="center"/>
                </w:tcPr>
                <w:p w14:paraId="2EB9790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本项目针对存在的环境风险采取了相应的风险防范措施，项目建成后及时制定突发环境事件应急预案，在当地生态环境主管部门进行备案后定期进行相关的培训和演练。</w:t>
                  </w:r>
                </w:p>
              </w:tc>
              <w:tc>
                <w:tcPr>
                  <w:tcW w:w="430" w:type="pct"/>
                  <w:vAlign w:val="center"/>
                </w:tcPr>
                <w:p w14:paraId="7CA9278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03C9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11F38C0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704EB72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展涉危险废物涉重金属企业、化工园区等重点领域环境风险调查评估，加强危险化学品运输全链条安全监管。完善环境应急管理体系，提升市县两级环境应急响应能力，推进应急物资库建设。开展涉铊企业排查整治行动。建立</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平战结合</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医疗废物应急处置体系。</w:t>
                  </w:r>
                </w:p>
              </w:tc>
              <w:tc>
                <w:tcPr>
                  <w:tcW w:w="2028" w:type="pct"/>
                  <w:vMerge w:val="continue"/>
                  <w:vAlign w:val="center"/>
                </w:tcPr>
                <w:p w14:paraId="5A950C9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30" w:type="pct"/>
                  <w:vAlign w:val="center"/>
                </w:tcPr>
                <w:p w14:paraId="3B7851E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B0E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restart"/>
                  <w:vAlign w:val="center"/>
                </w:tcPr>
                <w:p w14:paraId="1D0D1CF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资源开发利用效率</w:t>
                  </w:r>
                </w:p>
              </w:tc>
              <w:tc>
                <w:tcPr>
                  <w:tcW w:w="2047" w:type="pct"/>
                  <w:vAlign w:val="center"/>
                </w:tcPr>
                <w:p w14:paraId="70A5CE7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降低水、土地、能源、矿产资源消耗强度，强化约束性指标管理。</w:t>
                  </w:r>
                </w:p>
              </w:tc>
              <w:tc>
                <w:tcPr>
                  <w:tcW w:w="2028" w:type="pct"/>
                  <w:shd w:val="clear" w:color="auto" w:fill="auto"/>
                  <w:vAlign w:val="center"/>
                </w:tcPr>
                <w:p w14:paraId="3A066F8A">
                  <w:pPr>
                    <w:pStyle w:val="41"/>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降低水资源消耗强度要求。</w:t>
                  </w:r>
                </w:p>
                <w:p w14:paraId="55233160">
                  <w:pPr>
                    <w:pStyle w:val="90"/>
                    <w:widowControl w:val="0"/>
                    <w:tabs>
                      <w:tab w:val="left" w:pos="271"/>
                    </w:tabs>
                    <w:autoSpaceDE w:val="0"/>
                    <w:autoSpaceDN w:val="0"/>
                    <w:adjustRightInd w:val="0"/>
                    <w:snapToGrid w:val="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近期生活污水经化粪池预处理后进入自建生活污水处理设施处理达标后用于厂区周边绿化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；远期生活污水通过化粪池预处理后排入园区市政污水管网，进入园区污水处理厂处理</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降低水资源消耗强度要求。</w:t>
                  </w:r>
                </w:p>
              </w:tc>
              <w:tc>
                <w:tcPr>
                  <w:tcW w:w="430" w:type="pct"/>
                  <w:vAlign w:val="center"/>
                </w:tcPr>
                <w:p w14:paraId="7762C96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6B7F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49174EB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51403A8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实行最严格的水资源管理制度，严格用水总量、强度指标管理，严格取水管控，建立重点监控取水单位名录，强化重点监控取水单位管理。全市年用水总量、万元工业增加值用水量降幅等指标达到省考核要求。</w:t>
                  </w:r>
                </w:p>
              </w:tc>
              <w:tc>
                <w:tcPr>
                  <w:tcW w:w="2028" w:type="pct"/>
                  <w:vAlign w:val="center"/>
                </w:tcPr>
                <w:p w14:paraId="75C4D20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项目用水来源于市政管网，不涉及取水。</w:t>
                  </w:r>
                </w:p>
                <w:p w14:paraId="0135AAC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近期生活污水经化粪池预处理后进入自建生活污水处理设施处理达标后用于厂区周边绿化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；远期生活污水通过化粪池预处理后排入园区市政污水管网，进入园区污水处理厂处理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降低水资源消耗强度要求</w:t>
                  </w:r>
                </w:p>
              </w:tc>
              <w:tc>
                <w:tcPr>
                  <w:tcW w:w="430" w:type="pct"/>
                  <w:vAlign w:val="center"/>
                </w:tcPr>
                <w:p w14:paraId="6FB305E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096C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7C92ABF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7B89BF9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坚持最严格的耕地保护制度，守住耕地保护红线。坚持节约用地，严格执行耕地占补平衡等制度，提高土地投资强度和单位面积产出水平。</w:t>
                  </w:r>
                </w:p>
              </w:tc>
              <w:tc>
                <w:tcPr>
                  <w:tcW w:w="2028" w:type="pct"/>
                  <w:vAlign w:val="center"/>
                </w:tcPr>
                <w:p w14:paraId="5C49803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本项目不涉及耕地。</w:t>
                  </w:r>
                </w:p>
              </w:tc>
              <w:tc>
                <w:tcPr>
                  <w:tcW w:w="430" w:type="pct"/>
                  <w:vAlign w:val="center"/>
                </w:tcPr>
                <w:p w14:paraId="16162EB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7CB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3B7D684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2CBA8A3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高污染燃料禁燃区按照《高污染燃料目录》及当地有关禁燃区管理规定执行。</w:t>
                  </w:r>
                </w:p>
              </w:tc>
              <w:tc>
                <w:tcPr>
                  <w:tcW w:w="2028" w:type="pct"/>
                  <w:vAlign w:val="center"/>
                </w:tcPr>
                <w:p w14:paraId="40B1EE2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本项目不涉及高污染燃料禁燃区，不涉及使用高污染燃料</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w:t>
                  </w:r>
                </w:p>
              </w:tc>
              <w:tc>
                <w:tcPr>
                  <w:tcW w:w="430" w:type="pct"/>
                  <w:vAlign w:val="center"/>
                </w:tcPr>
                <w:p w14:paraId="0FFF394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3C7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1CCD242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47" w:type="pct"/>
                  <w:vAlign w:val="center"/>
                </w:tcPr>
                <w:p w14:paraId="22C6218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实施高效节水灌溉工程，大力推广高效节水灌溉措施，到2025年，农田灌溉水有效利用系数达到0.55。</w:t>
                  </w:r>
                </w:p>
              </w:tc>
              <w:tc>
                <w:tcPr>
                  <w:tcW w:w="2028" w:type="pct"/>
                  <w:vAlign w:val="center"/>
                </w:tcPr>
                <w:p w14:paraId="42B0E61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本项目不涉及农田灌溉</w:t>
                  </w:r>
                </w:p>
              </w:tc>
              <w:tc>
                <w:tcPr>
                  <w:tcW w:w="430" w:type="pct"/>
                  <w:vAlign w:val="center"/>
                </w:tcPr>
                <w:p w14:paraId="139A601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E3A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vAlign w:val="center"/>
                </w:tcPr>
                <w:p w14:paraId="565FB9A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江川产业园区重点管控单元</w:t>
                  </w:r>
                </w:p>
              </w:tc>
            </w:tr>
            <w:tr w14:paraId="4F28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restart"/>
                  <w:vAlign w:val="center"/>
                </w:tcPr>
                <w:p w14:paraId="77436C1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空间布局约束</w:t>
                  </w:r>
                </w:p>
              </w:tc>
              <w:tc>
                <w:tcPr>
                  <w:tcW w:w="2047" w:type="pct"/>
                  <w:vAlign w:val="center"/>
                </w:tcPr>
                <w:p w14:paraId="2F27EE4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理规划产业分区和功能定位，禁止不符合产业政策、产业结构调整指导目录和园区规划要求的项目入园区。新能源新材料及锂电池产业布局产业链后端的高新产业，禁止激光视盘机生产线、专业电镀、铅酸蓄电池等产业入驻。烟草、装备制造、金属冶炼及制品延伸下游产业。禁止布局高耗能、高排放、高耗水项目。禁止布局以煤炭、焦炭等高污染燃料为主要能源的企业。禁止布局电子化工等相关产业，禁止外排生产废水企业入驻。</w:t>
                  </w:r>
                </w:p>
              </w:tc>
              <w:tc>
                <w:tcPr>
                  <w:tcW w:w="2028" w:type="pct"/>
                  <w:vAlign w:val="center"/>
                </w:tcPr>
                <w:p w14:paraId="6D3ABDD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符合产业政策、产业结构调整指导目录和园区规划要求的项目入园区，本项目于2025年9月3日与玉溪高新技术产业开发区管理委员会签订了投资协议，同意项目入驻。项目于2025年9月5日取得了玉溪高新技术产业开发区管理委员会投资项目备案证（备案文号：玉高开委发备案〔2025〕37号），同意项目建设。</w:t>
                  </w:r>
                </w:p>
                <w:p w14:paraId="12D22AB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本项目不属于激光视盘机生产线、专业电镀、铅酸蓄电池等项目。</w:t>
                  </w:r>
                </w:p>
                <w:p w14:paraId="578E32A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本项目不属于高耗能、高排放、高耗水项目。</w:t>
                  </w:r>
                </w:p>
                <w:p w14:paraId="360BAE2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本项目不涉及使用高污染燃料。</w:t>
                  </w:r>
                </w:p>
                <w:p w14:paraId="1D922AE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本项目不属于化工等项目。</w:t>
                  </w:r>
                </w:p>
                <w:p w14:paraId="07003F4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近期生活污水经化粪池预处理后进入自建生活污水处理设施处理达标后用于厂区周边绿化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；远期生活污水通过化粪池预处理后排入园区市政污水管网，进入园区污水处理厂处理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0" w:type="pct"/>
                  <w:vAlign w:val="center"/>
                </w:tcPr>
                <w:p w14:paraId="73CEFE0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57B6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5310987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291DB94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规划用地以一类工业用地为主，禁止布局三类工业用地。</w:t>
                  </w:r>
                </w:p>
              </w:tc>
              <w:tc>
                <w:tcPr>
                  <w:tcW w:w="2028" w:type="pct"/>
                  <w:vAlign w:val="center"/>
                </w:tcPr>
                <w:p w14:paraId="469755D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本项目不属于化工等三类工业项目。</w:t>
                  </w:r>
                </w:p>
              </w:tc>
              <w:tc>
                <w:tcPr>
                  <w:tcW w:w="430" w:type="pct"/>
                  <w:vAlign w:val="center"/>
                </w:tcPr>
                <w:p w14:paraId="4A1FEA3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676C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55C2287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5116E8E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严格落实防护距离要求，距离村庄较近的项目应设置不少于 50 米的防护距离。</w:t>
                  </w:r>
                </w:p>
              </w:tc>
              <w:tc>
                <w:tcPr>
                  <w:tcW w:w="2028" w:type="pct"/>
                  <w:vAlign w:val="center"/>
                </w:tcPr>
                <w:p w14:paraId="38BDF77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本项目位于工业园区内，根据调查项目区500m范围内无村庄。</w:t>
                  </w:r>
                </w:p>
              </w:tc>
              <w:tc>
                <w:tcPr>
                  <w:tcW w:w="430" w:type="pct"/>
                  <w:vAlign w:val="center"/>
                </w:tcPr>
                <w:p w14:paraId="3606388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C51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41BCBE8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7763202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严格遵守《云南省星云湖保护条例》相关要求，严守星云湖</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两线三区</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控制要求，禁止新建、改建、扩建严重污染环境、破坏生态的项目。渔村河、小街河、周官河河道 25 米范围内划为禁建区，禁止开发建设。</w:t>
                  </w:r>
                </w:p>
              </w:tc>
              <w:tc>
                <w:tcPr>
                  <w:tcW w:w="2028" w:type="pct"/>
                  <w:vAlign w:val="center"/>
                </w:tcPr>
                <w:p w14:paraId="16FCEFC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本项目位于玉溪高新区龙泉片区，位于工业园区内。</w:t>
                  </w:r>
                </w:p>
                <w:p w14:paraId="15C3B02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本项目位于星云湖绿色发展区，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不涉及星云湖生态保护核心区、生态保护缓冲区；</w:t>
                  </w:r>
                </w:p>
                <w:p w14:paraId="15A3842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对照《云南省星云湖保护条例》，本项目不涉及《云南省星云湖保护条例》中绿色发展区的禁止行为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本项目不涉及河道25m范围内禁建区。</w:t>
                  </w:r>
                </w:p>
                <w:p w14:paraId="27BE729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本项目</w:t>
                  </w:r>
                  <w:r>
                    <w:rPr>
                      <w:rFonts w:hint="default" w:ascii="Times New Roman" w:hAnsi="Times New Roman" w:eastAsia="宋体" w:cs="Times New Roman"/>
                      <w:b w:val="0"/>
                      <w:color w:val="000000" w:themeColor="text1"/>
                      <w:sz w:val="21"/>
                      <w:szCs w:val="21"/>
                      <w:u w:val="none"/>
                      <w14:textFill>
                        <w14:solidFill>
                          <w14:schemeClr w14:val="tx1"/>
                        </w14:solidFill>
                      </w14:textFill>
                    </w:rPr>
                    <w:t>废气、噪声均能达标排放，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无生产废水产生，近期生活污水经自建污水处理设施处理达标后回用于绿化，远期生活污水经化粪池预处理后排入园区污水管网</w:t>
                  </w:r>
                  <w:r>
                    <w:rPr>
                      <w:rFonts w:hint="default" w:ascii="Times New Roman" w:hAnsi="Times New Roman" w:eastAsia="宋体" w:cs="Times New Roman"/>
                      <w:b w:val="0"/>
                      <w:color w:val="000000" w:themeColor="text1"/>
                      <w:sz w:val="21"/>
                      <w:szCs w:val="21"/>
                      <w:u w:val="none"/>
                      <w14:textFill>
                        <w14:solidFill>
                          <w14:schemeClr w14:val="tx1"/>
                        </w14:solidFill>
                      </w14:textFill>
                    </w:rPr>
                    <w:t>，固废均得到合理处置。</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不属于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严重污染环境、破坏生态的项目。</w:t>
                  </w:r>
                </w:p>
              </w:tc>
              <w:tc>
                <w:tcPr>
                  <w:tcW w:w="430" w:type="pct"/>
                  <w:vAlign w:val="center"/>
                </w:tcPr>
                <w:p w14:paraId="6377DF8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5634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vAlign w:val="center"/>
                </w:tcPr>
                <w:p w14:paraId="5F280498">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污染物排放管控</w:t>
                  </w:r>
                </w:p>
              </w:tc>
              <w:tc>
                <w:tcPr>
                  <w:tcW w:w="2047" w:type="pct"/>
                  <w:vAlign w:val="center"/>
                </w:tcPr>
                <w:p w14:paraId="5A663185">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加强控制颗粒物的排放。</w:t>
                  </w:r>
                </w:p>
              </w:tc>
              <w:tc>
                <w:tcPr>
                  <w:tcW w:w="2028" w:type="pct"/>
                  <w:vAlign w:val="center"/>
                </w:tcPr>
                <w:p w14:paraId="0FE80A1A">
                  <w:pPr>
                    <w:pStyle w:val="90"/>
                    <w:widowControl w:val="0"/>
                    <w:tabs>
                      <w:tab w:val="left" w:pos="271"/>
                    </w:tabs>
                    <w:autoSpaceDE w:val="0"/>
                    <w:autoSpaceDN w:val="0"/>
                    <w:adjustRightInd w:val="0"/>
                    <w:snapToGrid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本项目废气主要为非甲烷总烃、天然气燃烧产生的少量颗粒物、二氧化硫及氮氧化物，本项目生产过程中有机废气经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tc>
              <w:tc>
                <w:tcPr>
                  <w:tcW w:w="430" w:type="pct"/>
                  <w:vAlign w:val="center"/>
                </w:tcPr>
                <w:p w14:paraId="1C3CFF43">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1449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68FF2ED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13D32867">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园区禁止废水外排，生产废水不排出企业，生活污水不排出园区。</w:t>
                  </w:r>
                </w:p>
              </w:tc>
              <w:tc>
                <w:tcPr>
                  <w:tcW w:w="2028" w:type="pct"/>
                  <w:vAlign w:val="center"/>
                </w:tcPr>
                <w:p w14:paraId="04ABB6EF">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无生产废水产生，近期生活污水经自建污水处理设施处理达标后回用于绿化，远期生活污水经化粪池预处理后排入园区污水管网</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w:t>
                  </w:r>
                </w:p>
              </w:tc>
              <w:tc>
                <w:tcPr>
                  <w:tcW w:w="430" w:type="pct"/>
                  <w:vAlign w:val="center"/>
                </w:tcPr>
                <w:p w14:paraId="4EE11C2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8BA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51D8A86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4F408CA1">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禁止产生大宗固废，入驻项目需配套建设大宗固废处置设施。</w:t>
                  </w:r>
                </w:p>
              </w:tc>
              <w:tc>
                <w:tcPr>
                  <w:tcW w:w="2028" w:type="pct"/>
                  <w:vAlign w:val="center"/>
                </w:tcPr>
                <w:p w14:paraId="53616365">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本项目不涉及</w:t>
                  </w:r>
                </w:p>
              </w:tc>
              <w:tc>
                <w:tcPr>
                  <w:tcW w:w="430" w:type="pct"/>
                  <w:vAlign w:val="center"/>
                </w:tcPr>
                <w:p w14:paraId="24A6C3E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FAF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vAlign w:val="center"/>
                </w:tcPr>
                <w:p w14:paraId="730AB65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3F7F99CE">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龙泉片区位于星云湖汇水区域内，禁止贮存、堆放可能造成水体污染的固体废弃物和其他污染物。</w:t>
                  </w:r>
                </w:p>
              </w:tc>
              <w:tc>
                <w:tcPr>
                  <w:tcW w:w="2028" w:type="pct"/>
                  <w:vAlign w:val="center"/>
                </w:tcPr>
                <w:p w14:paraId="34F61591">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本项目不涉及</w:t>
                  </w:r>
                </w:p>
              </w:tc>
              <w:tc>
                <w:tcPr>
                  <w:tcW w:w="430" w:type="pct"/>
                  <w:vAlign w:val="center"/>
                </w:tcPr>
                <w:p w14:paraId="7CB98DE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5DA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3552494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730E5C3B">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园区主要交通干道两侧与居住区之间应保持 30 米以上的退让距离。</w:t>
                  </w:r>
                </w:p>
              </w:tc>
              <w:tc>
                <w:tcPr>
                  <w:tcW w:w="2028" w:type="pct"/>
                  <w:vAlign w:val="center"/>
                </w:tcPr>
                <w:p w14:paraId="01F7108F">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本项目不涉及</w:t>
                  </w:r>
                </w:p>
              </w:tc>
              <w:tc>
                <w:tcPr>
                  <w:tcW w:w="430" w:type="pct"/>
                  <w:vAlign w:val="center"/>
                </w:tcPr>
                <w:p w14:paraId="60E01AB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D33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0FC7F50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0C9B7045">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禁止在居民区、学校、医疗和养老机构周边新建、改建、扩建可能造成土壤污染的项目。</w:t>
                  </w:r>
                </w:p>
              </w:tc>
              <w:tc>
                <w:tcPr>
                  <w:tcW w:w="2028" w:type="pct"/>
                  <w:vAlign w:val="center"/>
                </w:tcPr>
                <w:p w14:paraId="24494591">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本项目不涉及</w:t>
                  </w:r>
                </w:p>
              </w:tc>
              <w:tc>
                <w:tcPr>
                  <w:tcW w:w="430" w:type="pct"/>
                  <w:vAlign w:val="center"/>
                </w:tcPr>
                <w:p w14:paraId="066B94B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288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restart"/>
                  <w:vAlign w:val="center"/>
                </w:tcPr>
                <w:p w14:paraId="3991E56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环境风险防控</w:t>
                  </w:r>
                </w:p>
              </w:tc>
              <w:tc>
                <w:tcPr>
                  <w:tcW w:w="2047" w:type="pct"/>
                  <w:vAlign w:val="center"/>
                </w:tcPr>
                <w:p w14:paraId="28F3C47F">
                  <w:pPr>
                    <w:keepLines/>
                    <w:widowControl/>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禁止布局重大环境风险源。 </w:t>
                  </w:r>
                </w:p>
              </w:tc>
              <w:tc>
                <w:tcPr>
                  <w:tcW w:w="2028" w:type="pct"/>
                  <w:vAlign w:val="center"/>
                </w:tcPr>
                <w:p w14:paraId="1ED200C7">
                  <w:pPr>
                    <w:keepLines/>
                    <w:widowControl/>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本项目废机油等物质存储量总量与临界量未超过临界量，Q=</w:t>
                  </w:r>
                  <w:r>
                    <w:rPr>
                      <w:rFonts w:hint="eastAsia" w:cs="Times New Roman"/>
                      <w:color w:val="000000" w:themeColor="text1"/>
                      <w:szCs w:val="21"/>
                      <w:lang w:val="en-US" w:eastAsia="zh-CN"/>
                      <w14:textFill>
                        <w14:solidFill>
                          <w14:schemeClr w14:val="tx1"/>
                        </w14:solidFill>
                      </w14:textFill>
                    </w:rPr>
                    <w:t>0.10584147</w:t>
                  </w:r>
                  <w:r>
                    <w:rPr>
                      <w:rFonts w:hint="default"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不涉及重大环境风险源</w:t>
                  </w:r>
                </w:p>
              </w:tc>
              <w:tc>
                <w:tcPr>
                  <w:tcW w:w="430" w:type="pct"/>
                  <w:vAlign w:val="center"/>
                </w:tcPr>
                <w:p w14:paraId="15C5BD4B">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2AF9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381D55D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4DD7AA3E">
                  <w:pPr>
                    <w:keepLines/>
                    <w:widowControl/>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园区不宜布置日常储量构成重大危险源的使用危险化学品的项目。 </w:t>
                  </w:r>
                </w:p>
              </w:tc>
              <w:tc>
                <w:tcPr>
                  <w:tcW w:w="2028" w:type="pct"/>
                  <w:vAlign w:val="center"/>
                </w:tcPr>
                <w:p w14:paraId="5ECD17ED">
                  <w:pPr>
                    <w:keepLines/>
                    <w:widowControl/>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本项目废机油等物质存储量总量与临界量未超过临界量，S值=</w:t>
                  </w:r>
                  <w:r>
                    <w:rPr>
                      <w:rFonts w:hint="eastAsia" w:cs="Times New Roman"/>
                      <w:color w:val="000000" w:themeColor="text1"/>
                      <w:szCs w:val="21"/>
                      <w:lang w:val="en-US" w:eastAsia="zh-CN"/>
                      <w14:textFill>
                        <w14:solidFill>
                          <w14:schemeClr w14:val="tx1"/>
                        </w14:solidFill>
                      </w14:textFill>
                    </w:rPr>
                    <w:t>0.036864294</w:t>
                  </w:r>
                  <w:r>
                    <w:rPr>
                      <w:rFonts w:hint="default" w:ascii="Times New Roman" w:hAnsi="Times New Roman" w:eastAsia="宋体" w:cs="Times New Roman"/>
                      <w:color w:val="000000" w:themeColor="text1"/>
                      <w:szCs w:val="21"/>
                      <w:lang w:val="en-US" w:eastAsia="zh-CN"/>
                      <w14:textFill>
                        <w14:solidFill>
                          <w14:schemeClr w14:val="tx1"/>
                        </w14:solidFill>
                      </w14:textFill>
                    </w:rPr>
                    <w:t>＜1，不涉及重大环境风险源</w:t>
                  </w:r>
                </w:p>
              </w:tc>
              <w:tc>
                <w:tcPr>
                  <w:tcW w:w="430" w:type="pct"/>
                  <w:vAlign w:val="center"/>
                </w:tcPr>
                <w:p w14:paraId="5F3CA618">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1ACF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0C98EEC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58D84886">
                  <w:pPr>
                    <w:keepLines/>
                    <w:widowControl/>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注重危险化学品的贮存和风险防范，其最大可信事故半致死浓度范围内不得有居民点存在。 </w:t>
                  </w:r>
                </w:p>
              </w:tc>
              <w:tc>
                <w:tcPr>
                  <w:tcW w:w="2028" w:type="pct"/>
                  <w:vAlign w:val="center"/>
                </w:tcPr>
                <w:p w14:paraId="4FACF7FD">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根据环境风险分析，本项目最大可行事故为厂区可燃物质发生的火灾事故，最大可信事故CO半致死浓度范围内不涉及村庄、住宅小区等居民点。</w:t>
                  </w:r>
                </w:p>
              </w:tc>
              <w:tc>
                <w:tcPr>
                  <w:tcW w:w="430" w:type="pct"/>
                  <w:vAlign w:val="center"/>
                </w:tcPr>
                <w:p w14:paraId="143CDE03">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75DB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76053C3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0AACDDD7">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对于进驻园区项目在选址布局时要充分考虑卫生防护距离和安全防护距离的要求。 </w:t>
                  </w:r>
                </w:p>
              </w:tc>
              <w:tc>
                <w:tcPr>
                  <w:tcW w:w="2028" w:type="pct"/>
                  <w:vAlign w:val="center"/>
                </w:tcPr>
                <w:p w14:paraId="07364A76">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本项目位于工业园区内，周边500m范围内无村庄。</w:t>
                  </w:r>
                </w:p>
              </w:tc>
              <w:tc>
                <w:tcPr>
                  <w:tcW w:w="430" w:type="pct"/>
                  <w:vAlign w:val="center"/>
                </w:tcPr>
                <w:p w14:paraId="36C789CB">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0CDE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Merge w:val="continue"/>
                  <w:vAlign w:val="center"/>
                </w:tcPr>
                <w:p w14:paraId="68E166A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7" w:type="pct"/>
                  <w:vAlign w:val="center"/>
                </w:tcPr>
                <w:p w14:paraId="73765530">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制定突发环境事件应急预案，完善风险管理机制，加强风险控制防范。建立区域环境监测制度，加强规划实施的跟踪监测与管理。</w:t>
                  </w:r>
                </w:p>
              </w:tc>
              <w:tc>
                <w:tcPr>
                  <w:tcW w:w="2028" w:type="pct"/>
                  <w:shd w:val="clear" w:color="auto" w:fill="auto"/>
                  <w:vAlign w:val="center"/>
                </w:tcPr>
                <w:p w14:paraId="6EA7719C">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本项目针对存在的环境风险采取了相应的风险防范措施，项目建成后及时制定突发环境事件应急预案，在当地生态环境主管部门进行备案后定期进行相关的培训和演练。</w:t>
                  </w:r>
                </w:p>
              </w:tc>
              <w:tc>
                <w:tcPr>
                  <w:tcW w:w="430" w:type="pct"/>
                  <w:vAlign w:val="center"/>
                </w:tcPr>
                <w:p w14:paraId="17828454">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06BD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 w:type="pct"/>
                  <w:vAlign w:val="center"/>
                </w:tcPr>
                <w:p w14:paraId="3E2B67FD">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资源开发效率要求</w:t>
                  </w:r>
                </w:p>
              </w:tc>
              <w:tc>
                <w:tcPr>
                  <w:tcW w:w="2047" w:type="pct"/>
                  <w:vAlign w:val="center"/>
                </w:tcPr>
                <w:p w14:paraId="038DDDB1">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园区生活污水及工业污水集中处理率达到 90%以上，再生水利用率达到 30%，工业用水重复率不低于80%。</w:t>
                  </w:r>
                </w:p>
              </w:tc>
              <w:tc>
                <w:tcPr>
                  <w:tcW w:w="2028" w:type="pct"/>
                  <w:vAlign w:val="center"/>
                </w:tcPr>
                <w:p w14:paraId="054B57D2">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本项目用水量较小，不属于高耗水企业；</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近期生活污水经化粪池预处理后进入自建生活污水处理设施处理达标后用于厂区周边绿化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；远期生活污水通过化粪池预处理后排入园区市政污水管网，进入园区污水处理厂处理</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430" w:type="pct"/>
                  <w:vAlign w:val="center"/>
                </w:tcPr>
                <w:p w14:paraId="6C53D81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4F4F5E63">
            <w:pPr>
              <w:pStyle w:val="18"/>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5、与《云南省星云湖保护条例》（2023年9月23日云南省第十四届人民代表大会常务委员会第五次会议通过）符合性分析</w:t>
            </w:r>
          </w:p>
          <w:p w14:paraId="567B75E0">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云南省星云湖保护条例》，星云湖保护应当划定湖滨生态红线和湖泊生态黄线。确定生态保护核心区、生态保护缓冲区和绿色发展区。生态保护核心区是指湖滨生态红线以内的水域和陆域。生态保护缓冲区是指湖滨生态红线与湖泊生态黄线之间的区域。绿色发展区是指湖泊生态黄线与湖泊流域分水线之间的区域。</w:t>
            </w:r>
          </w:p>
          <w:p w14:paraId="6D3026CD">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根据项目位置与</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湖滨生态红线及湖泊生态黄线布置图</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的叠图（详见附图6），本项目位于湖滨生态红线与湖泊生态黄线之外，属于绿色发展区。</w:t>
            </w:r>
          </w:p>
          <w:p w14:paraId="3B31C54A">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根据《云南省星云湖保护条例》</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第二十三条，</w:t>
            </w:r>
            <w:r>
              <w:rPr>
                <w:rFonts w:hint="default" w:ascii="Times New Roman" w:hAnsi="Times New Roman" w:eastAsia="宋体" w:cs="Times New Roman"/>
                <w:color w:val="000000" w:themeColor="text1"/>
                <w:sz w:val="24"/>
                <w:lang w:val="en-US" w:eastAsia="zh-CN"/>
                <w14:textFill>
                  <w14:solidFill>
                    <w14:schemeClr w14:val="tx1"/>
                  </w14:solidFill>
                </w14:textFill>
              </w:rPr>
              <w:t>绿色发展区推进流域生态修复、提升生态涵养功能，淘汰落后产能，发展绿色低碳循环经济，促进富民就业，以生态环境高水平保护促进流域经济社会高质量发展。绿色发展区禁止新建、改建、扩建严重污染环境、破坏生态的项目；星云湖面山区域禁止连片房地产开发；科学确定人口和城镇建设规模，合理确定并严格控制新增建设用地总规模，提高土地节约集约利用水平，保障土地的可持续利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以及</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第二十四条</w:t>
            </w:r>
            <w:r>
              <w:rPr>
                <w:rFonts w:hint="default" w:ascii="Times New Roman" w:hAnsi="Times New Roman" w:eastAsia="宋体" w:cs="Times New Roman"/>
                <w:color w:val="000000" w:themeColor="text1"/>
                <w:sz w:val="24"/>
                <w:lang w:val="en-US" w:eastAsia="zh-CN"/>
                <w14:textFill>
                  <w14:solidFill>
                    <w14:schemeClr w14:val="tx1"/>
                  </w14:solidFill>
                </w14:textFill>
              </w:rPr>
              <w:t>　绿色发展区禁止下列行为：</w:t>
            </w:r>
          </w:p>
          <w:p w14:paraId="3712AAA8">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（一）利用渗井、渗坑、裂隙，私设暗管，篡改、伪造监测数据，或者不正常运行水污染防治设施等逃避监管的方式排放水污染物；</w:t>
            </w:r>
          </w:p>
          <w:p w14:paraId="623703C0">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（二）向入湖河道、沟渠、城镇排水管网排放超过国家、地方水污染物排放标准或者超过重点水污染物排放总量控制指标的水污染物；</w:t>
            </w:r>
          </w:p>
          <w:p w14:paraId="39405C6C">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（三）向入湖河道、沟渠、水库排放、倾倒、填埋油类、酸液、碱液、剧毒废液（渣）等；</w:t>
            </w:r>
          </w:p>
          <w:p w14:paraId="338E37A1">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（四）在入湖河道、沟渠、水库最高水位线以下的滩地和岸坡倾倒、堆放、贮存、填埋固体废弃物或者其他污染物，丢弃或者填埋病死动物、病害动物产品；</w:t>
            </w:r>
          </w:p>
          <w:p w14:paraId="7816C218">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（五）在入湖河道、沟渠、水库内丢弃农药、农药包装物，清洗施药器械；</w:t>
            </w:r>
          </w:p>
          <w:p w14:paraId="4E02770C">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（六）向农用地排放重金属或者其他有毒有害物质含量超标的污水、污泥，以及可能造成土壤污染的清淤底泥、尾矿、矿渣等；</w:t>
            </w:r>
          </w:p>
          <w:p w14:paraId="7B88CBFC">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（七）随意倾倒、堆放、填埋废弃菜叶等农业废弃物；</w:t>
            </w:r>
          </w:p>
          <w:p w14:paraId="47938CBF">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（八）生产、销售、使用含磷洗涤用品和国家明令禁止或者明令淘汰的一次性发泡塑料餐具、塑料袋；</w:t>
            </w:r>
          </w:p>
          <w:p w14:paraId="0177BE74">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（九）经营、使用杀鼠剂以外的限制使用类农药；</w:t>
            </w:r>
          </w:p>
          <w:p w14:paraId="206965A4">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（十）违反规定处置生活垃圾，倾倒粪便或者直排畜禽养殖粪污；</w:t>
            </w:r>
          </w:p>
          <w:p w14:paraId="14200312">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（十一）侵占湿地、水库，擅自填堵、覆盖河道；</w:t>
            </w:r>
          </w:p>
          <w:p w14:paraId="7F048C2B">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（十二）新增采矿、选矿；</w:t>
            </w:r>
          </w:p>
          <w:p w14:paraId="5EF82535">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（十三）开山、采石、挖砂、取土、毁林毁草；</w:t>
            </w:r>
          </w:p>
          <w:p w14:paraId="59220217">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（十四）擅自取水或者违反取水许可规定取水；</w:t>
            </w:r>
          </w:p>
          <w:p w14:paraId="1F8CEE99">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（十五）擅自释放或者丢弃外来物种；</w:t>
            </w:r>
          </w:p>
          <w:p w14:paraId="5E701409">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（十六）法律、法规禁止的其他行为。</w:t>
            </w:r>
          </w:p>
          <w:p w14:paraId="60215AD3">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星云湖流域内原建成的磷化工等工矿企业和其他项目，应当严格管控，不得扩大原有矿山规模，采取措施防治污染，提升环保标准，确保污染物排放达到规定标准。</w:t>
            </w:r>
            <w:r>
              <w:rPr>
                <w:rFonts w:hint="eastAsia" w:cs="Times New Roman"/>
                <w:color w:val="000000" w:themeColor="text1"/>
                <w:sz w:val="24"/>
                <w:lang w:val="en-US" w:eastAsia="zh-CN"/>
                <w14:textFill>
                  <w14:solidFill>
                    <w14:schemeClr w14:val="tx1"/>
                  </w14:solidFill>
                </w14:textFill>
              </w:rPr>
              <w:t>”</w:t>
            </w:r>
          </w:p>
          <w:p w14:paraId="7E0B74A4">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kern w:val="0"/>
                <w:sz w:val="24"/>
                <w:szCs w:val="24"/>
                <w:u w:val="none"/>
                <w:lang w:eastAsia="zh-CN"/>
                <w14:textFill>
                  <w14:solidFill>
                    <w14:schemeClr w14:val="tx1"/>
                  </w14:solidFill>
                </w14:textFill>
              </w:rPr>
            </w:pPr>
            <w:r>
              <w:rPr>
                <w:rFonts w:hint="eastAsia" w:cs="Times New Roman"/>
                <w:color w:val="000000" w:themeColor="text1"/>
                <w:kern w:val="0"/>
                <w:sz w:val="24"/>
                <w:szCs w:val="24"/>
                <w:u w:val="none"/>
                <w:lang w:eastAsia="zh-CN"/>
                <w14:textFill>
                  <w14:solidFill>
                    <w14:schemeClr w14:val="tx1"/>
                  </w14:solidFill>
                </w14:textFill>
              </w:rPr>
              <w:t>本项目于不属于“</w:t>
            </w:r>
            <w:r>
              <w:rPr>
                <w:rFonts w:hint="default" w:ascii="Times New Roman" w:hAnsi="Times New Roman" w:eastAsia="宋体" w:cs="Times New Roman"/>
                <w:color w:val="000000" w:themeColor="text1"/>
                <w:sz w:val="24"/>
                <w:lang w:val="en-US" w:eastAsia="zh-CN"/>
                <w14:textFill>
                  <w14:solidFill>
                    <w14:schemeClr w14:val="tx1"/>
                  </w14:solidFill>
                </w14:textFill>
              </w:rPr>
              <w:t>严重污染环境、破坏生态的项目</w:t>
            </w:r>
            <w:r>
              <w:rPr>
                <w:rFonts w:hint="eastAsia" w:cs="Times New Roman"/>
                <w:color w:val="000000" w:themeColor="text1"/>
                <w:kern w:val="0"/>
                <w:sz w:val="24"/>
                <w:szCs w:val="24"/>
                <w:u w:val="none"/>
                <w:lang w:eastAsia="zh-CN"/>
                <w14:textFill>
                  <w14:solidFill>
                    <w14:schemeClr w14:val="tx1"/>
                  </w14:solidFill>
                </w14:textFill>
              </w:rPr>
              <w:t>”，不属于“</w:t>
            </w:r>
            <w:r>
              <w:rPr>
                <w:rFonts w:hint="default" w:ascii="Times New Roman" w:hAnsi="Times New Roman" w:eastAsia="宋体" w:cs="Times New Roman"/>
                <w:color w:val="000000" w:themeColor="text1"/>
                <w:sz w:val="24"/>
                <w:lang w:val="en-US" w:eastAsia="zh-CN"/>
                <w14:textFill>
                  <w14:solidFill>
                    <w14:schemeClr w14:val="tx1"/>
                  </w14:solidFill>
                </w14:textFill>
              </w:rPr>
              <w:t>星云湖面山区域禁止连片房地产开发</w:t>
            </w:r>
            <w:r>
              <w:rPr>
                <w:rFonts w:hint="eastAsia" w:cs="Times New Roman"/>
                <w:color w:val="000000" w:themeColor="text1"/>
                <w:kern w:val="0"/>
                <w:sz w:val="24"/>
                <w:szCs w:val="24"/>
                <w:u w:val="none"/>
                <w:lang w:eastAsia="zh-CN"/>
                <w14:textFill>
                  <w14:solidFill>
                    <w14:schemeClr w14:val="tx1"/>
                  </w14:solidFill>
                </w14:textFill>
              </w:rPr>
              <w:t>”，满足上述</w:t>
            </w:r>
            <w:r>
              <w:rPr>
                <w:rFonts w:hint="default" w:ascii="Times New Roman" w:hAnsi="Times New Roman" w:eastAsia="宋体" w:cs="Times New Roman"/>
                <w:color w:val="000000" w:themeColor="text1"/>
                <w:sz w:val="24"/>
                <w:lang w:val="en-US" w:eastAsia="zh-CN"/>
                <w14:textFill>
                  <w14:solidFill>
                    <w14:schemeClr w14:val="tx1"/>
                  </w14:solidFill>
                </w14:textFill>
              </w:rPr>
              <w:t>《云南省星云湖保护条例》</w:t>
            </w:r>
            <w:r>
              <w:rPr>
                <w:rFonts w:hint="eastAsia" w:cs="Times New Roman"/>
                <w:color w:val="000000" w:themeColor="text1"/>
                <w:sz w:val="24"/>
                <w:lang w:val="en-US" w:eastAsia="zh-CN"/>
                <w14:textFill>
                  <w14:solidFill>
                    <w14:schemeClr w14:val="tx1"/>
                  </w14:solidFill>
                </w14:textFill>
              </w:rPr>
              <w:t>第二十三条要求；</w:t>
            </w:r>
            <w:r>
              <w:rPr>
                <w:rFonts w:hint="default" w:ascii="Times New Roman" w:hAnsi="Times New Roman" w:eastAsia="宋体" w:cs="Times New Roman"/>
                <w:color w:val="000000" w:themeColor="text1"/>
                <w:kern w:val="0"/>
                <w:sz w:val="24"/>
                <w:szCs w:val="24"/>
                <w:u w:val="none"/>
                <w:lang w:eastAsia="zh-CN"/>
                <w14:textFill>
                  <w14:solidFill>
                    <w14:schemeClr w14:val="tx1"/>
                  </w14:solidFill>
                </w14:textFill>
              </w:rPr>
              <w:t>本项目不涉及绿色发展区中的禁止行为，本项目的建设对周边环境影响不大</w:t>
            </w:r>
            <w:r>
              <w:rPr>
                <w:rFonts w:hint="eastAsia" w:cs="Times New Roman"/>
                <w:color w:val="000000" w:themeColor="text1"/>
                <w:kern w:val="0"/>
                <w:sz w:val="24"/>
                <w:szCs w:val="24"/>
                <w:u w:val="none"/>
                <w:lang w:eastAsia="zh-CN"/>
                <w14:textFill>
                  <w14:solidFill>
                    <w14:schemeClr w14:val="tx1"/>
                  </w14:solidFill>
                </w14:textFill>
              </w:rPr>
              <w:t>，满足上述</w:t>
            </w:r>
            <w:r>
              <w:rPr>
                <w:rFonts w:hint="default" w:ascii="Times New Roman" w:hAnsi="Times New Roman" w:eastAsia="宋体" w:cs="Times New Roman"/>
                <w:color w:val="000000" w:themeColor="text1"/>
                <w:sz w:val="24"/>
                <w:lang w:val="en-US" w:eastAsia="zh-CN"/>
                <w14:textFill>
                  <w14:solidFill>
                    <w14:schemeClr w14:val="tx1"/>
                  </w14:solidFill>
                </w14:textFill>
              </w:rPr>
              <w:t>《云南省星云湖保护条例》</w:t>
            </w:r>
            <w:r>
              <w:rPr>
                <w:rFonts w:hint="eastAsia" w:cs="Times New Roman"/>
                <w:color w:val="000000" w:themeColor="text1"/>
                <w:sz w:val="24"/>
                <w:lang w:val="en-US" w:eastAsia="zh-CN"/>
                <w14:textFill>
                  <w14:solidFill>
                    <w14:schemeClr w14:val="tx1"/>
                  </w14:solidFill>
                </w14:textFill>
              </w:rPr>
              <w:t>第二十四条要求</w:t>
            </w:r>
            <w:r>
              <w:rPr>
                <w:rFonts w:hint="default" w:ascii="Times New Roman" w:hAnsi="Times New Roman" w:eastAsia="宋体" w:cs="Times New Roman"/>
                <w:color w:val="000000" w:themeColor="text1"/>
                <w:kern w:val="0"/>
                <w:sz w:val="24"/>
                <w:szCs w:val="24"/>
                <w:u w:val="none"/>
                <w:lang w:eastAsia="zh-CN"/>
                <w14:textFill>
                  <w14:solidFill>
                    <w14:schemeClr w14:val="tx1"/>
                  </w14:solidFill>
                </w14:textFill>
              </w:rPr>
              <w:t>。</w:t>
            </w:r>
          </w:p>
          <w:p w14:paraId="3A6161B8">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根据《玉溪市人民政府关于抚仙湖、星云湖、杞麓湖生态保护核心区生态保护缓冲区绿色发展区划定公告》</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星云湖绿色发展区功能定位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为：绿色发展区推进流域生态修复、提升生态涵养功能，淘汰落后产能，发展绿色低碳循环经济，促进富民就业，以生态环境高水平保护促进流域经济社会高质量发展。</w:t>
            </w:r>
            <w:r>
              <w:rPr>
                <w:rFonts w:hint="eastAsia" w:cs="Times New Roman"/>
                <w:color w:val="000000" w:themeColor="text1"/>
                <w:sz w:val="24"/>
                <w:szCs w:val="24"/>
                <w:lang w:val="en-US" w:eastAsia="zh-CN"/>
                <w14:textFill>
                  <w14:solidFill>
                    <w14:schemeClr w14:val="tx1"/>
                  </w14:solidFill>
                </w14:textFill>
              </w:rPr>
              <w:t>”</w:t>
            </w:r>
          </w:p>
          <w:p w14:paraId="4139359F">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b w:val="0"/>
                <w:bCs w:val="0"/>
                <w:color w:val="000000" w:themeColor="text1"/>
                <w:sz w:val="24"/>
                <w:szCs w:val="24"/>
                <w:u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目位于</w:t>
            </w:r>
            <w:r>
              <w:rPr>
                <w:rFonts w:hint="default" w:ascii="Times New Roman" w:hAnsi="Times New Roman" w:eastAsia="宋体" w:cs="Times New Roman"/>
                <w:b w:val="0"/>
                <w:bCs w:val="0"/>
                <w:color w:val="000000" w:themeColor="text1"/>
                <w:sz w:val="24"/>
                <w:szCs w:val="24"/>
                <w:u w:val="none"/>
                <w:lang w:eastAsia="zh-CN"/>
                <w14:textFill>
                  <w14:solidFill>
                    <w14:schemeClr w14:val="tx1"/>
                  </w14:solidFill>
                </w14:textFill>
              </w:rPr>
              <w:t>玉溪高新区龙泉片区</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A5地块C2栋，位于工业园区内，利用工业园区内现有空置厂房进行建设，不涉及新增占地。本项目为</w:t>
            </w:r>
            <w:r>
              <w:rPr>
                <w:rFonts w:hint="default" w:ascii="Times New Roman" w:hAnsi="Times New Roman" w:eastAsia="宋体" w:cs="Times New Roman"/>
                <w:b w:val="0"/>
                <w:bCs w:val="0"/>
                <w:color w:val="000000" w:themeColor="text1"/>
                <w:sz w:val="24"/>
                <w:szCs w:val="24"/>
                <w:u w:val="none"/>
                <w:lang w:eastAsia="zh-CN"/>
                <w14:textFill>
                  <w14:solidFill>
                    <w14:schemeClr w14:val="tx1"/>
                  </w14:solidFill>
                </w14:textFill>
              </w:rPr>
              <w:t>软包装、新能源包装材料项目，不属于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严重污染环境、破坏生态的项目。</w:t>
            </w:r>
          </w:p>
          <w:p w14:paraId="480B884D">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000000" w:themeColor="text1"/>
                <w:kern w:val="0"/>
                <w:sz w:val="24"/>
                <w:szCs w:val="24"/>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本项目不属于高耗水企业，用水由市政管网提供。</w:t>
            </w:r>
            <w:r>
              <w:rPr>
                <w:rFonts w:hint="default" w:ascii="Times New Roman" w:hAnsi="Times New Roman" w:eastAsia="宋体" w:cs="Times New Roman"/>
                <w:b w:val="0"/>
                <w:bCs w:val="0"/>
                <w:color w:val="000000" w:themeColor="text1"/>
                <w:sz w:val="24"/>
                <w:szCs w:val="24"/>
                <w:u w:val="none"/>
                <w:lang w:eastAsia="zh-CN"/>
                <w14:textFill>
                  <w14:solidFill>
                    <w14:schemeClr w14:val="tx1"/>
                  </w14:solidFill>
                </w14:textFill>
              </w:rPr>
              <w:t>本项目生产过程中不产生生产废水；</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近期生活污水经化粪池预处理后进入自建生活污水处理设施处理达标后用于厂区周边绿化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，留待晴天使用</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；远期生活污水通过化粪池预处理后排入园区市政污水管网，进入园区污水处理厂处理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u w:val="none"/>
                <w:lang w:eastAsia="zh-CN"/>
                <w14:textFill>
                  <w14:solidFill>
                    <w14:schemeClr w14:val="tx1"/>
                  </w14:solidFill>
                </w14:textFill>
              </w:rPr>
              <w:t>本项目不属于高排放项目，本项目排放废气经采取治理措施处理后能够达标排放。本项目产生的固体废物均得到合理处置。</w:t>
            </w:r>
          </w:p>
          <w:p w14:paraId="69702CA8">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b w:val="0"/>
                <w:bCs w:val="0"/>
                <w:color w:val="000000" w:themeColor="text1"/>
                <w:sz w:val="24"/>
                <w:szCs w:val="24"/>
                <w:u w:val="none"/>
                <w:lang w:eastAsia="zh-CN"/>
                <w14:textFill>
                  <w14:solidFill>
                    <w14:schemeClr w14:val="tx1"/>
                  </w14:solidFill>
                </w14:textFill>
              </w:rPr>
            </w:pPr>
            <w:r>
              <w:rPr>
                <w:rFonts w:hint="eastAsia" w:cs="Times New Roman"/>
                <w:color w:val="000000" w:themeColor="text1"/>
                <w:kern w:val="0"/>
                <w:sz w:val="24"/>
                <w:szCs w:val="24"/>
                <w:u w:val="none"/>
                <w:lang w:eastAsia="zh-CN"/>
                <w14:textFill>
                  <w14:solidFill>
                    <w14:schemeClr w14:val="tx1"/>
                  </w14:solidFill>
                </w14:textFill>
              </w:rPr>
              <w:t>综上所述，本项目</w:t>
            </w:r>
            <w:r>
              <w:rPr>
                <w:rFonts w:hint="default" w:ascii="Times New Roman" w:hAnsi="Times New Roman" w:eastAsia="宋体" w:cs="Times New Roman"/>
                <w:color w:val="000000" w:themeColor="text1"/>
                <w:kern w:val="0"/>
                <w:sz w:val="24"/>
                <w:szCs w:val="24"/>
                <w:u w:val="none"/>
                <w:lang w:eastAsia="zh-CN"/>
                <w14:textFill>
                  <w14:solidFill>
                    <w14:schemeClr w14:val="tx1"/>
                  </w14:solidFill>
                </w14:textFill>
              </w:rPr>
              <w:t>满足</w:t>
            </w:r>
            <w:r>
              <w:rPr>
                <w:rFonts w:hint="default" w:ascii="Times New Roman" w:hAnsi="Times New Roman" w:eastAsia="宋体" w:cs="Times New Roman"/>
                <w:color w:val="000000" w:themeColor="text1"/>
                <w:sz w:val="24"/>
                <w:lang w:val="en-US" w:eastAsia="zh-CN"/>
                <w14:textFill>
                  <w14:solidFill>
                    <w14:schemeClr w14:val="tx1"/>
                  </w14:solidFill>
                </w14:textFill>
              </w:rPr>
              <w:t>《云南省星云湖保护条例》中相关要求。</w:t>
            </w:r>
          </w:p>
          <w:p w14:paraId="04CD0875">
            <w:pPr>
              <w:pStyle w:val="18"/>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lang w:eastAsia="zh-CN"/>
                <w14:textFill>
                  <w14:solidFill>
                    <w14:schemeClr w14:val="tx1"/>
                  </w14:solidFill>
                </w14:textFill>
              </w:rPr>
              <w:t>《云南省</w:t>
            </w:r>
            <w:r>
              <w:rPr>
                <w:rFonts w:hint="default" w:ascii="Times New Roman" w:hAnsi="Times New Roman" w:eastAsia="宋体" w:cs="Times New Roman"/>
                <w:b/>
                <w:color w:val="000000" w:themeColor="text1"/>
                <w:sz w:val="24"/>
                <w14:textFill>
                  <w14:solidFill>
                    <w14:schemeClr w14:val="tx1"/>
                  </w14:solidFill>
                </w14:textFill>
              </w:rPr>
              <w:t>长江经济带发展负面清单指南</w:t>
            </w:r>
            <w:r>
              <w:rPr>
                <w:rFonts w:hint="default" w:ascii="Times New Roman" w:hAnsi="Times New Roman" w:eastAsia="宋体" w:cs="Times New Roman"/>
                <w:b/>
                <w:color w:val="000000" w:themeColor="text1"/>
                <w:sz w:val="24"/>
                <w:lang w:eastAsia="zh-CN"/>
                <w14:textFill>
                  <w14:solidFill>
                    <w14:schemeClr w14:val="tx1"/>
                  </w14:solidFill>
                </w14:textFill>
              </w:rPr>
              <w:t>实施细则</w:t>
            </w:r>
            <w:r>
              <w:rPr>
                <w:rFonts w:hint="default" w:ascii="Times New Roman" w:hAnsi="Times New Roman" w:eastAsia="宋体" w:cs="Times New Roman"/>
                <w:b/>
                <w:color w:val="000000" w:themeColor="text1"/>
                <w:sz w:val="24"/>
                <w14:textFill>
                  <w14:solidFill>
                    <w14:schemeClr w14:val="tx1"/>
                  </w14:solidFill>
                </w14:textFill>
              </w:rPr>
              <w:t>》（试行，2022年版）的符合性分析</w:t>
            </w:r>
          </w:p>
          <w:p w14:paraId="7AC8FFD3">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lang w:eastAsia="zh-CN"/>
                <w14:textFill>
                  <w14:solidFill>
                    <w14:schemeClr w14:val="tx1"/>
                  </w14:solidFill>
                </w14:textFill>
              </w:rPr>
              <w:t>玉溪高新区龙泉片区</w:t>
            </w:r>
            <w:r>
              <w:rPr>
                <w:rFonts w:hint="default" w:ascii="Times New Roman" w:hAnsi="Times New Roman" w:eastAsia="宋体" w:cs="Times New Roman"/>
                <w:color w:val="000000" w:themeColor="text1"/>
                <w:sz w:val="24"/>
                <w14:textFill>
                  <w14:solidFill>
                    <w14:schemeClr w14:val="tx1"/>
                  </w14:solidFill>
                </w14:textFill>
              </w:rPr>
              <w:t>，不在</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云南省长江经济带发展负面清单指南实施细则（</w:t>
            </w:r>
            <w:r>
              <w:rPr>
                <w:rFonts w:hint="default" w:ascii="Times New Roman" w:hAnsi="Times New Roman" w:eastAsia="宋体" w:cs="Times New Roman"/>
                <w:color w:val="000000" w:themeColor="text1"/>
                <w:sz w:val="24"/>
                <w:lang w:val="en-US" w:eastAsia="zh-CN"/>
                <w14:textFill>
                  <w14:solidFill>
                    <w14:schemeClr w14:val="tx1"/>
                  </w14:solidFill>
                </w14:textFill>
              </w:rPr>
              <w:t>2022年版</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（云发改基础</w:t>
            </w:r>
            <w:r>
              <w:rPr>
                <w:rFonts w:hint="default" w:ascii="Times New Roman" w:hAnsi="Times New Roman" w:eastAsia="宋体" w:cs="Times New Roman"/>
                <w:color w:val="000000" w:themeColor="text1"/>
                <w:sz w:val="24"/>
                <w:lang w:val="en-US" w:eastAsia="zh-CN"/>
                <w14:textFill>
                  <w14:solidFill>
                    <w14:schemeClr w14:val="tx1"/>
                  </w14:solidFill>
                </w14:textFill>
              </w:rPr>
              <w:t>〔2022〕894号</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禁止建设的负面清单内。具体符合性分析见下表</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43AA0A27">
            <w:pPr>
              <w:pageBreakBefore w:val="0"/>
              <w:kinsoku/>
              <w:overflowPunct/>
              <w:topLinePunct w:val="0"/>
              <w:bidi w:val="0"/>
              <w:ind w:left="0" w:leftChars="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表1-</w:t>
            </w:r>
            <w:r>
              <w:rPr>
                <w:rFonts w:hint="default" w:ascii="Times New Roman" w:hAnsi="Times New Roman" w:eastAsia="宋体" w:cs="Times New Roman"/>
                <w:b/>
                <w:color w:val="000000" w:themeColor="text1"/>
                <w:szCs w:val="21"/>
                <w:lang w:val="en-US" w:eastAsia="zh-CN"/>
                <w14:textFill>
                  <w14:solidFill>
                    <w14:schemeClr w14:val="tx1"/>
                  </w14:solidFill>
                </w14:textFill>
              </w:rPr>
              <w:t>6</w:t>
            </w:r>
            <w:r>
              <w:rPr>
                <w:rFonts w:hint="default" w:ascii="Times New Roman" w:hAnsi="Times New Roman" w:eastAsia="宋体" w:cs="Times New Roman"/>
                <w:b/>
                <w:color w:val="000000" w:themeColor="text1"/>
                <w:szCs w:val="21"/>
                <w14:textFill>
                  <w14:solidFill>
                    <w14:schemeClr w14:val="tx1"/>
                  </w14:solidFill>
                </w14:textFill>
              </w:rPr>
              <w:t>项目与</w:t>
            </w:r>
            <w:r>
              <w:rPr>
                <w:rFonts w:hint="default" w:ascii="Times New Roman" w:hAnsi="Times New Roman" w:eastAsia="宋体" w:cs="Times New Roman"/>
                <w:b/>
                <w:color w:val="000000" w:themeColor="text1"/>
                <w:szCs w:val="21"/>
                <w:lang w:eastAsia="zh-CN"/>
                <w14:textFill>
                  <w14:solidFill>
                    <w14:schemeClr w14:val="tx1"/>
                  </w14:solidFill>
                </w14:textFill>
              </w:rPr>
              <w:t>《</w:t>
            </w:r>
            <w:r>
              <w:rPr>
                <w:rFonts w:hint="default" w:ascii="Times New Roman" w:hAnsi="Times New Roman" w:eastAsia="宋体" w:cs="Times New Roman"/>
                <w:b/>
                <w:color w:val="000000" w:themeColor="text1"/>
                <w:szCs w:val="21"/>
                <w14:textFill>
                  <w14:solidFill>
                    <w14:schemeClr w14:val="tx1"/>
                  </w14:solidFill>
                </w14:textFill>
              </w:rPr>
              <w:t>云南省长江经济带发展负面清单指南实施细则（</w:t>
            </w:r>
            <w:r>
              <w:rPr>
                <w:rFonts w:hint="default" w:ascii="Times New Roman" w:hAnsi="Times New Roman" w:eastAsia="宋体" w:cs="Times New Roman"/>
                <w:b/>
                <w:color w:val="000000" w:themeColor="text1"/>
                <w:szCs w:val="21"/>
                <w:lang w:eastAsia="zh-CN"/>
                <w14:textFill>
                  <w14:solidFill>
                    <w14:schemeClr w14:val="tx1"/>
                  </w14:solidFill>
                </w14:textFill>
              </w:rPr>
              <w:t>试行，</w:t>
            </w:r>
            <w:r>
              <w:rPr>
                <w:rFonts w:hint="default" w:ascii="Times New Roman" w:hAnsi="Times New Roman" w:eastAsia="宋体" w:cs="Times New Roman"/>
                <w:b/>
                <w:color w:val="000000" w:themeColor="text1"/>
                <w:szCs w:val="21"/>
                <w:lang w:val="en-US" w:eastAsia="zh-CN"/>
                <w14:textFill>
                  <w14:solidFill>
                    <w14:schemeClr w14:val="tx1"/>
                  </w14:solidFill>
                </w14:textFill>
              </w:rPr>
              <w:t>2022年版</w:t>
            </w:r>
            <w:r>
              <w:rPr>
                <w:rFonts w:hint="default" w:ascii="Times New Roman" w:hAnsi="Times New Roman" w:eastAsia="宋体" w:cs="Times New Roman"/>
                <w:b/>
                <w:color w:val="000000" w:themeColor="text1"/>
                <w:szCs w:val="21"/>
                <w:lang w:eastAsia="zh-CN"/>
                <w14:textFill>
                  <w14:solidFill>
                    <w14:schemeClr w14:val="tx1"/>
                  </w14:solidFill>
                </w14:textFill>
              </w:rPr>
              <w:t>）</w:t>
            </w:r>
            <w:r>
              <w:rPr>
                <w:rFonts w:hint="default" w:ascii="Times New Roman" w:hAnsi="Times New Roman" w:eastAsia="宋体" w:cs="Times New Roman"/>
                <w:b/>
                <w:color w:val="000000" w:themeColor="text1"/>
                <w:szCs w:val="21"/>
                <w14:textFill>
                  <w14:solidFill>
                    <w14:schemeClr w14:val="tx1"/>
                  </w14:solidFill>
                </w14:textFill>
              </w:rPr>
              <w:t>》符合性分析一览表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1"/>
              <w:gridCol w:w="2980"/>
              <w:gridCol w:w="669"/>
            </w:tblGrid>
            <w:tr w14:paraId="5A4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6489BACD">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法律规定保护要求</w:t>
                  </w:r>
                </w:p>
              </w:tc>
              <w:tc>
                <w:tcPr>
                  <w:tcW w:w="2008" w:type="pct"/>
                  <w:vAlign w:val="center"/>
                </w:tcPr>
                <w:p w14:paraId="407FFEB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本项目保护情况</w:t>
                  </w:r>
                </w:p>
              </w:tc>
              <w:tc>
                <w:tcPr>
                  <w:tcW w:w="450" w:type="pct"/>
                  <w:vAlign w:val="center"/>
                </w:tcPr>
                <w:p w14:paraId="750B5D4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符合性</w:t>
                  </w:r>
                </w:p>
              </w:tc>
            </w:tr>
            <w:tr w14:paraId="2DEE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0A3023B9">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2008" w:type="pct"/>
                  <w:vAlign w:val="center"/>
                </w:tcPr>
                <w:p w14:paraId="1B46696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玉溪高新区龙泉片区</w:t>
                  </w:r>
                  <w:r>
                    <w:rPr>
                      <w:rFonts w:hint="default" w:ascii="Times New Roman" w:hAnsi="Times New Roman" w:eastAsia="宋体" w:cs="Times New Roman"/>
                      <w:bCs/>
                      <w:color w:val="000000" w:themeColor="text1"/>
                      <w:szCs w:val="21"/>
                      <w:lang w:val="en-US" w:eastAsia="zh-CN"/>
                      <w14:textFill>
                        <w14:solidFill>
                          <w14:schemeClr w14:val="tx1"/>
                        </w14:solidFill>
                      </w14:textFill>
                    </w:rPr>
                    <w:t>，位于工业园区内，</w:t>
                  </w:r>
                  <w:r>
                    <w:rPr>
                      <w:rFonts w:hint="default" w:ascii="Times New Roman" w:hAnsi="Times New Roman" w:eastAsia="宋体" w:cs="Times New Roman"/>
                      <w:bCs/>
                      <w:color w:val="000000" w:themeColor="text1"/>
                      <w:szCs w:val="21"/>
                      <w:lang w:eastAsia="zh-CN"/>
                      <w14:textFill>
                        <w14:solidFill>
                          <w14:schemeClr w14:val="tx1"/>
                        </w14:solidFill>
                      </w14:textFill>
                    </w:rPr>
                    <w:t>本项目不属于</w:t>
                  </w:r>
                  <w:r>
                    <w:rPr>
                      <w:rFonts w:hint="default" w:ascii="Times New Roman" w:hAnsi="Times New Roman" w:eastAsia="宋体" w:cs="Times New Roman"/>
                      <w:bCs/>
                      <w:color w:val="000000" w:themeColor="text1"/>
                      <w:szCs w:val="21"/>
                      <w:lang w:val="en-US" w:eastAsia="zh-CN"/>
                      <w14:textFill>
                        <w14:solidFill>
                          <w14:schemeClr w14:val="tx1"/>
                        </w14:solidFill>
                      </w14:textFill>
                    </w:rPr>
                    <w:t>码头项目</w:t>
                  </w:r>
                </w:p>
              </w:tc>
              <w:tc>
                <w:tcPr>
                  <w:tcW w:w="450" w:type="pct"/>
                  <w:vAlign w:val="center"/>
                </w:tcPr>
                <w:p w14:paraId="32057550">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6351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4DC79DBA">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r>
                    <w:rPr>
                      <w:rFonts w:hint="default" w:ascii="Times New Roman" w:hAnsi="Times New Roman" w:eastAsia="宋体" w:cs="Times New Roman"/>
                      <w:bCs/>
                      <w:color w:val="000000" w:themeColor="text1"/>
                      <w:szCs w:val="21"/>
                      <w:lang w:eastAsia="zh-CN"/>
                      <w14:textFill>
                        <w14:solidFill>
                          <w14:schemeClr w14:val="tx1"/>
                        </w14:solidFill>
                      </w14:textFill>
                    </w:rPr>
                    <w:t>。</w:t>
                  </w:r>
                </w:p>
              </w:tc>
              <w:tc>
                <w:tcPr>
                  <w:tcW w:w="2008" w:type="pct"/>
                  <w:vAlign w:val="center"/>
                </w:tcPr>
                <w:p w14:paraId="48923A85">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玉溪高新区龙泉片区</w:t>
                  </w:r>
                  <w:r>
                    <w:rPr>
                      <w:rFonts w:hint="default" w:ascii="Times New Roman" w:hAnsi="Times New Roman" w:eastAsia="宋体" w:cs="Times New Roman"/>
                      <w:bCs/>
                      <w:color w:val="000000" w:themeColor="text1"/>
                      <w:szCs w:val="21"/>
                      <w:lang w:val="en-US" w:eastAsia="zh-CN"/>
                      <w14:textFill>
                        <w14:solidFill>
                          <w14:schemeClr w14:val="tx1"/>
                        </w14:solidFill>
                      </w14:textFill>
                    </w:rPr>
                    <w:t>，位于工业园区内，</w:t>
                  </w:r>
                  <w:r>
                    <w:rPr>
                      <w:rFonts w:hint="default" w:ascii="Times New Roman" w:hAnsi="Times New Roman" w:eastAsia="宋体" w:cs="Times New Roman"/>
                      <w:bCs/>
                      <w:color w:val="000000" w:themeColor="text1"/>
                      <w:szCs w:val="21"/>
                      <w14:textFill>
                        <w14:solidFill>
                          <w14:schemeClr w14:val="tx1"/>
                        </w14:solidFill>
                      </w14:textFill>
                    </w:rPr>
                    <w:t>本项目不</w:t>
                  </w:r>
                  <w:r>
                    <w:rPr>
                      <w:rFonts w:hint="default" w:ascii="Times New Roman" w:hAnsi="Times New Roman" w:eastAsia="宋体"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自然保护区</w:t>
                  </w:r>
                </w:p>
              </w:tc>
              <w:tc>
                <w:tcPr>
                  <w:tcW w:w="450" w:type="pct"/>
                  <w:vAlign w:val="center"/>
                </w:tcPr>
                <w:p w14:paraId="540EBC9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657F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7036B003">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008" w:type="pct"/>
                  <w:vAlign w:val="center"/>
                </w:tcPr>
                <w:p w14:paraId="31178EF3">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玉溪高新区龙泉片区</w:t>
                  </w:r>
                  <w:r>
                    <w:rPr>
                      <w:rFonts w:hint="default" w:ascii="Times New Roman" w:hAnsi="Times New Roman" w:eastAsia="宋体" w:cs="Times New Roman"/>
                      <w:bCs/>
                      <w:color w:val="000000" w:themeColor="text1"/>
                      <w:szCs w:val="21"/>
                      <w:lang w:val="en-US" w:eastAsia="zh-CN"/>
                      <w14:textFill>
                        <w14:solidFill>
                          <w14:schemeClr w14:val="tx1"/>
                        </w14:solidFill>
                      </w14:textFill>
                    </w:rPr>
                    <w:t>，位于工业园区内，</w:t>
                  </w:r>
                  <w:r>
                    <w:rPr>
                      <w:rFonts w:hint="default" w:ascii="Times New Roman" w:hAnsi="Times New Roman" w:eastAsia="宋体" w:cs="Times New Roman"/>
                      <w:bCs/>
                      <w:color w:val="000000" w:themeColor="text1"/>
                      <w:szCs w:val="21"/>
                      <w14:textFill>
                        <w14:solidFill>
                          <w14:schemeClr w14:val="tx1"/>
                        </w14:solidFill>
                      </w14:textFill>
                    </w:rPr>
                    <w:t>本项目不</w:t>
                  </w:r>
                  <w:r>
                    <w:rPr>
                      <w:rFonts w:hint="default" w:ascii="Times New Roman" w:hAnsi="Times New Roman" w:eastAsia="宋体"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风景名胜区。</w:t>
                  </w:r>
                </w:p>
                <w:p w14:paraId="508F908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50" w:type="pct"/>
                  <w:vAlign w:val="center"/>
                </w:tcPr>
                <w:p w14:paraId="45D6BC9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AD6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2541" w:type="pct"/>
                  <w:vAlign w:val="top"/>
                </w:tcPr>
                <w:p w14:paraId="17F20CEB">
                  <w:pPr>
                    <w:pageBreakBefore w:val="0"/>
                    <w:kinsoku/>
                    <w:overflowPunct/>
                    <w:topLinePunct w:val="0"/>
                    <w:bidi w:val="0"/>
                    <w:ind w:left="0" w:leftChars="0" w:right="0"/>
                    <w:jc w:val="both"/>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008" w:type="pct"/>
                  <w:vAlign w:val="center"/>
                </w:tcPr>
                <w:p w14:paraId="7530EDF4">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玉溪高新区龙泉片区</w:t>
                  </w:r>
                  <w:r>
                    <w:rPr>
                      <w:rFonts w:hint="default" w:ascii="Times New Roman" w:hAnsi="Times New Roman" w:eastAsia="宋体" w:cs="Times New Roman"/>
                      <w:bCs/>
                      <w:color w:val="000000" w:themeColor="text1"/>
                      <w:szCs w:val="21"/>
                      <w:lang w:val="en-US" w:eastAsia="zh-CN"/>
                      <w14:textFill>
                        <w14:solidFill>
                          <w14:schemeClr w14:val="tx1"/>
                        </w14:solidFill>
                      </w14:textFill>
                    </w:rPr>
                    <w:t>，位于工业园区内，本项目不涉及饮用水水源一级保护区、二级保护区。</w:t>
                  </w:r>
                </w:p>
              </w:tc>
              <w:tc>
                <w:tcPr>
                  <w:tcW w:w="450" w:type="pct"/>
                  <w:vAlign w:val="center"/>
                </w:tcPr>
                <w:p w14:paraId="57FB14AD">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76BB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647923E1">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008" w:type="pct"/>
                  <w:vAlign w:val="center"/>
                </w:tcPr>
                <w:p w14:paraId="3DA01E4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玉溪高新区龙泉片区</w:t>
                  </w:r>
                  <w:r>
                    <w:rPr>
                      <w:rFonts w:hint="default" w:ascii="Times New Roman" w:hAnsi="Times New Roman" w:eastAsia="宋体" w:cs="Times New Roman"/>
                      <w:bCs/>
                      <w:color w:val="000000" w:themeColor="text1"/>
                      <w:szCs w:val="21"/>
                      <w:lang w:val="en-US" w:eastAsia="zh-CN"/>
                      <w14:textFill>
                        <w14:solidFill>
                          <w14:schemeClr w14:val="tx1"/>
                        </w14:solidFill>
                      </w14:textFill>
                    </w:rPr>
                    <w:t>，位于工业园区内，</w:t>
                  </w:r>
                  <w:r>
                    <w:rPr>
                      <w:rFonts w:hint="default" w:ascii="Times New Roman" w:hAnsi="Times New Roman" w:eastAsia="宋体" w:cs="Times New Roman"/>
                      <w:bCs/>
                      <w:color w:val="000000" w:themeColor="text1"/>
                      <w:szCs w:val="21"/>
                      <w:lang w:eastAsia="zh-CN"/>
                      <w14:textFill>
                        <w14:solidFill>
                          <w14:schemeClr w14:val="tx1"/>
                        </w14:solidFill>
                      </w14:textFill>
                    </w:rPr>
                    <w:t>本项目</w:t>
                  </w:r>
                  <w:r>
                    <w:rPr>
                      <w:rFonts w:hint="default" w:ascii="Times New Roman" w:hAnsi="Times New Roman" w:eastAsia="宋体" w:cs="Times New Roman"/>
                      <w:bCs/>
                      <w:color w:val="000000" w:themeColor="text1"/>
                      <w:szCs w:val="21"/>
                      <w14:textFill>
                        <w14:solidFill>
                          <w14:schemeClr w14:val="tx1"/>
                        </w14:solidFill>
                      </w14:textFill>
                    </w:rPr>
                    <w:t>不</w:t>
                  </w:r>
                  <w:r>
                    <w:rPr>
                      <w:rFonts w:hint="default" w:ascii="Times New Roman" w:hAnsi="Times New Roman" w:eastAsia="宋体"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水产种质资源保护区。</w:t>
                  </w:r>
                </w:p>
              </w:tc>
              <w:tc>
                <w:tcPr>
                  <w:tcW w:w="450" w:type="pct"/>
                  <w:vAlign w:val="center"/>
                </w:tcPr>
                <w:p w14:paraId="0B5752D9">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521C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040AF9D1">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008" w:type="pct"/>
                  <w:vAlign w:val="center"/>
                </w:tcPr>
                <w:p w14:paraId="2B71175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玉溪高新区龙泉片区</w:t>
                  </w:r>
                  <w:r>
                    <w:rPr>
                      <w:rFonts w:hint="default" w:ascii="Times New Roman" w:hAnsi="Times New Roman" w:eastAsia="宋体" w:cs="Times New Roman"/>
                      <w:bCs/>
                      <w:color w:val="000000" w:themeColor="text1"/>
                      <w:szCs w:val="21"/>
                      <w:lang w:val="en-US" w:eastAsia="zh-CN"/>
                      <w14:textFill>
                        <w14:solidFill>
                          <w14:schemeClr w14:val="tx1"/>
                        </w14:solidFill>
                      </w14:textFill>
                    </w:rPr>
                    <w:t>，位于工业园区内，</w:t>
                  </w:r>
                  <w:r>
                    <w:rPr>
                      <w:rFonts w:hint="default" w:ascii="Times New Roman" w:hAnsi="Times New Roman" w:eastAsia="宋体" w:cs="Times New Roman"/>
                      <w:bCs/>
                      <w:color w:val="000000" w:themeColor="text1"/>
                      <w:szCs w:val="21"/>
                      <w:lang w:eastAsia="zh-CN"/>
                      <w14:textFill>
                        <w14:solidFill>
                          <w14:schemeClr w14:val="tx1"/>
                        </w14:solidFill>
                      </w14:textFill>
                    </w:rPr>
                    <w:t>本项目</w:t>
                  </w:r>
                  <w:r>
                    <w:rPr>
                      <w:rFonts w:hint="default" w:ascii="Times New Roman" w:hAnsi="Times New Roman" w:eastAsia="宋体" w:cs="Times New Roman"/>
                      <w:bCs/>
                      <w:color w:val="000000" w:themeColor="text1"/>
                      <w:szCs w:val="21"/>
                      <w14:textFill>
                        <w14:solidFill>
                          <w14:schemeClr w14:val="tx1"/>
                        </w14:solidFill>
                      </w14:textFill>
                    </w:rPr>
                    <w:t>不</w:t>
                  </w:r>
                  <w:r>
                    <w:rPr>
                      <w:rFonts w:hint="default" w:ascii="Times New Roman" w:hAnsi="Times New Roman" w:eastAsia="宋体"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长江流域河湖岸线、金沙江干流、九大高原湖泊保护区、保留区。</w:t>
                  </w:r>
                </w:p>
                <w:p w14:paraId="67615C3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本项目位于星云湖绿色发展区，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不涉及星云湖生态保护核心区、生态保护缓冲区；</w:t>
                  </w:r>
                </w:p>
                <w:p w14:paraId="7361B781">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对照《云南省星云湖保护条例》，本项目不涉及《云南省星云湖保护条例》中绿色发展区的禁止行为</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450" w:type="pct"/>
                  <w:vAlign w:val="center"/>
                </w:tcPr>
                <w:p w14:paraId="16B3E81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11DE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03215EF4">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008" w:type="pct"/>
                  <w:vAlign w:val="center"/>
                </w:tcPr>
                <w:p w14:paraId="37DF222C">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本项目</w:t>
                  </w:r>
                  <w:r>
                    <w:rPr>
                      <w:rFonts w:hint="default" w:ascii="Times New Roman" w:hAnsi="Times New Roman" w:eastAsia="宋体" w:cs="Times New Roman"/>
                      <w:bCs/>
                      <w:color w:val="000000" w:themeColor="text1"/>
                      <w:szCs w:val="21"/>
                      <w14:textFill>
                        <w14:solidFill>
                          <w14:schemeClr w14:val="tx1"/>
                        </w14:solidFill>
                      </w14:textFill>
                    </w:rPr>
                    <w:t>不</w:t>
                  </w:r>
                  <w:r>
                    <w:rPr>
                      <w:rFonts w:hint="default" w:ascii="Times New Roman" w:hAnsi="Times New Roman" w:eastAsia="宋体"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金沙江干流、长江一级支流。</w:t>
                  </w:r>
                </w:p>
              </w:tc>
              <w:tc>
                <w:tcPr>
                  <w:tcW w:w="450" w:type="pct"/>
                  <w:vAlign w:val="center"/>
                </w:tcPr>
                <w:p w14:paraId="0F80D233">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5CF5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025610C9">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禁止在金沙江干流、长江一级支流、水生生物保护区和长江流域禁捕水域开展天然渔业资源生产性捕捞。</w:t>
                  </w:r>
                </w:p>
              </w:tc>
              <w:tc>
                <w:tcPr>
                  <w:tcW w:w="2008" w:type="pct"/>
                  <w:vAlign w:val="center"/>
                </w:tcPr>
                <w:p w14:paraId="349C46E5">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本项目</w:t>
                  </w:r>
                  <w:r>
                    <w:rPr>
                      <w:rFonts w:hint="default" w:ascii="Times New Roman" w:hAnsi="Times New Roman" w:eastAsia="宋体" w:cs="Times New Roman"/>
                      <w:bCs/>
                      <w:color w:val="000000" w:themeColor="text1"/>
                      <w:szCs w:val="21"/>
                      <w14:textFill>
                        <w14:solidFill>
                          <w14:schemeClr w14:val="tx1"/>
                        </w14:solidFill>
                      </w14:textFill>
                    </w:rPr>
                    <w:t>不</w:t>
                  </w:r>
                  <w:r>
                    <w:rPr>
                      <w:rFonts w:hint="default" w:ascii="Times New Roman" w:hAnsi="Times New Roman" w:eastAsia="宋体"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金沙江干流、长江一级支流。</w:t>
                  </w:r>
                </w:p>
              </w:tc>
              <w:tc>
                <w:tcPr>
                  <w:tcW w:w="450" w:type="pct"/>
                  <w:vAlign w:val="center"/>
                </w:tcPr>
                <w:p w14:paraId="76253908">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7304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068590A9">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008" w:type="pct"/>
                  <w:vAlign w:val="center"/>
                </w:tcPr>
                <w:p w14:paraId="6FBF3AFD">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本项目</w:t>
                  </w:r>
                  <w:r>
                    <w:rPr>
                      <w:rFonts w:hint="default" w:ascii="Times New Roman" w:hAnsi="Times New Roman" w:eastAsia="宋体" w:cs="Times New Roman"/>
                      <w:bCs/>
                      <w:color w:val="000000" w:themeColor="text1"/>
                      <w:szCs w:val="21"/>
                      <w14:textFill>
                        <w14:solidFill>
                          <w14:schemeClr w14:val="tx1"/>
                        </w14:solidFill>
                      </w14:textFill>
                    </w:rPr>
                    <w:t>不</w:t>
                  </w:r>
                  <w:r>
                    <w:rPr>
                      <w:rFonts w:hint="default" w:ascii="Times New Roman" w:hAnsi="Times New Roman" w:eastAsia="宋体"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金沙江干流、长江一级支流。</w:t>
                  </w:r>
                </w:p>
              </w:tc>
              <w:tc>
                <w:tcPr>
                  <w:tcW w:w="450" w:type="pct"/>
                  <w:vAlign w:val="center"/>
                </w:tcPr>
                <w:p w14:paraId="141BE7C9">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FAD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1FFB213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禁止在合规园区外新建、扩建钢铁、石化、化工、焦化、建材、有色、制浆造纸行业中的高污染项目。</w:t>
                  </w:r>
                </w:p>
              </w:tc>
              <w:tc>
                <w:tcPr>
                  <w:tcW w:w="2008" w:type="pct"/>
                  <w:vAlign w:val="center"/>
                </w:tcPr>
                <w:p w14:paraId="088A6568">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w:t>
                  </w:r>
                  <w:r>
                    <w:rPr>
                      <w:rFonts w:hint="default" w:ascii="Times New Roman" w:hAnsi="Times New Roman" w:eastAsia="宋体" w:cs="Times New Roman"/>
                      <w:bCs/>
                      <w:color w:val="000000" w:themeColor="text1"/>
                      <w:szCs w:val="21"/>
                      <w:lang w:eastAsia="zh-CN"/>
                      <w14:textFill>
                        <w14:solidFill>
                          <w14:schemeClr w14:val="tx1"/>
                        </w14:solidFill>
                      </w14:textFill>
                    </w:rPr>
                    <w:t>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软包装、新能源包装材料项目</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不属于高污染项目</w:t>
                  </w:r>
                </w:p>
              </w:tc>
              <w:tc>
                <w:tcPr>
                  <w:tcW w:w="450" w:type="pct"/>
                  <w:vAlign w:val="center"/>
                </w:tcPr>
                <w:p w14:paraId="27A30F8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2E79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541" w:type="pct"/>
                  <w:vAlign w:val="center"/>
                </w:tcPr>
                <w:p w14:paraId="750A576B">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2008" w:type="pct"/>
                  <w:vAlign w:val="center"/>
                </w:tcPr>
                <w:p w14:paraId="76720F10">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w:t>
                  </w:r>
                  <w:r>
                    <w:rPr>
                      <w:rFonts w:hint="default" w:ascii="Times New Roman" w:hAnsi="Times New Roman" w:eastAsia="宋体" w:cs="Times New Roman"/>
                      <w:bCs/>
                      <w:color w:val="000000" w:themeColor="text1"/>
                      <w:szCs w:val="21"/>
                      <w:lang w:eastAsia="zh-CN"/>
                      <w14:textFill>
                        <w14:solidFill>
                          <w14:schemeClr w14:val="tx1"/>
                        </w14:solidFill>
                      </w14:textFill>
                    </w:rPr>
                    <w:t>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软包装、新能源包装材料项目</w:t>
                  </w:r>
                  <w:r>
                    <w:rPr>
                      <w:rFonts w:hint="default" w:ascii="Times New Roman" w:hAnsi="Times New Roman" w:eastAsia="宋体" w:cs="Times New Roman"/>
                      <w:bCs/>
                      <w:color w:val="000000" w:themeColor="text1"/>
                      <w:szCs w:val="21"/>
                      <w:lang w:eastAsia="zh-CN"/>
                      <w14:textFill>
                        <w14:solidFill>
                          <w14:schemeClr w14:val="tx1"/>
                        </w14:solidFill>
                      </w14:textFill>
                    </w:rPr>
                    <w:t>，不涉及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不符合国家石化、现代煤化工等产业布局规划的项目</w:t>
                  </w:r>
                </w:p>
              </w:tc>
              <w:tc>
                <w:tcPr>
                  <w:tcW w:w="450" w:type="pct"/>
                  <w:vAlign w:val="center"/>
                </w:tcPr>
                <w:p w14:paraId="66B7076F">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2046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426D9CB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限制类</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产能。禁止建设高毒高残留以及对环境影响大的农药原药生产装置，严控尿素、磷铵、电石、焦炭、黄磷、烧碱、纯碱、聚氯乙烯等行业新增产能。</w:t>
                  </w:r>
                </w:p>
              </w:tc>
              <w:tc>
                <w:tcPr>
                  <w:tcW w:w="2008" w:type="pct"/>
                  <w:vAlign w:val="center"/>
                </w:tcPr>
                <w:p w14:paraId="6907D4B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软包装、新能源包装材料项目</w:t>
                  </w:r>
                  <w:r>
                    <w:rPr>
                      <w:rFonts w:hint="default" w:ascii="Times New Roman" w:hAnsi="Times New Roman" w:eastAsia="宋体" w:cs="Times New Roman"/>
                      <w:color w:val="000000" w:themeColor="text1"/>
                      <w:szCs w:val="21"/>
                      <w14:textFill>
                        <w14:solidFill>
                          <w14:schemeClr w14:val="tx1"/>
                        </w14:solidFill>
                      </w14:textFill>
                    </w:rPr>
                    <w:t>，不属于法律法规和相关政策明令禁止的落后产能项目。不属于国家产能置换要求的严重过剩产能行业的项目，不属于高耗能高排放项目</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w:t>
                  </w:r>
                  <w:r>
                    <w:rPr>
                      <w:rFonts w:hint="default" w:ascii="Times New Roman" w:hAnsi="Times New Roman" w:eastAsia="宋体" w:cs="Times New Roman"/>
                      <w:color w:val="000000" w:themeColor="text1"/>
                      <w:szCs w:val="21"/>
                      <w:lang w:eastAsia="zh-CN"/>
                      <w14:textFill>
                        <w14:solidFill>
                          <w14:schemeClr w14:val="tx1"/>
                        </w14:solidFill>
                      </w14:textFill>
                    </w:rPr>
                    <w:t>涉及</w:t>
                  </w:r>
                  <w:r>
                    <w:rPr>
                      <w:rFonts w:hint="default" w:ascii="Times New Roman" w:hAnsi="Times New Roman" w:eastAsia="宋体" w:cs="Times New Roman"/>
                      <w:color w:val="000000" w:themeColor="text1"/>
                      <w:szCs w:val="21"/>
                      <w14:textFill>
                        <w14:solidFill>
                          <w14:schemeClr w14:val="tx1"/>
                        </w14:solidFill>
                      </w14:textFill>
                    </w:rPr>
                    <w:t>高毒高残留以及对环境影响大的农药原药生产装置</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450" w:type="pct"/>
                  <w:vAlign w:val="center"/>
                </w:tcPr>
                <w:p w14:paraId="0FD430EF">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bl>
          <w:p w14:paraId="7C861632">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7、与《重点行业挥发性有机物综合治理方案》（环大气</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2019</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53号）符合性分析</w:t>
            </w:r>
          </w:p>
          <w:p w14:paraId="21F0582F">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项目与</w:t>
            </w:r>
            <w:r>
              <w:rPr>
                <w:rFonts w:hint="default" w:ascii="Times New Roman" w:hAnsi="Times New Roman" w:eastAsia="宋体" w:cs="Times New Roman"/>
                <w:b w:val="0"/>
                <w:bCs w:val="0"/>
                <w:color w:val="000000" w:themeColor="text1"/>
                <w:lang w:val="en-US" w:eastAsia="zh-CN"/>
                <w14:textFill>
                  <w14:solidFill>
                    <w14:schemeClr w14:val="tx1"/>
                  </w14:solidFill>
                </w14:textFill>
              </w:rPr>
              <w:t>《重点行业挥发性有机物综合治理方案》（环大气</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2019</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53号）</w:t>
            </w:r>
            <w:r>
              <w:rPr>
                <w:rFonts w:hint="default" w:ascii="Times New Roman" w:hAnsi="Times New Roman" w:eastAsia="宋体" w:cs="Times New Roman"/>
                <w:b w:val="0"/>
                <w:bCs w:val="0"/>
                <w:color w:val="000000" w:themeColor="text1"/>
                <w14:textFill>
                  <w14:solidFill>
                    <w14:schemeClr w14:val="tx1"/>
                  </w14:solidFill>
                </w14:textFill>
              </w:rPr>
              <w:t>的相符性</w:t>
            </w:r>
            <w:r>
              <w:rPr>
                <w:rFonts w:hint="default" w:ascii="Times New Roman" w:hAnsi="Times New Roman" w:eastAsia="宋体" w:cs="Times New Roman"/>
                <w:color w:val="000000" w:themeColor="text1"/>
                <w14:textFill>
                  <w14:solidFill>
                    <w14:schemeClr w14:val="tx1"/>
                  </w14:solidFill>
                </w14:textFill>
              </w:rPr>
              <w:t>分析见表</w:t>
            </w:r>
            <w:r>
              <w:rPr>
                <w:rFonts w:hint="default" w:ascii="Times New Roman" w:hAnsi="Times New Roman" w:eastAsia="宋体" w:cs="Times New Roman"/>
                <w:color w:val="000000" w:themeColor="text1"/>
                <w:lang w:eastAsia="zh-CN"/>
                <w14:textFill>
                  <w14:solidFill>
                    <w14:schemeClr w14:val="tx1"/>
                  </w14:solidFill>
                </w14:textFill>
              </w:rPr>
              <w:t>。</w:t>
            </w:r>
          </w:p>
          <w:p w14:paraId="2C09D0B0">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default" w:ascii="Times New Roman" w:hAnsi="Times New Roman" w:eastAsia="宋体" w:cs="Times New Roman"/>
                <w:color w:val="000000" w:themeColor="text1"/>
                <w:lang w:val="en-US" w:eastAsia="zh-CN"/>
                <w14:textFill>
                  <w14:solidFill>
                    <w14:schemeClr w14:val="tx1"/>
                  </w14:solidFill>
                </w14:textFill>
              </w:rPr>
              <w:t xml:space="preserve">7 </w:t>
            </w:r>
            <w:r>
              <w:rPr>
                <w:rFonts w:hint="default" w:ascii="Times New Roman" w:hAnsi="Times New Roman" w:eastAsia="宋体" w:cs="Times New Roman"/>
                <w:color w:val="000000" w:themeColor="text1"/>
                <w14:textFill>
                  <w14:solidFill>
                    <w14:schemeClr w14:val="tx1"/>
                  </w14:solidFill>
                </w14:textFill>
              </w:rPr>
              <w:t>项目与</w:t>
            </w:r>
            <w:r>
              <w:rPr>
                <w:rFonts w:hint="default" w:ascii="Times New Roman" w:hAnsi="Times New Roman" w:eastAsia="宋体" w:cs="Times New Roman"/>
                <w:b/>
                <w:bCs/>
                <w:color w:val="000000" w:themeColor="text1"/>
                <w:lang w:val="en-US" w:eastAsia="zh-CN"/>
                <w14:textFill>
                  <w14:solidFill>
                    <w14:schemeClr w14:val="tx1"/>
                  </w14:solidFill>
                </w14:textFill>
              </w:rPr>
              <w:t>《重点行业挥发性有机物综合治理方案》</w:t>
            </w:r>
            <w:r>
              <w:rPr>
                <w:rFonts w:hint="default" w:ascii="Times New Roman" w:hAnsi="Times New Roman" w:eastAsia="宋体" w:cs="Times New Roman"/>
                <w:color w:val="000000" w:themeColor="text1"/>
                <w14:textFill>
                  <w14:solidFill>
                    <w14:schemeClr w14:val="tx1"/>
                  </w14:solidFill>
                </w14:textFill>
              </w:rPr>
              <w:t>的相符性分析</w:t>
            </w:r>
          </w:p>
          <w:tbl>
            <w:tblPr>
              <w:tblStyle w:val="32"/>
              <w:tblW w:w="4999"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020"/>
              <w:gridCol w:w="2728"/>
              <w:gridCol w:w="676"/>
            </w:tblGrid>
            <w:tr w14:paraId="6917115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7" w:type="pct"/>
                  <w:tcBorders>
                    <w:tl2br w:val="nil"/>
                    <w:tr2bl w:val="nil"/>
                  </w:tcBorders>
                  <w:vAlign w:val="center"/>
                </w:tcPr>
                <w:p w14:paraId="3E2E0395">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《重点行业挥发性有机物综合治理方案》（环大气【2019】53号）</w:t>
                  </w:r>
                </w:p>
              </w:tc>
              <w:tc>
                <w:tcPr>
                  <w:tcW w:w="1837" w:type="pct"/>
                  <w:tcBorders>
                    <w:tl2br w:val="nil"/>
                    <w:tr2bl w:val="nil"/>
                  </w:tcBorders>
                  <w:vAlign w:val="center"/>
                </w:tcPr>
                <w:p w14:paraId="331C4E64">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w:t>
                  </w:r>
                </w:p>
              </w:tc>
              <w:tc>
                <w:tcPr>
                  <w:tcW w:w="455" w:type="pct"/>
                  <w:tcBorders>
                    <w:tl2br w:val="nil"/>
                    <w:tr2bl w:val="nil"/>
                  </w:tcBorders>
                  <w:vAlign w:val="center"/>
                </w:tcPr>
                <w:p w14:paraId="7A3B5F45">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相符性</w:t>
                  </w:r>
                </w:p>
              </w:tc>
            </w:tr>
            <w:tr w14:paraId="18D9E80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7" w:type="pct"/>
                  <w:tcBorders>
                    <w:tl2br w:val="nil"/>
                    <w:tr2bl w:val="nil"/>
                  </w:tcBorders>
                  <w:vAlign w:val="center"/>
                </w:tcPr>
                <w:p w14:paraId="7BCBF9E0">
                  <w:pPr>
                    <w:pStyle w:val="125"/>
                    <w:pageBreakBefore w:val="0"/>
                    <w:kinsoku/>
                    <w:overflowPunct/>
                    <w:topLinePunct w:val="0"/>
                    <w:bidi w:val="0"/>
                    <w:ind w:left="0" w:leftChars="0" w:right="0"/>
                    <w:jc w:val="both"/>
                    <w:rPr>
                      <w:rStyle w:val="137"/>
                      <w:rFonts w:hint="default" w:ascii="Times New Roman" w:hAnsi="Times New Roman" w:eastAsia="宋体" w:cs="Times New Roman"/>
                      <w:b/>
                      <w:bCs/>
                      <w:color w:val="000000" w:themeColor="text1"/>
                      <w:lang w:eastAsia="zh-CN"/>
                      <w14:textFill>
                        <w14:solidFill>
                          <w14:schemeClr w14:val="tx1"/>
                        </w14:solidFill>
                      </w14:textFill>
                    </w:rPr>
                  </w:pPr>
                  <w:r>
                    <w:rPr>
                      <w:rStyle w:val="137"/>
                      <w:rFonts w:hint="default" w:ascii="Times New Roman" w:hAnsi="Times New Roman" w:eastAsia="宋体" w:cs="Times New Roman"/>
                      <w:b/>
                      <w:bCs/>
                      <w:color w:val="000000" w:themeColor="text1"/>
                      <w:lang w:val="en-US" w:eastAsia="zh-CN"/>
                      <w14:textFill>
                        <w14:solidFill>
                          <w14:schemeClr w14:val="tx1"/>
                        </w14:solidFill>
                      </w14:textFill>
                    </w:rPr>
                    <w:t xml:space="preserve">包装印刷行业VOCs综合治理 </w:t>
                  </w:r>
                </w:p>
                <w:p w14:paraId="44C74915">
                  <w:pPr>
                    <w:pStyle w:val="125"/>
                    <w:pageBreakBefore w:val="0"/>
                    <w:kinsoku/>
                    <w:overflowPunct/>
                    <w:topLinePunct w:val="0"/>
                    <w:bidi w:val="0"/>
                    <w:ind w:left="0" w:leftChars="0" w:right="0"/>
                    <w:rPr>
                      <w:rStyle w:val="137"/>
                      <w:rFonts w:hint="default" w:ascii="Times New Roman" w:hAnsi="Times New Roman" w:eastAsia="宋体" w:cs="Times New Roman"/>
                      <w:color w:val="000000" w:themeColor="text1"/>
                      <w:lang w:eastAsia="zh-CN"/>
                      <w14:textFill>
                        <w14:solidFill>
                          <w14:schemeClr w14:val="tx1"/>
                        </w14:solidFill>
                      </w14:textFill>
                    </w:rPr>
                  </w:pPr>
                  <w:r>
                    <w:rPr>
                      <w:rStyle w:val="137"/>
                      <w:rFonts w:hint="default" w:ascii="Times New Roman" w:hAnsi="Times New Roman" w:eastAsia="宋体" w:cs="Times New Roman"/>
                      <w:color w:val="000000" w:themeColor="text1"/>
                      <w:lang w:val="en-US" w:eastAsia="zh-CN"/>
                      <w14:textFill>
                        <w14:solidFill>
                          <w14:schemeClr w14:val="tx1"/>
                        </w14:solidFill>
                      </w14:textFill>
                    </w:rPr>
                    <w:t>重点推进塑料软包装印刷、印铁制罐等VOCs 治理，积极推进使用低（无）VOCs 含量原辅材料和环境友好型技术替代，全面加强无组织排放控制，建设高效末端净化设施。重点区域逐步开展出版物印刷VOCs治理工作，推广使用植物油基油墨、辐射固化油墨、低（无）醇润版液等低（无）</w:t>
                  </w:r>
                </w:p>
                <w:p w14:paraId="4750A6DC">
                  <w:pPr>
                    <w:pStyle w:val="125"/>
                    <w:pageBreakBefore w:val="0"/>
                    <w:kinsoku/>
                    <w:overflowPunct/>
                    <w:topLinePunct w:val="0"/>
                    <w:bidi w:val="0"/>
                    <w:ind w:left="0" w:leftChars="0" w:right="0"/>
                    <w:rPr>
                      <w:rStyle w:val="137"/>
                      <w:rFonts w:hint="default" w:ascii="Times New Roman" w:hAnsi="Times New Roman" w:eastAsia="宋体" w:cs="Times New Roman"/>
                      <w:color w:val="000000" w:themeColor="text1"/>
                      <w:lang w:eastAsia="zh-CN"/>
                      <w14:textFill>
                        <w14:solidFill>
                          <w14:schemeClr w14:val="tx1"/>
                        </w14:solidFill>
                      </w14:textFill>
                    </w:rPr>
                  </w:pPr>
                  <w:r>
                    <w:rPr>
                      <w:rStyle w:val="137"/>
                      <w:rFonts w:hint="default" w:ascii="Times New Roman" w:hAnsi="Times New Roman" w:eastAsia="宋体" w:cs="Times New Roman"/>
                      <w:color w:val="000000" w:themeColor="text1"/>
                      <w:lang w:val="en-US" w:eastAsia="zh-CN"/>
                      <w14:textFill>
                        <w14:solidFill>
                          <w14:schemeClr w14:val="tx1"/>
                        </w14:solidFill>
                      </w14:textFill>
                    </w:rPr>
                    <w:t>VOCs 含量原辅材料和无水印刷、橡皮布自动清洗等技术，实现污染减排。</w:t>
                  </w:r>
                </w:p>
              </w:tc>
              <w:tc>
                <w:tcPr>
                  <w:tcW w:w="1837" w:type="pct"/>
                  <w:tcBorders>
                    <w:tl2br w:val="nil"/>
                    <w:tr2bl w:val="nil"/>
                  </w:tcBorders>
                  <w:vAlign w:val="center"/>
                </w:tcPr>
                <w:p w14:paraId="494F6AD3">
                  <w:pPr>
                    <w:pStyle w:val="90"/>
                    <w:widowControl w:val="0"/>
                    <w:tabs>
                      <w:tab w:val="left" w:pos="271"/>
                    </w:tabs>
                    <w:autoSpaceDE w:val="0"/>
                    <w:autoSpaceDN w:val="0"/>
                    <w:adjustRightInd w:val="0"/>
                    <w:snapToGrid w:val="0"/>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p>
                <w:p w14:paraId="455F6BE0">
                  <w:pPr>
                    <w:pageBreakBefore w:val="0"/>
                    <w:kinsoku/>
                    <w:overflowPunct/>
                    <w:topLinePunct w:val="0"/>
                    <w:bidi w:val="0"/>
                    <w:ind w:left="0" w:leftChars="0" w:right="0"/>
                    <w:jc w:val="cente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本项目复合工序主要采用</w:t>
                  </w:r>
                  <w:r>
                    <w:rPr>
                      <w:rFonts w:hint="default" w:ascii="Times New Roman" w:hAnsi="Times New Roman" w:eastAsia="宋体" w:cs="Times New Roman"/>
                      <w:color w:val="000000" w:themeColor="text1"/>
                      <w14:textFill>
                        <w14:solidFill>
                          <w14:schemeClr w14:val="tx1"/>
                        </w14:solidFill>
                      </w14:textFill>
                    </w:rPr>
                    <w:t>无溶剂</w:t>
                  </w:r>
                  <w:r>
                    <w:rPr>
                      <w:rFonts w:hint="default" w:ascii="Times New Roman" w:hAnsi="Times New Roman" w:eastAsia="宋体" w:cs="Times New Roman"/>
                      <w:color w:val="000000" w:themeColor="text1"/>
                      <w:lang w:eastAsia="zh-CN"/>
                      <w14:textFill>
                        <w14:solidFill>
                          <w14:schemeClr w14:val="tx1"/>
                        </w14:solidFill>
                      </w14:textFill>
                    </w:rPr>
                    <w:t>聚氨酯胶粘剂，属于</w:t>
                  </w:r>
                  <w:r>
                    <w:rPr>
                      <w:rFonts w:hint="default" w:ascii="Times New Roman" w:hAnsi="Times New Roman" w:eastAsia="宋体" w:cs="Times New Roman"/>
                      <w:color w:val="000000" w:themeColor="text1"/>
                      <w14:textFill>
                        <w14:solidFill>
                          <w14:schemeClr w14:val="tx1"/>
                        </w14:solidFill>
                      </w14:textFill>
                    </w:rPr>
                    <w:t>低VOCs含量胶粘剂</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w:t>
                  </w:r>
                </w:p>
                <w:p w14:paraId="7F158605">
                  <w:pPr>
                    <w:pStyle w:val="90"/>
                    <w:widowControl w:val="0"/>
                    <w:tabs>
                      <w:tab w:val="left" w:pos="271"/>
                    </w:tabs>
                    <w:autoSpaceDE w:val="0"/>
                    <w:autoSpaceDN w:val="0"/>
                    <w:adjustRightInd w:val="0"/>
                    <w:snapToGrid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tc>
              <w:tc>
                <w:tcPr>
                  <w:tcW w:w="455" w:type="pct"/>
                  <w:tcBorders>
                    <w:tl2br w:val="nil"/>
                    <w:tr2bl w:val="nil"/>
                  </w:tcBorders>
                  <w:vAlign w:val="center"/>
                </w:tcPr>
                <w:p w14:paraId="0A29BCA3">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768434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7" w:type="pct"/>
                  <w:tcBorders>
                    <w:tl2br w:val="nil"/>
                    <w:tr2bl w:val="nil"/>
                  </w:tcBorders>
                  <w:vAlign w:val="center"/>
                </w:tcPr>
                <w:p w14:paraId="051630EC">
                  <w:pPr>
                    <w:pStyle w:val="125"/>
                    <w:pageBreakBefore w:val="0"/>
                    <w:kinsoku/>
                    <w:overflowPunct/>
                    <w:topLinePunct w:val="0"/>
                    <w:bidi w:val="0"/>
                    <w:ind w:left="0" w:leftChars="0" w:right="0"/>
                    <w:rPr>
                      <w:rStyle w:val="137"/>
                      <w:rFonts w:hint="default" w:ascii="Times New Roman" w:hAnsi="Times New Roman" w:eastAsia="宋体" w:cs="Times New Roman"/>
                      <w:color w:val="000000" w:themeColor="text1"/>
                      <w14:textFill>
                        <w14:solidFill>
                          <w14:schemeClr w14:val="tx1"/>
                        </w14:solidFill>
                      </w14:textFill>
                    </w:rPr>
                  </w:pPr>
                  <w:r>
                    <w:rPr>
                      <w:rStyle w:val="137"/>
                      <w:rFonts w:hint="default" w:ascii="Times New Roman" w:hAnsi="Times New Roman" w:eastAsia="宋体" w:cs="Times New Roman"/>
                      <w:b/>
                      <w:bCs/>
                      <w:color w:val="000000" w:themeColor="text1"/>
                      <w14:textFill>
                        <w14:solidFill>
                          <w14:schemeClr w14:val="tx1"/>
                        </w14:solidFill>
                      </w14:textFill>
                    </w:rPr>
                    <w:t>强化源头控制。</w:t>
                  </w:r>
                  <w:r>
                    <w:rPr>
                      <w:rStyle w:val="137"/>
                      <w:rFonts w:hint="default" w:ascii="Times New Roman" w:hAnsi="Times New Roman" w:eastAsia="宋体" w:cs="Times New Roman"/>
                      <w:color w:val="000000" w:themeColor="text1"/>
                      <w14:textFill>
                        <w14:solidFill>
                          <w14:schemeClr w14:val="tx1"/>
                        </w14:solidFill>
                      </w14:textFill>
                    </w:rPr>
                    <w:t>塑料软包装印刷企业推广使用水醇性油墨、单一组分溶剂油墨，无溶剂复合技术、共挤出复合技术等，鼓励使用水性油墨、辐射固化油墨、紫外光固化光油、低（无）挥发和高沸点的清洁剂等。</w:t>
                  </w:r>
                </w:p>
                <w:p w14:paraId="55E445F0">
                  <w:pPr>
                    <w:pStyle w:val="125"/>
                    <w:pageBreakBefore w:val="0"/>
                    <w:kinsoku/>
                    <w:overflowPunct/>
                    <w:topLinePunct w:val="0"/>
                    <w:bidi w:val="0"/>
                    <w:ind w:left="0" w:leftChars="0" w:right="0"/>
                    <w:rPr>
                      <w:rStyle w:val="137"/>
                      <w:rFonts w:hint="default" w:ascii="Times New Roman" w:hAnsi="Times New Roman" w:eastAsia="宋体" w:cs="Times New Roman"/>
                      <w:color w:val="000000" w:themeColor="text1"/>
                      <w:lang w:eastAsia="zh-CN"/>
                      <w14:textFill>
                        <w14:solidFill>
                          <w14:schemeClr w14:val="tx1"/>
                        </w14:solidFill>
                      </w14:textFill>
                    </w:rPr>
                  </w:pPr>
                  <w:r>
                    <w:rPr>
                      <w:rStyle w:val="137"/>
                      <w:rFonts w:hint="default" w:ascii="Times New Roman" w:hAnsi="Times New Roman" w:eastAsia="宋体" w:cs="Times New Roman"/>
                      <w:color w:val="000000" w:themeColor="text1"/>
                      <w14:textFill>
                        <w14:solidFill>
                          <w14:schemeClr w14:val="tx1"/>
                        </w14:solidFill>
                      </w14:textFill>
                    </w:rPr>
                    <w:t>印铁企业加快推广使用辐射固化涂料、辐射固化油墨、紫外光固化光油。制罐企业推广使用水性油墨、水性涂料。鼓励包装印刷企业实施胶印、柔印等技术改造。</w:t>
                  </w:r>
                </w:p>
              </w:tc>
              <w:tc>
                <w:tcPr>
                  <w:tcW w:w="1837" w:type="pct"/>
                  <w:tcBorders>
                    <w:tl2br w:val="nil"/>
                    <w:tr2bl w:val="nil"/>
                  </w:tcBorders>
                  <w:vAlign w:val="center"/>
                </w:tcPr>
                <w:p w14:paraId="4A923430">
                  <w:pPr>
                    <w:pStyle w:val="90"/>
                    <w:widowControl w:val="0"/>
                    <w:tabs>
                      <w:tab w:val="left" w:pos="271"/>
                    </w:tabs>
                    <w:autoSpaceDE w:val="0"/>
                    <w:autoSpaceDN w:val="0"/>
                    <w:adjustRightInd w:val="0"/>
                    <w:snapToGrid w:val="0"/>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本项目为软包装、新能源包装材料项目，本项目设置有无溶剂复合机，采用无溶剂复合技术</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w:t>
                  </w:r>
                </w:p>
                <w:p w14:paraId="2C02037B">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p>
              </w:tc>
              <w:tc>
                <w:tcPr>
                  <w:tcW w:w="455" w:type="pct"/>
                  <w:tcBorders>
                    <w:tl2br w:val="nil"/>
                    <w:tr2bl w:val="nil"/>
                  </w:tcBorders>
                  <w:vAlign w:val="center"/>
                </w:tcPr>
                <w:p w14:paraId="53DB91B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2395DC6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7" w:type="pct"/>
                  <w:tcBorders>
                    <w:tl2br w:val="nil"/>
                    <w:tr2bl w:val="nil"/>
                  </w:tcBorders>
                  <w:vAlign w:val="center"/>
                </w:tcPr>
                <w:p w14:paraId="2304D04B">
                  <w:pPr>
                    <w:pStyle w:val="125"/>
                    <w:pageBreakBefore w:val="0"/>
                    <w:kinsoku/>
                    <w:overflowPunct/>
                    <w:topLinePunct w:val="0"/>
                    <w:bidi w:val="0"/>
                    <w:ind w:left="0" w:leftChars="0" w:right="0"/>
                    <w:rPr>
                      <w:rStyle w:val="137"/>
                      <w:rFonts w:hint="default" w:ascii="Times New Roman" w:hAnsi="Times New Roman" w:eastAsia="宋体" w:cs="Times New Roman"/>
                      <w:color w:val="000000" w:themeColor="text1"/>
                      <w14:textFill>
                        <w14:solidFill>
                          <w14:schemeClr w14:val="tx1"/>
                        </w14:solidFill>
                      </w14:textFill>
                    </w:rPr>
                  </w:pPr>
                  <w:r>
                    <w:rPr>
                      <w:rStyle w:val="137"/>
                      <w:rFonts w:hint="default" w:ascii="Times New Roman" w:hAnsi="Times New Roman" w:eastAsia="宋体" w:cs="Times New Roman"/>
                      <w:b/>
                      <w:bCs/>
                      <w:color w:val="000000" w:themeColor="text1"/>
                      <w14:textFill>
                        <w14:solidFill>
                          <w14:schemeClr w14:val="tx1"/>
                        </w14:solidFill>
                      </w14:textFill>
                    </w:rPr>
                    <w:t>加强无组织排放控制。</w:t>
                  </w:r>
                  <w:r>
                    <w:rPr>
                      <w:rStyle w:val="137"/>
                      <w:rFonts w:hint="default" w:ascii="Times New Roman" w:hAnsi="Times New Roman" w:eastAsia="宋体" w:cs="Times New Roman"/>
                      <w:color w:val="000000" w:themeColor="text1"/>
                      <w14:textFill>
                        <w14:solidFill>
                          <w14:schemeClr w14:val="tx1"/>
                        </w14:solidFill>
                      </w14:textFill>
                    </w:rPr>
                    <w:t>加强油墨、稀释剂、胶粘剂、涂布液、清洗剂等含VOCs物料储存、调配、输送、使用等工艺环节VOCs无组织逸散控制。含VOCs物料储存和输送过程应保持密闭。调配应在密闭装置或空间内进行并有效收集，非即用状态应加盖密封。涂布、印刷、覆膜、复合、上光、清洗等含VOCs物料使用过程应采用密闭设备或在密闭空间内操作；无法密闭的，应采取局部气体收集措施，废气排至VOCs废气收集系统。凹版、柔版印刷机宜采用封闭刮刀，或通过安装盖板、改变墨槽开口形状等措施减少墨槽无组织逸散。鼓励重点区域印刷企业对涉VOCs排放车间进行负压改造或局部围风改造。</w:t>
                  </w:r>
                </w:p>
              </w:tc>
              <w:tc>
                <w:tcPr>
                  <w:tcW w:w="1837" w:type="pct"/>
                  <w:tcBorders>
                    <w:tl2br w:val="nil"/>
                    <w:tr2bl w:val="nil"/>
                  </w:tcBorders>
                  <w:vAlign w:val="center"/>
                </w:tcPr>
                <w:p w14:paraId="0AC1E833">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本项目生产车间内设置有原料库，原辅材料均存放于原料库内。</w:t>
                  </w:r>
                </w:p>
                <w:p w14:paraId="0137B832">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项目设置有密闭溶剂间，</w:t>
                  </w:r>
                  <w:r>
                    <w:rPr>
                      <w:rFonts w:hint="default" w:ascii="Times New Roman" w:hAnsi="Times New Roman" w:eastAsia="宋体" w:cs="Times New Roman"/>
                      <w:color w:val="000000" w:themeColor="text1"/>
                      <w:lang w:val="en-US" w:eastAsia="zh-CN"/>
                      <w14:textFill>
                        <w14:solidFill>
                          <w14:schemeClr w14:val="tx1"/>
                        </w14:solidFill>
                      </w14:textFill>
                    </w:rPr>
                    <w:t>本项目采用人工调墨，工作人员在溶剂间调墨桶中配比调墨。</w:t>
                  </w:r>
                </w:p>
                <w:p w14:paraId="27E8463A">
                  <w:pPr>
                    <w:pStyle w:val="90"/>
                    <w:widowControl w:val="0"/>
                    <w:tabs>
                      <w:tab w:val="left" w:pos="271"/>
                    </w:tabs>
                    <w:autoSpaceDE w:val="0"/>
                    <w:autoSpaceDN w:val="0"/>
                    <w:adjustRightInd w:val="0"/>
                    <w:snapToGrid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tc>
              <w:tc>
                <w:tcPr>
                  <w:tcW w:w="455" w:type="pct"/>
                  <w:tcBorders>
                    <w:tl2br w:val="nil"/>
                    <w:tr2bl w:val="nil"/>
                  </w:tcBorders>
                  <w:vAlign w:val="center"/>
                </w:tcPr>
                <w:p w14:paraId="649A39D2">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4D96CCE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7" w:type="pct"/>
                  <w:tcBorders>
                    <w:tl2br w:val="nil"/>
                    <w:tr2bl w:val="nil"/>
                  </w:tcBorders>
                  <w:vAlign w:val="center"/>
                </w:tcPr>
                <w:p w14:paraId="4D77ED70">
                  <w:pPr>
                    <w:pStyle w:val="125"/>
                    <w:pageBreakBefore w:val="0"/>
                    <w:kinsoku/>
                    <w:overflowPunct/>
                    <w:topLinePunct w:val="0"/>
                    <w:bidi w:val="0"/>
                    <w:ind w:left="0" w:leftChars="0" w:right="0"/>
                    <w:rPr>
                      <w:rStyle w:val="137"/>
                      <w:rFonts w:hint="default" w:ascii="Times New Roman" w:hAnsi="Times New Roman" w:eastAsia="宋体" w:cs="Times New Roman"/>
                      <w:color w:val="000000" w:themeColor="text1"/>
                      <w14:textFill>
                        <w14:solidFill>
                          <w14:schemeClr w14:val="tx1"/>
                        </w14:solidFill>
                      </w14:textFill>
                    </w:rPr>
                  </w:pPr>
                  <w:r>
                    <w:rPr>
                      <w:rStyle w:val="137"/>
                      <w:rFonts w:hint="default" w:ascii="Times New Roman" w:hAnsi="Times New Roman" w:eastAsia="宋体" w:cs="Times New Roman"/>
                      <w:b/>
                      <w:bCs/>
                      <w:color w:val="000000" w:themeColor="text1"/>
                      <w14:textFill>
                        <w14:solidFill>
                          <w14:schemeClr w14:val="tx1"/>
                        </w14:solidFill>
                      </w14:textFill>
                    </w:rPr>
                    <w:t>提升末端治理水平。</w:t>
                  </w:r>
                  <w:r>
                    <w:rPr>
                      <w:rStyle w:val="137"/>
                      <w:rFonts w:hint="default" w:ascii="Times New Roman" w:hAnsi="Times New Roman" w:eastAsia="宋体" w:cs="Times New Roman"/>
                      <w:color w:val="000000" w:themeColor="text1"/>
                      <w14:textFill>
                        <w14:solidFill>
                          <w14:schemeClr w14:val="tx1"/>
                        </w14:solidFill>
                      </w14:textFill>
                    </w:rPr>
                    <w:t>包装印刷企业印刷、干式复合等VOCs排放工序，宜采用吸附浓缩+冷凝回收、吸附浓缩+燃烧、减风增浓+燃烧等高效处理技术。</w:t>
                  </w:r>
                </w:p>
              </w:tc>
              <w:tc>
                <w:tcPr>
                  <w:tcW w:w="1837" w:type="pct"/>
                  <w:tcBorders>
                    <w:tl2br w:val="nil"/>
                    <w:tr2bl w:val="nil"/>
                  </w:tcBorders>
                  <w:vAlign w:val="center"/>
                </w:tcPr>
                <w:p w14:paraId="647272B5">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本项目设置</w:t>
                  </w:r>
                  <w:r>
                    <w:rPr>
                      <w:rFonts w:hint="default" w:ascii="Times New Roman" w:hAnsi="Times New Roman" w:eastAsia="宋体" w:cs="Times New Roman"/>
                      <w:color w:val="000000" w:themeColor="text1"/>
                      <w:lang w:val="en-US" w:eastAsia="zh-CN"/>
                      <w14:textFill>
                        <w14:solidFill>
                          <w14:schemeClr w14:val="tx1"/>
                        </w14:solidFill>
                      </w14:textFill>
                    </w:rPr>
                    <w:t>1套</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，符合规范要求。</w:t>
                  </w:r>
                </w:p>
              </w:tc>
              <w:tc>
                <w:tcPr>
                  <w:tcW w:w="455" w:type="pct"/>
                  <w:tcBorders>
                    <w:tl2br w:val="nil"/>
                    <w:tr2bl w:val="nil"/>
                  </w:tcBorders>
                  <w:vAlign w:val="center"/>
                </w:tcPr>
                <w:p w14:paraId="388F529E">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bl>
          <w:p w14:paraId="10C4C1CD">
            <w:pPr>
              <w:pStyle w:val="45"/>
              <w:pageBreakBefore w:val="0"/>
              <w:kinsoku/>
              <w:overflowPunct/>
              <w:topLinePunct w:val="0"/>
              <w:bidi w:val="0"/>
              <w:ind w:left="0" w:leftChars="0" w:right="0" w:firstLine="48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综上所述，项目与</w:t>
            </w:r>
            <w:r>
              <w:rPr>
                <w:rFonts w:hint="default" w:ascii="Times New Roman" w:hAnsi="Times New Roman" w:eastAsia="宋体" w:cs="Times New Roman"/>
                <w:b w:val="0"/>
                <w:bCs w:val="0"/>
                <w:color w:val="000000" w:themeColor="text1"/>
                <w:lang w:val="en-US" w:eastAsia="zh-CN"/>
                <w14:textFill>
                  <w14:solidFill>
                    <w14:schemeClr w14:val="tx1"/>
                  </w14:solidFill>
                </w14:textFill>
              </w:rPr>
              <w:t>《重点行业挥发性有机物综合治理方案》（环大气</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2019</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53号）</w:t>
            </w:r>
            <w:r>
              <w:rPr>
                <w:rFonts w:hint="default" w:ascii="Times New Roman" w:hAnsi="Times New Roman" w:eastAsia="宋体" w:cs="Times New Roman"/>
                <w:b w:val="0"/>
                <w:bCs w:val="0"/>
                <w:color w:val="000000" w:themeColor="text1"/>
                <w14:textFill>
                  <w14:solidFill>
                    <w14:schemeClr w14:val="tx1"/>
                  </w14:solidFill>
                </w14:textFill>
              </w:rPr>
              <w:t>相符。</w:t>
            </w:r>
          </w:p>
          <w:p w14:paraId="098EAC87">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14:textFill>
                  <w14:solidFill>
                    <w14:schemeClr w14:val="tx1"/>
                  </w14:solidFill>
                </w14:textFill>
              </w:rPr>
              <w:t>、项目与</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云南省生态环境厅关于印发云南省重点行业挥发性有机物综合治理实施方案的通知》（云环通</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2019</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125号）相符性分析</w:t>
            </w:r>
          </w:p>
          <w:p w14:paraId="3B6E18F5">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项目与</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云南省重点行业挥发性有机物综合治理实施方案》的相符性分析见表。</w:t>
            </w:r>
          </w:p>
          <w:p w14:paraId="101713EB">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default"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14:textFill>
                  <w14:solidFill>
                    <w14:schemeClr w14:val="tx1"/>
                  </w14:solidFill>
                </w14:textFill>
              </w:rPr>
              <w:t xml:space="preserve">  项目与（云环通</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2019</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125号）的相符性分析</w:t>
            </w:r>
          </w:p>
          <w:tbl>
            <w:tblPr>
              <w:tblStyle w:val="32"/>
              <w:tblW w:w="5000"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020"/>
              <w:gridCol w:w="2728"/>
              <w:gridCol w:w="677"/>
            </w:tblGrid>
            <w:tr w14:paraId="1A9FF8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7" w:type="pct"/>
                  <w:tcBorders>
                    <w:tl2br w:val="nil"/>
                    <w:tr2bl w:val="nil"/>
                  </w:tcBorders>
                  <w:vAlign w:val="center"/>
                </w:tcPr>
                <w:p w14:paraId="586E33B3">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云南省重点行业挥发性有机物综合治理实施方案》</w:t>
                  </w:r>
                </w:p>
              </w:tc>
              <w:tc>
                <w:tcPr>
                  <w:tcW w:w="1837" w:type="pct"/>
                  <w:tcBorders>
                    <w:tl2br w:val="nil"/>
                    <w:tr2bl w:val="nil"/>
                  </w:tcBorders>
                  <w:vAlign w:val="center"/>
                </w:tcPr>
                <w:p w14:paraId="0E53328D">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w:t>
                  </w:r>
                </w:p>
              </w:tc>
              <w:tc>
                <w:tcPr>
                  <w:tcW w:w="455" w:type="pct"/>
                  <w:tcBorders>
                    <w:tl2br w:val="nil"/>
                    <w:tr2bl w:val="nil"/>
                  </w:tcBorders>
                  <w:vAlign w:val="center"/>
                </w:tcPr>
                <w:p w14:paraId="5A49DE05">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相符性</w:t>
                  </w:r>
                </w:p>
              </w:tc>
            </w:tr>
            <w:tr w14:paraId="6759164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7" w:type="pct"/>
                  <w:tcBorders>
                    <w:tl2br w:val="nil"/>
                    <w:tr2bl w:val="nil"/>
                  </w:tcBorders>
                  <w:vAlign w:val="center"/>
                </w:tcPr>
                <w:p w14:paraId="66FEFCB8">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鼓励加快低VOCs含量涂料、油墨、胶粘剂等研发和生产。</w:t>
                  </w:r>
                </w:p>
              </w:tc>
              <w:tc>
                <w:tcPr>
                  <w:tcW w:w="1837" w:type="pct"/>
                  <w:tcBorders>
                    <w:tl2br w:val="nil"/>
                    <w:tr2bl w:val="nil"/>
                  </w:tcBorders>
                  <w:vAlign w:val="center"/>
                </w:tcPr>
                <w:p w14:paraId="7C4AB33E">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本项目复合工序主要采用</w:t>
                  </w:r>
                  <w:r>
                    <w:rPr>
                      <w:rFonts w:hint="default" w:ascii="Times New Roman" w:hAnsi="Times New Roman" w:eastAsia="宋体" w:cs="Times New Roman"/>
                      <w:color w:val="000000" w:themeColor="text1"/>
                      <w14:textFill>
                        <w14:solidFill>
                          <w14:schemeClr w14:val="tx1"/>
                        </w14:solidFill>
                      </w14:textFill>
                    </w:rPr>
                    <w:t>无溶剂</w:t>
                  </w:r>
                  <w:r>
                    <w:rPr>
                      <w:rFonts w:hint="default" w:ascii="Times New Roman" w:hAnsi="Times New Roman" w:eastAsia="宋体" w:cs="Times New Roman"/>
                      <w:color w:val="000000" w:themeColor="text1"/>
                      <w:lang w:eastAsia="zh-CN"/>
                      <w14:textFill>
                        <w14:solidFill>
                          <w14:schemeClr w14:val="tx1"/>
                        </w14:solidFill>
                      </w14:textFill>
                    </w:rPr>
                    <w:t>聚氨酯胶粘剂，属于</w:t>
                  </w:r>
                  <w:r>
                    <w:rPr>
                      <w:rFonts w:hint="default" w:ascii="Times New Roman" w:hAnsi="Times New Roman" w:eastAsia="宋体" w:cs="Times New Roman"/>
                      <w:color w:val="000000" w:themeColor="text1"/>
                      <w14:textFill>
                        <w14:solidFill>
                          <w14:schemeClr w14:val="tx1"/>
                        </w14:solidFill>
                      </w14:textFill>
                    </w:rPr>
                    <w:t>低VOCs含量胶粘剂</w:t>
                  </w:r>
                  <w:r>
                    <w:rPr>
                      <w:rFonts w:hint="default" w:ascii="Times New Roman" w:hAnsi="Times New Roman" w:eastAsia="宋体" w:cs="Times New Roman"/>
                      <w:color w:val="000000" w:themeColor="text1"/>
                      <w:lang w:eastAsia="zh-CN"/>
                      <w14:textFill>
                        <w14:solidFill>
                          <w14:schemeClr w14:val="tx1"/>
                        </w14:solidFill>
                      </w14:textFill>
                    </w:rPr>
                    <w:t>。</w:t>
                  </w:r>
                </w:p>
                <w:p w14:paraId="50BEADE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本项目印版清洗采用油墨清洗剂，</w:t>
                  </w:r>
                  <w:r>
                    <w:rPr>
                      <w:rFonts w:hint="default" w:ascii="Times New Roman" w:hAnsi="Times New Roman" w:eastAsia="宋体" w:cs="Times New Roman"/>
                      <w:color w:val="000000" w:themeColor="text1"/>
                      <w:lang w:eastAsia="zh-CN"/>
                      <w14:textFill>
                        <w14:solidFill>
                          <w14:schemeClr w14:val="tx1"/>
                        </w14:solidFill>
                      </w14:textFill>
                    </w:rPr>
                    <w:t>属于</w:t>
                  </w:r>
                  <w:r>
                    <w:rPr>
                      <w:rFonts w:hint="default" w:ascii="Times New Roman" w:hAnsi="Times New Roman" w:eastAsia="宋体" w:cs="Times New Roman"/>
                      <w:color w:val="000000" w:themeColor="text1"/>
                      <w14:textFill>
                        <w14:solidFill>
                          <w14:schemeClr w14:val="tx1"/>
                        </w14:solidFill>
                      </w14:textFill>
                    </w:rPr>
                    <w:t>低VOCs含量</w:t>
                  </w:r>
                  <w:r>
                    <w:rPr>
                      <w:rFonts w:hint="default" w:ascii="Times New Roman" w:hAnsi="Times New Roman" w:eastAsia="宋体" w:cs="Times New Roman"/>
                      <w:color w:val="000000" w:themeColor="text1"/>
                      <w:lang w:eastAsia="zh-CN"/>
                      <w14:textFill>
                        <w14:solidFill>
                          <w14:schemeClr w14:val="tx1"/>
                        </w14:solidFill>
                      </w14:textFill>
                    </w:rPr>
                    <w:t>清洗剂。</w:t>
                  </w:r>
                </w:p>
              </w:tc>
              <w:tc>
                <w:tcPr>
                  <w:tcW w:w="455" w:type="pct"/>
                  <w:tcBorders>
                    <w:tl2br w:val="nil"/>
                    <w:tr2bl w:val="nil"/>
                  </w:tcBorders>
                  <w:vAlign w:val="center"/>
                </w:tcPr>
                <w:p w14:paraId="19B33326">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217163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7" w:type="pct"/>
                  <w:tcBorders>
                    <w:tl2br w:val="nil"/>
                    <w:tr2bl w:val="nil"/>
                  </w:tcBorders>
                  <w:vAlign w:val="center"/>
                </w:tcPr>
                <w:p w14:paraId="269A6C00">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837" w:type="pct"/>
                  <w:vMerge w:val="restart"/>
                  <w:tcBorders>
                    <w:tl2br w:val="nil"/>
                    <w:tr2bl w:val="nil"/>
                  </w:tcBorders>
                  <w:vAlign w:val="center"/>
                </w:tcPr>
                <w:p w14:paraId="40EA4B28">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p w14:paraId="368FD0A3">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本项目设置有</w:t>
                  </w:r>
                  <w:r>
                    <w:rPr>
                      <w:rFonts w:hint="default" w:ascii="Times New Roman" w:hAnsi="Times New Roman" w:eastAsia="宋体" w:cs="Times New Roman"/>
                      <w:color w:val="000000" w:themeColor="text1"/>
                      <w:lang w:val="en-US" w:eastAsia="zh-CN"/>
                      <w14:textFill>
                        <w14:solidFill>
                          <w14:schemeClr w14:val="tx1"/>
                        </w14:solidFill>
                      </w14:textFill>
                    </w:rPr>
                    <w:t>1台风量为</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0000m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/h的风机，排气筒管径为0.5m，共设置约</w:t>
                  </w:r>
                  <w:r>
                    <w:rPr>
                      <w:rFonts w:hint="eastAsia" w:cs="Times New Roman"/>
                      <w:color w:val="000000" w:themeColor="text1"/>
                      <w:lang w:val="en-US" w:eastAsia="zh-CN"/>
                      <w14:textFill>
                        <w14:solidFill>
                          <w14:schemeClr w14:val="tx1"/>
                        </w14:solidFill>
                      </w14:textFill>
                    </w:rPr>
                    <w:t>31个集气罩</w:t>
                  </w:r>
                  <w:r>
                    <w:rPr>
                      <w:rFonts w:hint="default" w:ascii="Times New Roman" w:hAnsi="Times New Roman" w:eastAsia="宋体" w:cs="Times New Roman"/>
                      <w:color w:val="000000" w:themeColor="text1"/>
                      <w:lang w:val="en-US" w:eastAsia="zh-CN"/>
                      <w14:textFill>
                        <w14:solidFill>
                          <w14:schemeClr w14:val="tx1"/>
                        </w14:solidFill>
                      </w14:textFill>
                    </w:rPr>
                    <w:t>，即每个</w:t>
                  </w:r>
                  <w:r>
                    <w:rPr>
                      <w:rFonts w:hint="default" w:ascii="Times New Roman" w:hAnsi="Times New Roman" w:eastAsia="宋体" w:cs="Times New Roman"/>
                      <w:color w:val="000000" w:themeColor="text1"/>
                      <w14:textFill>
                        <w14:solidFill>
                          <w14:schemeClr w14:val="tx1"/>
                        </w14:solidFill>
                      </w14:textFill>
                    </w:rPr>
                    <w:t>控制点风速</w:t>
                  </w:r>
                  <w:r>
                    <w:rPr>
                      <w:rFonts w:hint="default" w:ascii="Times New Roman" w:hAnsi="Times New Roman" w:eastAsia="宋体" w:cs="Times New Roman"/>
                      <w:color w:val="000000" w:themeColor="text1"/>
                      <w:lang w:val="en-US" w:eastAsia="zh-CN"/>
                      <w14:textFill>
                        <w14:solidFill>
                          <w14:schemeClr w14:val="tx1"/>
                        </w14:solidFill>
                      </w14:textFill>
                    </w:rPr>
                    <w:t>约1.</w:t>
                  </w:r>
                  <w:r>
                    <w:rPr>
                      <w:rFonts w:hint="eastAsia" w:cs="Times New Roman"/>
                      <w:color w:val="000000" w:themeColor="text1"/>
                      <w:lang w:val="en-US" w:eastAsia="zh-CN"/>
                      <w14:textFill>
                        <w14:solidFill>
                          <w14:schemeClr w14:val="tx1"/>
                        </w14:solidFill>
                      </w14:textFill>
                    </w:rPr>
                    <w:t>05</w:t>
                  </w:r>
                  <w:r>
                    <w:rPr>
                      <w:rFonts w:hint="default" w:ascii="Times New Roman" w:hAnsi="Times New Roman" w:eastAsia="宋体" w:cs="Times New Roman"/>
                      <w:color w:val="000000" w:themeColor="text1"/>
                      <w14:textFill>
                        <w14:solidFill>
                          <w14:schemeClr w14:val="tx1"/>
                        </w14:solidFill>
                      </w14:textFill>
                    </w:rPr>
                    <w:t>m/s</w:t>
                  </w:r>
                  <w:r>
                    <w:rPr>
                      <w:rFonts w:hint="default" w:ascii="Times New Roman" w:hAnsi="Times New Roman" w:eastAsia="宋体" w:cs="Times New Roman"/>
                      <w:color w:val="000000" w:themeColor="text1"/>
                      <w:lang w:eastAsia="zh-CN"/>
                      <w14:textFill>
                        <w14:solidFill>
                          <w14:schemeClr w14:val="tx1"/>
                        </w14:solidFill>
                      </w14:textFill>
                    </w:rPr>
                    <w:t>，满足相关要求</w:t>
                  </w:r>
                  <w:r>
                    <w:rPr>
                      <w:rFonts w:hint="default" w:ascii="Times New Roman" w:hAnsi="Times New Roman" w:eastAsia="宋体" w:cs="Times New Roman"/>
                      <w:color w:val="000000" w:themeColor="text1"/>
                      <w14:textFill>
                        <w14:solidFill>
                          <w14:schemeClr w14:val="tx1"/>
                        </w14:solidFill>
                      </w14:textFill>
                    </w:rPr>
                    <w:t>。</w:t>
                  </w:r>
                </w:p>
              </w:tc>
              <w:tc>
                <w:tcPr>
                  <w:tcW w:w="455" w:type="pct"/>
                  <w:tcBorders>
                    <w:tl2br w:val="nil"/>
                    <w:tr2bl w:val="nil"/>
                  </w:tcBorders>
                  <w:vAlign w:val="center"/>
                </w:tcPr>
                <w:p w14:paraId="69A03996">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7917CB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7" w:type="pct"/>
                  <w:tcBorders>
                    <w:tl2br w:val="nil"/>
                    <w:tr2bl w:val="nil"/>
                  </w:tcBorders>
                  <w:vAlign w:val="center"/>
                </w:tcPr>
                <w:p w14:paraId="3A3FB0AF">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提高废气收集率。遵循</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应收尽收、分质收集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837" w:type="pct"/>
                  <w:vMerge w:val="continue"/>
                  <w:tcBorders>
                    <w:tl2br w:val="nil"/>
                    <w:tr2bl w:val="nil"/>
                  </w:tcBorders>
                  <w:vAlign w:val="center"/>
                </w:tcPr>
                <w:p w14:paraId="19BB19EE">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455" w:type="pct"/>
                  <w:tcBorders>
                    <w:tl2br w:val="nil"/>
                    <w:tr2bl w:val="nil"/>
                  </w:tcBorders>
                  <w:vAlign w:val="center"/>
                </w:tcPr>
                <w:p w14:paraId="01EB98A8">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bl>
          <w:p w14:paraId="17549712">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综上所述，项目与</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云南省生态环境厅关于印发云南省重点行业挥发性有机物综合治理实施方案的通知》（云环通</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2019</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125号）相符。</w:t>
            </w:r>
          </w:p>
          <w:p w14:paraId="3A1631AF">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9、</w:t>
            </w:r>
            <w:r>
              <w:rPr>
                <w:rFonts w:hint="default" w:ascii="Times New Roman" w:hAnsi="Times New Roman" w:eastAsia="宋体" w:cs="Times New Roman"/>
                <w:b/>
                <w:bCs/>
                <w:color w:val="000000" w:themeColor="text1"/>
                <w14:textFill>
                  <w14:solidFill>
                    <w14:schemeClr w14:val="tx1"/>
                  </w14:solidFill>
                </w14:textFill>
              </w:rPr>
              <w:t>项目与</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关于印发〈2020年挥发性有机物治理攻坚方案〉的通知》（环大气</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2020</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33号）符合性分析</w:t>
            </w:r>
          </w:p>
          <w:p w14:paraId="5006FEC3">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default" w:ascii="Times New Roman" w:hAnsi="Times New Roman" w:eastAsia="宋体" w:cs="Times New Roman"/>
                <w:color w:val="000000" w:themeColor="text1"/>
                <w:lang w:val="en-US" w:eastAsia="zh-CN"/>
                <w14:textFill>
                  <w14:solidFill>
                    <w14:schemeClr w14:val="tx1"/>
                  </w14:solidFill>
                </w14:textFill>
              </w:rPr>
              <w:t>9</w:t>
            </w:r>
            <w:r>
              <w:rPr>
                <w:rFonts w:hint="default" w:ascii="Times New Roman" w:hAnsi="Times New Roman" w:eastAsia="宋体" w:cs="Times New Roman"/>
                <w:color w:val="000000" w:themeColor="text1"/>
                <w14:textFill>
                  <w14:solidFill>
                    <w14:schemeClr w14:val="tx1"/>
                  </w14:solidFill>
                </w14:textFill>
              </w:rPr>
              <w:t xml:space="preserve">  项目与</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2020年挥发性有机物治理攻坚方案》符合性分析</w:t>
            </w:r>
          </w:p>
          <w:tbl>
            <w:tblPr>
              <w:tblStyle w:val="33"/>
              <w:tblW w:w="7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4"/>
              <w:gridCol w:w="2168"/>
              <w:gridCol w:w="684"/>
            </w:tblGrid>
            <w:tr w14:paraId="3BC2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4" w:type="dxa"/>
                  <w:vAlign w:val="center"/>
                </w:tcPr>
                <w:p w14:paraId="066F4920">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方案要求</w:t>
                  </w:r>
                </w:p>
              </w:tc>
              <w:tc>
                <w:tcPr>
                  <w:tcW w:w="2168" w:type="dxa"/>
                  <w:vAlign w:val="center"/>
                </w:tcPr>
                <w:p w14:paraId="02AA342E">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项目情况</w:t>
                  </w:r>
                </w:p>
              </w:tc>
              <w:tc>
                <w:tcPr>
                  <w:tcW w:w="684" w:type="dxa"/>
                  <w:vAlign w:val="center"/>
                </w:tcPr>
                <w:p w14:paraId="5A74C9D7">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符合性</w:t>
                  </w:r>
                </w:p>
              </w:tc>
            </w:tr>
            <w:tr w14:paraId="16AB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4" w:type="dxa"/>
                  <w:vAlign w:val="center"/>
                </w:tcPr>
                <w:p w14:paraId="3757D83E">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按照</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应收尽收</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的原则提升废气收集率。推动取消废气排放系统旁路，因安全生产等原因必须保留的，应将保留旁路清单报当地生态环境部门，旁路在非紧急情况下保持关闭，并通过铅封、安装自动监控设施、流量计等方式加强监管，开启后应及时向当地生态环境部门报告，做好台账记录。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同启同停</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按照</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适宜高效</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的原则提高治理设施去除率，不得稀释排放。企业新建治污设施或对现有治污设施实施改造，应依据排放废气特征、VOCs组分及浓度、生产工况等，合理选择治理技术，对治理难度大、单一处理工艺难以认定达标的，要采用多种技术的组合工艺。</w:t>
                  </w:r>
                </w:p>
              </w:tc>
              <w:tc>
                <w:tcPr>
                  <w:tcW w:w="2168" w:type="dxa"/>
                  <w:vAlign w:val="center"/>
                </w:tcPr>
                <w:p w14:paraId="171A3C40">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p w14:paraId="15368BCA">
                  <w:pPr>
                    <w:pStyle w:val="125"/>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本项目设置有</w:t>
                  </w:r>
                  <w:r>
                    <w:rPr>
                      <w:rFonts w:hint="default" w:ascii="Times New Roman" w:hAnsi="Times New Roman" w:eastAsia="宋体" w:cs="Times New Roman"/>
                      <w:color w:val="000000" w:themeColor="text1"/>
                      <w:lang w:val="en-US" w:eastAsia="zh-CN"/>
                      <w14:textFill>
                        <w14:solidFill>
                          <w14:schemeClr w14:val="tx1"/>
                        </w14:solidFill>
                      </w14:textFill>
                    </w:rPr>
                    <w:t>1台风量为</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0000m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/h的风机，排气筒管径为0.5m，共设置约</w:t>
                  </w:r>
                  <w:r>
                    <w:rPr>
                      <w:rFonts w:hint="eastAsia" w:cs="Times New Roman"/>
                      <w:color w:val="000000" w:themeColor="text1"/>
                      <w:lang w:val="en-US" w:eastAsia="zh-CN"/>
                      <w14:textFill>
                        <w14:solidFill>
                          <w14:schemeClr w14:val="tx1"/>
                        </w14:solidFill>
                      </w14:textFill>
                    </w:rPr>
                    <w:t>31个集气罩</w:t>
                  </w:r>
                  <w:r>
                    <w:rPr>
                      <w:rFonts w:hint="default" w:ascii="Times New Roman" w:hAnsi="Times New Roman" w:eastAsia="宋体" w:cs="Times New Roman"/>
                      <w:color w:val="000000" w:themeColor="text1"/>
                      <w:lang w:val="en-US" w:eastAsia="zh-CN"/>
                      <w14:textFill>
                        <w14:solidFill>
                          <w14:schemeClr w14:val="tx1"/>
                        </w14:solidFill>
                      </w14:textFill>
                    </w:rPr>
                    <w:t>，即每个</w:t>
                  </w:r>
                  <w:r>
                    <w:rPr>
                      <w:rFonts w:hint="default" w:ascii="Times New Roman" w:hAnsi="Times New Roman" w:eastAsia="宋体" w:cs="Times New Roman"/>
                      <w:color w:val="000000" w:themeColor="text1"/>
                      <w14:textFill>
                        <w14:solidFill>
                          <w14:schemeClr w14:val="tx1"/>
                        </w14:solidFill>
                      </w14:textFill>
                    </w:rPr>
                    <w:t>控制点风速</w:t>
                  </w:r>
                  <w:r>
                    <w:rPr>
                      <w:rFonts w:hint="default" w:ascii="Times New Roman" w:hAnsi="Times New Roman" w:eastAsia="宋体" w:cs="Times New Roman"/>
                      <w:color w:val="000000" w:themeColor="text1"/>
                      <w:lang w:val="en-US" w:eastAsia="zh-CN"/>
                      <w14:textFill>
                        <w14:solidFill>
                          <w14:schemeClr w14:val="tx1"/>
                        </w14:solidFill>
                      </w14:textFill>
                    </w:rPr>
                    <w:t>约1.</w:t>
                  </w:r>
                  <w:r>
                    <w:rPr>
                      <w:rFonts w:hint="eastAsia" w:cs="Times New Roman"/>
                      <w:color w:val="000000" w:themeColor="text1"/>
                      <w:lang w:val="en-US" w:eastAsia="zh-CN"/>
                      <w14:textFill>
                        <w14:solidFill>
                          <w14:schemeClr w14:val="tx1"/>
                        </w14:solidFill>
                      </w14:textFill>
                    </w:rPr>
                    <w:t>05</w:t>
                  </w:r>
                  <w:r>
                    <w:rPr>
                      <w:rFonts w:hint="default" w:ascii="Times New Roman" w:hAnsi="Times New Roman" w:eastAsia="宋体" w:cs="Times New Roman"/>
                      <w:color w:val="000000" w:themeColor="text1"/>
                      <w14:textFill>
                        <w14:solidFill>
                          <w14:schemeClr w14:val="tx1"/>
                        </w14:solidFill>
                      </w14:textFill>
                    </w:rPr>
                    <w:t>m/s</w:t>
                  </w:r>
                  <w:r>
                    <w:rPr>
                      <w:rFonts w:hint="default" w:ascii="Times New Roman" w:hAnsi="Times New Roman" w:eastAsia="宋体" w:cs="Times New Roman"/>
                      <w:color w:val="000000" w:themeColor="text1"/>
                      <w:lang w:eastAsia="zh-CN"/>
                      <w14:textFill>
                        <w14:solidFill>
                          <w14:schemeClr w14:val="tx1"/>
                        </w14:solidFill>
                      </w14:textFill>
                    </w:rPr>
                    <w:t>，满足相关要求</w:t>
                  </w:r>
                  <w:r>
                    <w:rPr>
                      <w:rFonts w:hint="default" w:ascii="Times New Roman" w:hAnsi="Times New Roman" w:eastAsia="宋体" w:cs="Times New Roman"/>
                      <w:color w:val="000000" w:themeColor="text1"/>
                      <w14:textFill>
                        <w14:solidFill>
                          <w14:schemeClr w14:val="tx1"/>
                        </w14:solidFill>
                      </w14:textFill>
                    </w:rPr>
                    <w:t>。</w:t>
                  </w:r>
                </w:p>
              </w:tc>
              <w:tc>
                <w:tcPr>
                  <w:tcW w:w="684" w:type="dxa"/>
                  <w:vAlign w:val="center"/>
                </w:tcPr>
                <w:p w14:paraId="20796207">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bl>
          <w:p w14:paraId="29FDBA0B">
            <w:pPr>
              <w:pStyle w:val="45"/>
              <w:pageBreakBefore w:val="0"/>
              <w:kinsoku/>
              <w:overflowPunct/>
              <w:topLinePunct w:val="0"/>
              <w:bidi w:val="0"/>
              <w:ind w:left="0" w:leftChars="0" w:right="0" w:firstLine="48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10</w:t>
            </w:r>
            <w:r>
              <w:rPr>
                <w:rFonts w:hint="default" w:ascii="Times New Roman" w:hAnsi="Times New Roman" w:eastAsia="宋体" w:cs="Times New Roman"/>
                <w:b/>
                <w:bCs/>
                <w:color w:val="000000" w:themeColor="text1"/>
                <w14:textFill>
                  <w14:solidFill>
                    <w14:schemeClr w14:val="tx1"/>
                  </w14:solidFill>
                </w14:textFill>
              </w:rPr>
              <w:t>、与</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挥发性有机物污染防治技术政策》</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公告 2013年 第31号</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符合性分析</w:t>
            </w:r>
          </w:p>
          <w:p w14:paraId="2FF6D77D">
            <w:pPr>
              <w:pStyle w:val="45"/>
              <w:pageBreakBefore w:val="0"/>
              <w:kinsoku/>
              <w:overflowPunct/>
              <w:topLinePunct w:val="0"/>
              <w:bidi w:val="0"/>
              <w:ind w:left="0" w:leftChars="0" w:right="0" w:firstLine="48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项目与</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挥发性有机物污染防治技术政策》</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公告 2013年 第31号</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相符性分析见表1-9。</w:t>
            </w:r>
          </w:p>
          <w:p w14:paraId="51B594BC">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default" w:ascii="Times New Roman" w:hAnsi="Times New Roman" w:eastAsia="宋体"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14:textFill>
                  <w14:solidFill>
                    <w14:schemeClr w14:val="tx1"/>
                  </w14:solidFill>
                </w14:textFill>
              </w:rPr>
              <w:t xml:space="preserve"> 与</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挥发性有机物污染防治技术政策》符合性分析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428"/>
              <w:gridCol w:w="2885"/>
              <w:gridCol w:w="3004"/>
              <w:gridCol w:w="639"/>
            </w:tblGrid>
            <w:tr w14:paraId="7D07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Align w:val="center"/>
                </w:tcPr>
                <w:p w14:paraId="67995C99">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3313" w:type="dxa"/>
                  <w:gridSpan w:val="2"/>
                  <w:vAlign w:val="center"/>
                </w:tcPr>
                <w:p w14:paraId="605B1F6C">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pacing w:val="4"/>
                      <w:kern w:val="24"/>
                      <w:szCs w:val="21"/>
                      <w:lang w:eastAsia="zh-CN" w:bidi="ar"/>
                      <w14:textFill>
                        <w14:solidFill>
                          <w14:schemeClr w14:val="tx1"/>
                        </w14:solidFill>
                      </w14:textFill>
                    </w:rPr>
                    <w:t>《</w:t>
                  </w:r>
                  <w:r>
                    <w:rPr>
                      <w:rFonts w:hint="default" w:ascii="Times New Roman" w:hAnsi="Times New Roman" w:eastAsia="宋体" w:cs="Times New Roman"/>
                      <w:b/>
                      <w:color w:val="000000" w:themeColor="text1"/>
                      <w:spacing w:val="4"/>
                      <w:kern w:val="24"/>
                      <w:szCs w:val="21"/>
                      <w:lang w:bidi="ar"/>
                      <w14:textFill>
                        <w14:solidFill>
                          <w14:schemeClr w14:val="tx1"/>
                        </w14:solidFill>
                      </w14:textFill>
                    </w:rPr>
                    <w:t>挥发性有机物污染防治技术政策》相关内容如下</w:t>
                  </w:r>
                </w:p>
              </w:tc>
              <w:tc>
                <w:tcPr>
                  <w:tcW w:w="3004" w:type="dxa"/>
                  <w:vAlign w:val="center"/>
                </w:tcPr>
                <w:p w14:paraId="5FFBD73D">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项目情况</w:t>
                  </w:r>
                </w:p>
              </w:tc>
              <w:tc>
                <w:tcPr>
                  <w:tcW w:w="639" w:type="dxa"/>
                  <w:vAlign w:val="center"/>
                </w:tcPr>
                <w:p w14:paraId="4EDADDB9">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相符性</w:t>
                  </w:r>
                </w:p>
              </w:tc>
            </w:tr>
            <w:tr w14:paraId="20BA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Align w:val="center"/>
                </w:tcPr>
                <w:p w14:paraId="162FEA07">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428" w:type="dxa"/>
                  <w:vMerge w:val="restart"/>
                  <w:vAlign w:val="center"/>
                </w:tcPr>
                <w:p w14:paraId="3C22B1E4">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源头和过程控制</w:t>
                  </w:r>
                </w:p>
              </w:tc>
              <w:tc>
                <w:tcPr>
                  <w:tcW w:w="2885" w:type="dxa"/>
                  <w:vAlign w:val="center"/>
                </w:tcPr>
                <w:p w14:paraId="4668CFFF">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鼓励使用通过环境标志产品认证的环保型涂料、油墨、胶粘剂和清洗剂。</w:t>
                  </w:r>
                </w:p>
              </w:tc>
              <w:tc>
                <w:tcPr>
                  <w:tcW w:w="3004" w:type="dxa"/>
                  <w:vAlign w:val="center"/>
                </w:tcPr>
                <w:p w14:paraId="48B24C5B">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本项目复合工序主要采用</w:t>
                  </w:r>
                  <w:r>
                    <w:rPr>
                      <w:rFonts w:hint="default" w:ascii="Times New Roman" w:hAnsi="Times New Roman" w:eastAsia="宋体" w:cs="Times New Roman"/>
                      <w:color w:val="000000" w:themeColor="text1"/>
                      <w14:textFill>
                        <w14:solidFill>
                          <w14:schemeClr w14:val="tx1"/>
                        </w14:solidFill>
                      </w14:textFill>
                    </w:rPr>
                    <w:t>无溶剂</w:t>
                  </w:r>
                  <w:r>
                    <w:rPr>
                      <w:rFonts w:hint="default" w:ascii="Times New Roman" w:hAnsi="Times New Roman" w:eastAsia="宋体" w:cs="Times New Roman"/>
                      <w:color w:val="000000" w:themeColor="text1"/>
                      <w:lang w:eastAsia="zh-CN"/>
                      <w14:textFill>
                        <w14:solidFill>
                          <w14:schemeClr w14:val="tx1"/>
                        </w14:solidFill>
                      </w14:textFill>
                    </w:rPr>
                    <w:t>聚氨酯胶粘剂，属于</w:t>
                  </w:r>
                  <w:r>
                    <w:rPr>
                      <w:rFonts w:hint="default" w:ascii="Times New Roman" w:hAnsi="Times New Roman" w:eastAsia="宋体" w:cs="Times New Roman"/>
                      <w:color w:val="000000" w:themeColor="text1"/>
                      <w14:textFill>
                        <w14:solidFill>
                          <w14:schemeClr w14:val="tx1"/>
                        </w14:solidFill>
                      </w14:textFill>
                    </w:rPr>
                    <w:t>低VOCs含量胶粘剂</w:t>
                  </w:r>
                  <w:r>
                    <w:rPr>
                      <w:rFonts w:hint="default" w:ascii="Times New Roman" w:hAnsi="Times New Roman" w:eastAsia="宋体" w:cs="Times New Roman"/>
                      <w:color w:val="000000" w:themeColor="text1"/>
                      <w:lang w:eastAsia="zh-CN"/>
                      <w14:textFill>
                        <w14:solidFill>
                          <w14:schemeClr w14:val="tx1"/>
                        </w14:solidFill>
                      </w14:textFill>
                    </w:rPr>
                    <w:t>。</w:t>
                  </w:r>
                </w:p>
                <w:p w14:paraId="7FD66A2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本项目印版清洗采用油墨清洗剂，</w:t>
                  </w:r>
                  <w:r>
                    <w:rPr>
                      <w:rFonts w:hint="default" w:ascii="Times New Roman" w:hAnsi="Times New Roman" w:eastAsia="宋体" w:cs="Times New Roman"/>
                      <w:color w:val="000000" w:themeColor="text1"/>
                      <w:lang w:eastAsia="zh-CN"/>
                      <w14:textFill>
                        <w14:solidFill>
                          <w14:schemeClr w14:val="tx1"/>
                        </w14:solidFill>
                      </w14:textFill>
                    </w:rPr>
                    <w:t>属于</w:t>
                  </w:r>
                  <w:r>
                    <w:rPr>
                      <w:rFonts w:hint="default" w:ascii="Times New Roman" w:hAnsi="Times New Roman" w:eastAsia="宋体" w:cs="Times New Roman"/>
                      <w:color w:val="000000" w:themeColor="text1"/>
                      <w14:textFill>
                        <w14:solidFill>
                          <w14:schemeClr w14:val="tx1"/>
                        </w14:solidFill>
                      </w14:textFill>
                    </w:rPr>
                    <w:t>低VOCs含量</w:t>
                  </w:r>
                  <w:r>
                    <w:rPr>
                      <w:rFonts w:hint="default" w:ascii="Times New Roman" w:hAnsi="Times New Roman" w:eastAsia="宋体" w:cs="Times New Roman"/>
                      <w:color w:val="000000" w:themeColor="text1"/>
                      <w:lang w:eastAsia="zh-CN"/>
                      <w14:textFill>
                        <w14:solidFill>
                          <w14:schemeClr w14:val="tx1"/>
                        </w14:solidFill>
                      </w14:textFill>
                    </w:rPr>
                    <w:t>清洗剂。</w:t>
                  </w:r>
                </w:p>
              </w:tc>
              <w:tc>
                <w:tcPr>
                  <w:tcW w:w="639" w:type="dxa"/>
                  <w:vAlign w:val="center"/>
                </w:tcPr>
                <w:p w14:paraId="0AC243D2">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2EAA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64" w:type="dxa"/>
                  <w:vAlign w:val="center"/>
                </w:tcPr>
                <w:p w14:paraId="0EDD6EBA">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428" w:type="dxa"/>
                  <w:vMerge w:val="continue"/>
                  <w:vAlign w:val="center"/>
                </w:tcPr>
                <w:p w14:paraId="79FE553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885" w:type="dxa"/>
                  <w:vAlign w:val="center"/>
                </w:tcPr>
                <w:p w14:paraId="7A79A63A">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zh-CN"/>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根据涂装工艺的不同，鼓励使用水性涂料、高固份涂料、粉末涂料、紫外光固化（UV）涂料等环保型涂料；推广采用静电喷涂、淋涂、辊涂、浸涂等效率较高的涂装工艺；应尽量避免无V</w:t>
                  </w:r>
                  <w:r>
                    <w:rPr>
                      <w:rFonts w:hint="default" w:ascii="Times New Roman" w:hAnsi="Times New Roman" w:eastAsia="宋体" w:cs="Times New Roman"/>
                      <w:color w:val="000000" w:themeColor="text1"/>
                      <w:szCs w:val="21"/>
                      <w:lang w:val="en-US" w:eastAsia="zh-CN"/>
                      <w14:textFill>
                        <w14:solidFill>
                          <w14:schemeClr w14:val="tx1"/>
                        </w14:solidFill>
                      </w14:textFill>
                    </w:rPr>
                    <w:t>O</w:t>
                  </w:r>
                  <w:r>
                    <w:rPr>
                      <w:rFonts w:hint="default" w:ascii="Times New Roman" w:hAnsi="Times New Roman" w:eastAsia="宋体" w:cs="Times New Roman"/>
                      <w:color w:val="000000" w:themeColor="text1"/>
                      <w:szCs w:val="21"/>
                      <w:lang w:val="zh-CN"/>
                      <w14:textFill>
                        <w14:solidFill>
                          <w14:schemeClr w14:val="tx1"/>
                        </w14:solidFill>
                      </w14:textFill>
                    </w:rPr>
                    <w:t>Cs净化、回收措施的露天喷涂作业。</w:t>
                  </w:r>
                </w:p>
              </w:tc>
              <w:tc>
                <w:tcPr>
                  <w:tcW w:w="3004" w:type="dxa"/>
                  <w:vAlign w:val="center"/>
                </w:tcPr>
                <w:p w14:paraId="44D2B12B">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本项目生产区布置于生产厂房内，不属于露天作业。</w:t>
                  </w:r>
                </w:p>
                <w:p w14:paraId="53530AC6">
                  <w:pPr>
                    <w:pageBreakBefore w:val="0"/>
                    <w:kinsoku/>
                    <w:overflowPunct/>
                    <w:topLinePunct w:val="0"/>
                    <w:bidi w:val="0"/>
                    <w:ind w:left="0" w:leftChars="0" w:right="0"/>
                    <w:jc w:val="cente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本项目复合工序主要采用</w:t>
                  </w:r>
                  <w:r>
                    <w:rPr>
                      <w:rFonts w:hint="default" w:ascii="Times New Roman" w:hAnsi="Times New Roman" w:eastAsia="宋体" w:cs="Times New Roman"/>
                      <w:color w:val="000000" w:themeColor="text1"/>
                      <w14:textFill>
                        <w14:solidFill>
                          <w14:schemeClr w14:val="tx1"/>
                        </w14:solidFill>
                      </w14:textFill>
                    </w:rPr>
                    <w:t>无溶剂</w:t>
                  </w:r>
                  <w:r>
                    <w:rPr>
                      <w:rFonts w:hint="default" w:ascii="Times New Roman" w:hAnsi="Times New Roman" w:eastAsia="宋体" w:cs="Times New Roman"/>
                      <w:color w:val="000000" w:themeColor="text1"/>
                      <w:lang w:eastAsia="zh-CN"/>
                      <w14:textFill>
                        <w14:solidFill>
                          <w14:schemeClr w14:val="tx1"/>
                        </w14:solidFill>
                      </w14:textFill>
                    </w:rPr>
                    <w:t>聚氨酯胶粘剂，属于</w:t>
                  </w:r>
                  <w:r>
                    <w:rPr>
                      <w:rFonts w:hint="default" w:ascii="Times New Roman" w:hAnsi="Times New Roman" w:eastAsia="宋体" w:cs="Times New Roman"/>
                      <w:color w:val="000000" w:themeColor="text1"/>
                      <w14:textFill>
                        <w14:solidFill>
                          <w14:schemeClr w14:val="tx1"/>
                        </w14:solidFill>
                      </w14:textFill>
                    </w:rPr>
                    <w:t>低VOCs含量胶粘剂</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w:t>
                  </w:r>
                </w:p>
                <w:p w14:paraId="16C9BAF3">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tc>
              <w:tc>
                <w:tcPr>
                  <w:tcW w:w="639" w:type="dxa"/>
                  <w:vAlign w:val="center"/>
                </w:tcPr>
                <w:p w14:paraId="00404E4F">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5CBC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64" w:type="dxa"/>
                  <w:vAlign w:val="center"/>
                </w:tcPr>
                <w:p w14:paraId="75E7BEB1">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428" w:type="dxa"/>
                  <w:vMerge w:val="continue"/>
                  <w:vAlign w:val="center"/>
                </w:tcPr>
                <w:p w14:paraId="57828E5F">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885" w:type="dxa"/>
                  <w:vAlign w:val="center"/>
                </w:tcPr>
                <w:p w14:paraId="4CFDBE93">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淘汰以三氟三氯乙烷、甲基氯仿和四氯化碳为清洗剂或溶剂的生产工艺。清洗过程中产生的废溶剂宜密闭收集，有回收价值的废溶剂经处理后回用，其他废溶剂应妥善处置。</w:t>
                  </w:r>
                </w:p>
              </w:tc>
              <w:tc>
                <w:tcPr>
                  <w:tcW w:w="3004" w:type="dxa"/>
                  <w:vAlign w:val="center"/>
                </w:tcPr>
                <w:p w14:paraId="3899BD2F">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本项目不涉及</w:t>
                  </w:r>
                  <w:r>
                    <w:rPr>
                      <w:rFonts w:hint="default" w:ascii="Times New Roman" w:hAnsi="Times New Roman" w:eastAsia="宋体" w:cs="Times New Roman"/>
                      <w:color w:val="000000" w:themeColor="text1"/>
                      <w:szCs w:val="21"/>
                      <w:lang w:val="zh-CN"/>
                      <w14:textFill>
                        <w14:solidFill>
                          <w14:schemeClr w14:val="tx1"/>
                        </w14:solidFill>
                      </w14:textFill>
                    </w:rPr>
                    <w:t>以三氟三氯乙烷、甲基氯仿和四氯化碳为清洗剂或溶剂的生产工艺。</w:t>
                  </w:r>
                </w:p>
              </w:tc>
              <w:tc>
                <w:tcPr>
                  <w:tcW w:w="639" w:type="dxa"/>
                  <w:vAlign w:val="center"/>
                </w:tcPr>
                <w:p w14:paraId="19423B1F">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5583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4" w:type="dxa"/>
                  <w:vAlign w:val="center"/>
                </w:tcPr>
                <w:p w14:paraId="11B17359">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428" w:type="dxa"/>
                  <w:vMerge w:val="continue"/>
                  <w:vAlign w:val="center"/>
                </w:tcPr>
                <w:p w14:paraId="16A32490">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885" w:type="dxa"/>
                  <w:vAlign w:val="center"/>
                </w:tcPr>
                <w:p w14:paraId="41CF86DF">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含VOCs产品的使用过程中，应采取废气收集措施，提高废气收集效率，减少废气的无组织排放与逸散，并对收集后的废气进行回收或处理后达标排放。</w:t>
                  </w:r>
                </w:p>
              </w:tc>
              <w:tc>
                <w:tcPr>
                  <w:tcW w:w="3004" w:type="dxa"/>
                  <w:vMerge w:val="restart"/>
                  <w:vAlign w:val="center"/>
                </w:tcPr>
                <w:p w14:paraId="6399B045">
                  <w:pPr>
                    <w:pStyle w:val="125"/>
                    <w:pageBreakBefore w:val="0"/>
                    <w:kinsoku/>
                    <w:overflowPunct/>
                    <w:topLinePunct w:val="0"/>
                    <w:bidi w:val="0"/>
                    <w:ind w:left="0" w:leftChars="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tc>
              <w:tc>
                <w:tcPr>
                  <w:tcW w:w="639" w:type="dxa"/>
                  <w:vAlign w:val="center"/>
                </w:tcPr>
                <w:p w14:paraId="2966012C">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30ED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4" w:type="dxa"/>
                  <w:vAlign w:val="center"/>
                </w:tcPr>
                <w:p w14:paraId="1EC197D5">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w:t>
                  </w:r>
                </w:p>
              </w:tc>
              <w:tc>
                <w:tcPr>
                  <w:tcW w:w="428" w:type="dxa"/>
                  <w:vMerge w:val="restart"/>
                  <w:vAlign w:val="center"/>
                </w:tcPr>
                <w:p w14:paraId="42E618B3">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末端治理与综合利用</w:t>
                  </w:r>
                </w:p>
              </w:tc>
              <w:tc>
                <w:tcPr>
                  <w:tcW w:w="2885" w:type="dxa"/>
                  <w:vAlign w:val="center"/>
                </w:tcPr>
                <w:p w14:paraId="15000A48">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在工业生产过程中鼓励VOCs的回收利用，并优先鼓励在生产系统内回用。</w:t>
                  </w:r>
                </w:p>
              </w:tc>
              <w:tc>
                <w:tcPr>
                  <w:tcW w:w="3004" w:type="dxa"/>
                  <w:vMerge w:val="continue"/>
                  <w:vAlign w:val="center"/>
                </w:tcPr>
                <w:p w14:paraId="11D0A657">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39" w:type="dxa"/>
                  <w:vAlign w:val="center"/>
                </w:tcPr>
                <w:p w14:paraId="7787A12D">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5E33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4" w:type="dxa"/>
                  <w:vAlign w:val="center"/>
                </w:tcPr>
                <w:p w14:paraId="07C5D1C3">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c>
                <w:tcPr>
                  <w:tcW w:w="428" w:type="dxa"/>
                  <w:vMerge w:val="continue"/>
                  <w:vAlign w:val="center"/>
                </w:tcPr>
                <w:p w14:paraId="7A17B3C8">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885" w:type="dxa"/>
                  <w:vAlign w:val="center"/>
                </w:tcPr>
                <w:p w14:paraId="77FC4BF2">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004" w:type="dxa"/>
                  <w:vMerge w:val="continue"/>
                  <w:vAlign w:val="center"/>
                </w:tcPr>
                <w:p w14:paraId="1E637D8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39" w:type="dxa"/>
                  <w:vAlign w:val="center"/>
                </w:tcPr>
                <w:p w14:paraId="4690A0A8">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4343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4" w:type="dxa"/>
                  <w:vAlign w:val="center"/>
                </w:tcPr>
                <w:p w14:paraId="14BCADB8">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9</w:t>
                  </w:r>
                </w:p>
              </w:tc>
              <w:tc>
                <w:tcPr>
                  <w:tcW w:w="428" w:type="dxa"/>
                  <w:vMerge w:val="continue"/>
                  <w:vAlign w:val="center"/>
                </w:tcPr>
                <w:p w14:paraId="4A43D996">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885" w:type="dxa"/>
                  <w:vAlign w:val="center"/>
                </w:tcPr>
                <w:p w14:paraId="27E0D1B4">
                  <w:pPr>
                    <w:pageBreakBefore w:val="0"/>
                    <w:kinsoku/>
                    <w:overflowPunct/>
                    <w:topLinePunct w:val="0"/>
                    <w:bidi w:val="0"/>
                    <w:ind w:left="0" w:leftChars="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含有有机卤素成分VOCs的废气，宜采用非焚烧技术处理。</w:t>
                  </w:r>
                </w:p>
              </w:tc>
              <w:tc>
                <w:tcPr>
                  <w:tcW w:w="3004" w:type="dxa"/>
                  <w:vAlign w:val="center"/>
                </w:tcPr>
                <w:p w14:paraId="0251E1CE">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本项目不涉及</w:t>
                  </w:r>
                  <w:r>
                    <w:rPr>
                      <w:rFonts w:hint="default" w:ascii="Times New Roman" w:hAnsi="Times New Roman" w:eastAsia="宋体" w:cs="Times New Roman"/>
                      <w:color w:val="000000" w:themeColor="text1"/>
                      <w:szCs w:val="21"/>
                      <w:lang w:val="zh-CN"/>
                      <w14:textFill>
                        <w14:solidFill>
                          <w14:schemeClr w14:val="tx1"/>
                        </w14:solidFill>
                      </w14:textFill>
                    </w:rPr>
                    <w:t>有机卤素成分</w:t>
                  </w:r>
                  <w:r>
                    <w:rPr>
                      <w:rFonts w:hint="default" w:ascii="Times New Roman" w:hAnsi="Times New Roman" w:eastAsia="宋体" w:cs="Times New Roman"/>
                      <w:color w:val="000000" w:themeColor="text1"/>
                      <w:szCs w:val="21"/>
                      <w14:textFill>
                        <w14:solidFill>
                          <w14:schemeClr w14:val="tx1"/>
                        </w14:solidFill>
                      </w14:textFill>
                    </w:rPr>
                    <w:t>。</w:t>
                  </w:r>
                </w:p>
              </w:tc>
              <w:tc>
                <w:tcPr>
                  <w:tcW w:w="639" w:type="dxa"/>
                  <w:vAlign w:val="center"/>
                </w:tcPr>
                <w:p w14:paraId="5B47B306">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不涉及</w:t>
                  </w:r>
                </w:p>
              </w:tc>
            </w:tr>
            <w:tr w14:paraId="0A93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4" w:type="dxa"/>
                  <w:vAlign w:val="center"/>
                </w:tcPr>
                <w:p w14:paraId="078730E1">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428" w:type="dxa"/>
                  <w:vMerge w:val="continue"/>
                  <w:vAlign w:val="center"/>
                </w:tcPr>
                <w:p w14:paraId="2A2E8EE9">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885" w:type="dxa"/>
                  <w:vAlign w:val="center"/>
                </w:tcPr>
                <w:p w14:paraId="60104E58">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对于不能再生的过滤材料、吸附剂及催化剂等净化材料，应按照国家固体废物管理的相关规定处理处置。</w:t>
                  </w:r>
                </w:p>
              </w:tc>
              <w:tc>
                <w:tcPr>
                  <w:tcW w:w="3004" w:type="dxa"/>
                  <w:vAlign w:val="center"/>
                </w:tcPr>
                <w:p w14:paraId="31FADD7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废包装材料、不合格品、边角料</w:t>
                  </w:r>
                  <w:r>
                    <w:rPr>
                      <w:rFonts w:hint="default" w:ascii="Times New Roman" w:hAnsi="Times New Roman" w:eastAsia="宋体" w:cs="Times New Roman"/>
                      <w:color w:val="000000" w:themeColor="text1"/>
                      <w:lang w:val="en-US" w:eastAsia="zh-CN"/>
                      <w14:textFill>
                        <w14:solidFill>
                          <w14:schemeClr w14:val="tx1"/>
                        </w14:solidFill>
                      </w14:textFill>
                    </w:rPr>
                    <w:t>定期外售至周边废品回收站进行资源化利用；</w:t>
                  </w:r>
                  <w:r>
                    <w:rPr>
                      <w:rFonts w:hint="default" w:ascii="Times New Roman" w:hAnsi="Times New Roman" w:eastAsia="宋体" w:cs="Times New Roman"/>
                      <w:b w:val="0"/>
                      <w:bCs w:val="0"/>
                      <w:color w:val="000000" w:themeColor="text1"/>
                      <w:lang w:val="en-US" w:eastAsia="zh-CN"/>
                      <w14:textFill>
                        <w14:solidFill>
                          <w14:schemeClr w14:val="tx1"/>
                        </w14:solidFill>
                      </w14:textFill>
                    </w:rPr>
                    <w:t>废陶瓷蓄热体委托RTO设备厂商进行更换，更换后由厂商带走进行处置</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本项目</w:t>
                  </w:r>
                  <w:r>
                    <w:rPr>
                      <w:rFonts w:hint="default" w:ascii="Times New Roman" w:hAnsi="Times New Roman" w:eastAsia="宋体" w:cs="Times New Roman"/>
                      <w:color w:val="000000" w:themeColor="text1"/>
                      <w:szCs w:val="21"/>
                      <w:lang w:eastAsia="zh-CN"/>
                      <w14:textFill>
                        <w14:solidFill>
                          <w14:schemeClr w14:val="tx1"/>
                        </w14:solidFill>
                      </w14:textFill>
                    </w:rPr>
                    <w:t>危险废物</w:t>
                  </w:r>
                  <w:r>
                    <w:rPr>
                      <w:rFonts w:hint="default" w:ascii="Times New Roman" w:hAnsi="Times New Roman" w:eastAsia="宋体" w:cs="Times New Roman"/>
                      <w:color w:val="000000" w:themeColor="text1"/>
                      <w:szCs w:val="21"/>
                      <w14:textFill>
                        <w14:solidFill>
                          <w14:schemeClr w14:val="tx1"/>
                        </w14:solidFill>
                      </w14:textFill>
                    </w:rPr>
                    <w:t>收集暂存于危废暂存间后，委托资质单位清运处置。</w:t>
                  </w:r>
                </w:p>
              </w:tc>
              <w:tc>
                <w:tcPr>
                  <w:tcW w:w="639" w:type="dxa"/>
                  <w:vAlign w:val="center"/>
                </w:tcPr>
                <w:p w14:paraId="66CA9172">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bl>
          <w:p w14:paraId="13C385A0">
            <w:pPr>
              <w:pStyle w:val="92"/>
              <w:pageBreakBefore w:val="0"/>
              <w:kinsoku/>
              <w:overflowPunct/>
              <w:topLinePunct w:val="0"/>
              <w:bidi w:val="0"/>
              <w:ind w:left="0" w:leftChars="0" w:right="0"/>
              <w:rPr>
                <w:rStyle w:val="40"/>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综上，</w:t>
            </w:r>
            <w:r>
              <w:rPr>
                <w:rFonts w:hint="default" w:ascii="Times New Roman" w:hAnsi="Times New Roman" w:eastAsia="宋体" w:cs="Times New Roman"/>
                <w:color w:val="000000" w:themeColor="text1"/>
                <w:kern w:val="0"/>
                <w14:textFill>
                  <w14:solidFill>
                    <w14:schemeClr w14:val="tx1"/>
                  </w14:solidFill>
                </w14:textFill>
              </w:rPr>
              <w:t>项目建设与</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挥发性有机物污染防治技术政策》相关要求相符。</w:t>
            </w:r>
          </w:p>
          <w:p w14:paraId="03DF3754">
            <w:pPr>
              <w:pStyle w:val="4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11、与《挥发性有机物无组织排放控制标准》（GB37822-2019）符合性分析</w:t>
            </w:r>
          </w:p>
          <w:p w14:paraId="3CC34A37">
            <w:pPr>
              <w:pStyle w:val="4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项目与《挥发性有机物无组织排放控制标准》（GB37822-2019）相符性分析见下表。</w:t>
            </w:r>
          </w:p>
          <w:p w14:paraId="259F1816">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default" w:ascii="Times New Roman" w:hAnsi="Times New Roman" w:eastAsia="宋体" w:cs="Times New Roman"/>
                <w:color w:val="000000" w:themeColor="text1"/>
                <w:lang w:val="en-US" w:eastAsia="zh-CN"/>
                <w14:textFill>
                  <w14:solidFill>
                    <w14:schemeClr w14:val="tx1"/>
                  </w14:solidFill>
                </w14:textFill>
              </w:rPr>
              <w:t>11</w:t>
            </w:r>
            <w:r>
              <w:rPr>
                <w:rFonts w:hint="default" w:ascii="Times New Roman" w:hAnsi="Times New Roman" w:eastAsia="宋体" w:cs="Times New Roman"/>
                <w:color w:val="000000" w:themeColor="text1"/>
                <w14:textFill>
                  <w14:solidFill>
                    <w14:schemeClr w14:val="tx1"/>
                  </w14:solidFill>
                </w14:textFill>
              </w:rPr>
              <w:t xml:space="preserve">  项目与</w:t>
            </w:r>
            <w:r>
              <w:rPr>
                <w:rFonts w:hint="default" w:ascii="Times New Roman" w:hAnsi="Times New Roman" w:eastAsia="宋体" w:cs="Times New Roman"/>
                <w:color w:val="000000" w:themeColor="text1"/>
                <w:lang w:val="en-US" w:eastAsia="zh-CN"/>
                <w14:textFill>
                  <w14:solidFill>
                    <w14:schemeClr w14:val="tx1"/>
                  </w14:solidFill>
                </w14:textFill>
              </w:rPr>
              <w:t>《挥发性有机物无组织排放控制标准》（GB37822-2019）</w:t>
            </w:r>
            <w:r>
              <w:rPr>
                <w:rFonts w:hint="default" w:ascii="Times New Roman" w:hAnsi="Times New Roman" w:eastAsia="宋体" w:cs="Times New Roman"/>
                <w:color w:val="000000" w:themeColor="text1"/>
                <w14:textFill>
                  <w14:solidFill>
                    <w14:schemeClr w14:val="tx1"/>
                  </w14:solidFill>
                </w14:textFill>
              </w:rPr>
              <w:t>符合性分析</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3592"/>
              <w:gridCol w:w="2328"/>
              <w:gridCol w:w="697"/>
            </w:tblGrid>
            <w:tr w14:paraId="79C1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5" w:type="dxa"/>
                  <w:gridSpan w:val="2"/>
                  <w:vAlign w:val="center"/>
                </w:tcPr>
                <w:p w14:paraId="030B0D47">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标准要求</w:t>
                  </w:r>
                </w:p>
              </w:tc>
              <w:tc>
                <w:tcPr>
                  <w:tcW w:w="2286" w:type="dxa"/>
                  <w:vAlign w:val="center"/>
                </w:tcPr>
                <w:p w14:paraId="299BFAD8">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项目情况</w:t>
                  </w:r>
                </w:p>
              </w:tc>
              <w:tc>
                <w:tcPr>
                  <w:tcW w:w="684" w:type="dxa"/>
                  <w:vAlign w:val="center"/>
                </w:tcPr>
                <w:p w14:paraId="09F4F4BB">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符合性</w:t>
                  </w:r>
                </w:p>
              </w:tc>
            </w:tr>
            <w:tr w14:paraId="730C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14:paraId="05C7071C">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物料储存无组织排放控制要求</w:t>
                  </w:r>
                </w:p>
              </w:tc>
              <w:tc>
                <w:tcPr>
                  <w:tcW w:w="3527" w:type="dxa"/>
                  <w:vAlign w:val="center"/>
                </w:tcPr>
                <w:p w14:paraId="58FE7A8E">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VOCs物料应储存于密闭的容器、包装袋、储罐、储库、仓库中。盛装VOCs物料的容器或包装袋应存放于室内，或存放于设置雨棚、遮阳和防渗设施的专用场地。盛装VOCs物料的容器或包装袋在非取用状态时应加盖、封口，保持密闭。VOCs物料储罐应密封良好。VOCs物料储库、仓库应为封闭式建筑，除人员、车辆、设备、物料进出时以及依法设立的排气筒、通风口外，门窗及其他开口（孔）部位应随时保持关闭状态。</w:t>
                  </w:r>
                </w:p>
              </w:tc>
              <w:tc>
                <w:tcPr>
                  <w:tcW w:w="2286" w:type="dxa"/>
                  <w:vAlign w:val="center"/>
                </w:tcPr>
                <w:p w14:paraId="282DEE9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本项目租用现有空置生产厂房进行建设，生产厂房为砖混结构，总层数为</w:t>
                  </w:r>
                  <w:r>
                    <w:rPr>
                      <w:rFonts w:hint="default" w:ascii="Times New Roman" w:hAnsi="Times New Roman" w:eastAsia="宋体" w:cs="Times New Roman"/>
                      <w:color w:val="000000" w:themeColor="text1"/>
                      <w:lang w:val="en-US" w:eastAsia="zh-CN"/>
                      <w14:textFill>
                        <w14:solidFill>
                          <w14:schemeClr w14:val="tx1"/>
                        </w14:solidFill>
                      </w14:textFill>
                    </w:rPr>
                    <w:t>4层，</w:t>
                  </w:r>
                  <w:r>
                    <w:rPr>
                      <w:rFonts w:hint="default" w:ascii="Times New Roman" w:hAnsi="Times New Roman" w:eastAsia="宋体" w:cs="Times New Roman"/>
                      <w:color w:val="000000" w:themeColor="text1"/>
                      <w:lang w:eastAsia="zh-CN"/>
                      <w14:textFill>
                        <w14:solidFill>
                          <w14:schemeClr w14:val="tx1"/>
                        </w14:solidFill>
                      </w14:textFill>
                    </w:rPr>
                    <w:t>本项目于生产厂房内设置</w:t>
                  </w:r>
                  <w:r>
                    <w:rPr>
                      <w:rFonts w:hint="default" w:ascii="Times New Roman" w:hAnsi="Times New Roman" w:eastAsia="宋体" w:cs="Times New Roman"/>
                      <w:color w:val="000000" w:themeColor="text1"/>
                      <w:lang w:val="en-US" w:eastAsia="zh-CN"/>
                      <w14:textFill>
                        <w14:solidFill>
                          <w14:schemeClr w14:val="tx1"/>
                        </w14:solidFill>
                      </w14:textFill>
                    </w:rPr>
                    <w:t>1间溶剂间用于存放油墨、胶粘剂、清洗剂等原料。油墨、胶粘剂、清洗剂等均为外购桶装原料，</w:t>
                  </w:r>
                  <w:r>
                    <w:rPr>
                      <w:rFonts w:hint="default" w:ascii="Times New Roman" w:hAnsi="Times New Roman" w:eastAsia="宋体" w:cs="Times New Roman"/>
                      <w:color w:val="000000" w:themeColor="text1"/>
                      <w14:textFill>
                        <w14:solidFill>
                          <w14:schemeClr w14:val="tx1"/>
                        </w14:solidFill>
                      </w14:textFill>
                    </w:rPr>
                    <w:t>非取用状态时</w:t>
                  </w:r>
                  <w:r>
                    <w:rPr>
                      <w:rFonts w:hint="default" w:ascii="Times New Roman" w:hAnsi="Times New Roman" w:eastAsia="宋体" w:cs="Times New Roman"/>
                      <w:color w:val="000000" w:themeColor="text1"/>
                      <w:lang w:eastAsia="zh-CN"/>
                      <w14:textFill>
                        <w14:solidFill>
                          <w14:schemeClr w14:val="tx1"/>
                        </w14:solidFill>
                      </w14:textFill>
                    </w:rPr>
                    <w:t>为</w:t>
                  </w:r>
                  <w:r>
                    <w:rPr>
                      <w:rFonts w:hint="default" w:ascii="Times New Roman" w:hAnsi="Times New Roman" w:eastAsia="宋体" w:cs="Times New Roman"/>
                      <w:color w:val="000000" w:themeColor="text1"/>
                      <w14:textFill>
                        <w14:solidFill>
                          <w14:schemeClr w14:val="tx1"/>
                        </w14:solidFill>
                      </w14:textFill>
                    </w:rPr>
                    <w:t>密闭</w:t>
                  </w:r>
                  <w:r>
                    <w:rPr>
                      <w:rFonts w:hint="default" w:ascii="Times New Roman" w:hAnsi="Times New Roman" w:eastAsia="宋体" w:cs="Times New Roman"/>
                      <w:color w:val="000000" w:themeColor="text1"/>
                      <w:lang w:eastAsia="zh-CN"/>
                      <w14:textFill>
                        <w14:solidFill>
                          <w14:schemeClr w14:val="tx1"/>
                        </w14:solidFill>
                      </w14:textFill>
                    </w:rPr>
                    <w:t>状态。</w:t>
                  </w:r>
                </w:p>
                <w:p w14:paraId="1F6CF1B1">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原料符合标准中对VOCs物料储存无组织排放控制要求。</w:t>
                  </w:r>
                </w:p>
              </w:tc>
              <w:tc>
                <w:tcPr>
                  <w:tcW w:w="684" w:type="dxa"/>
                  <w:vAlign w:val="center"/>
                </w:tcPr>
                <w:p w14:paraId="42AFA970">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79D1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14:paraId="19DE3AAA">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工艺过程VOCs无组织排放控制要求</w:t>
                  </w:r>
                </w:p>
              </w:tc>
              <w:tc>
                <w:tcPr>
                  <w:tcW w:w="3527" w:type="dxa"/>
                  <w:vAlign w:val="center"/>
                </w:tcPr>
                <w:p w14:paraId="3ABBA32E">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有机聚合物产品用于产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tc>
              <w:tc>
                <w:tcPr>
                  <w:tcW w:w="2286" w:type="dxa"/>
                  <w:vAlign w:val="center"/>
                </w:tcPr>
                <w:p w14:paraId="514516AA">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tc>
              <w:tc>
                <w:tcPr>
                  <w:tcW w:w="684" w:type="dxa"/>
                  <w:vAlign w:val="center"/>
                </w:tcPr>
                <w:p w14:paraId="1AACB0DF">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6152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14:paraId="698672D3">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VOCs无组织排放废气收集处理系统要求</w:t>
                  </w:r>
                </w:p>
              </w:tc>
              <w:tc>
                <w:tcPr>
                  <w:tcW w:w="3527" w:type="dxa"/>
                  <w:vAlign w:val="center"/>
                </w:tcPr>
                <w:p w14:paraId="6C357E34">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VOCs废气收集处理系统应与生产工艺设备同步运行。废气收集系统的输送管道应密闭。废气收集系统应在负压下运行，若处于正压状态，应对输送管道组件的密封点进行泄漏检</w:t>
                  </w:r>
                </w:p>
                <w:p w14:paraId="00070AF7">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测，泄漏检测值不应超过500umol/mol，亦不应有感官可察觉泄漏。</w:t>
                  </w:r>
                </w:p>
                <w:p w14:paraId="42BD0CC6">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VOCs废气收集处理系统污染物排放应符合GB16297或相关行业排放标准的规定。收集的废气中NMHC初始排放速率&gt;3kg/h时，应配置VOCs处理设施，处理效率不应低于80%。</w:t>
                  </w:r>
                </w:p>
              </w:tc>
              <w:tc>
                <w:tcPr>
                  <w:tcW w:w="2286" w:type="dxa"/>
                  <w:shd w:val="clear" w:color="auto" w:fill="auto"/>
                  <w:vAlign w:val="center"/>
                </w:tcPr>
                <w:p w14:paraId="0C50809F">
                  <w:pPr>
                    <w:pStyle w:val="125"/>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p w14:paraId="76E32721">
                  <w:pPr>
                    <w:pStyle w:val="125"/>
                    <w:pageBreakBefore w:val="0"/>
                    <w:kinsoku/>
                    <w:overflowPunct/>
                    <w:topLinePunct w:val="0"/>
                    <w:bidi w:val="0"/>
                    <w:ind w:left="0" w:leftChars="0" w:right="0" w:firstLine="0" w:firstLineChars="0"/>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根据工程分析，本项目废气初始排放速率约为</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0.7962kg/h</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w:t>
                  </w:r>
                </w:p>
                <w:p w14:paraId="13745DF8">
                  <w:pPr>
                    <w:pStyle w:val="125"/>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本项目RTO设备为三厢式结构设计，</w:t>
                  </w:r>
                  <w:r>
                    <w:rPr>
                      <w:rFonts w:hint="default" w:ascii="Times New Roman" w:hAnsi="Times New Roman" w:eastAsia="宋体" w:cs="Times New Roman"/>
                      <w:color w:val="000000" w:themeColor="text1"/>
                      <w:lang w:val="en-US" w:eastAsia="zh-CN"/>
                      <w14:textFill>
                        <w14:solidFill>
                          <w14:schemeClr w14:val="tx1"/>
                        </w14:solidFill>
                      </w14:textFill>
                    </w:rPr>
                    <w:t>参照《印刷工业污染防治可行技术指南》（</w:t>
                  </w:r>
                  <w:r>
                    <w:rPr>
                      <w:rFonts w:hint="default" w:ascii="Times New Roman" w:hAnsi="Times New Roman" w:eastAsia="宋体" w:cs="Times New Roman"/>
                      <w:color w:val="000000" w:themeColor="text1"/>
                      <w:lang w:eastAsia="zh-CN"/>
                      <w14:textFill>
                        <w14:solidFill>
                          <w14:schemeClr w14:val="tx1"/>
                        </w14:solidFill>
                      </w14:textFill>
                    </w:rPr>
                    <w:t>HJ1089—2020</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去除效率以95%计。</w:t>
                  </w:r>
                </w:p>
              </w:tc>
              <w:tc>
                <w:tcPr>
                  <w:tcW w:w="684" w:type="dxa"/>
                  <w:vAlign w:val="center"/>
                </w:tcPr>
                <w:p w14:paraId="1FEAD9A6">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bl>
          <w:p w14:paraId="56D17534">
            <w:pPr>
              <w:pStyle w:val="4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12、与</w:t>
            </w:r>
            <w:r>
              <w:rPr>
                <w:rFonts w:hint="default" w:ascii="Times New Roman" w:hAnsi="Times New Roman" w:eastAsia="宋体" w:cs="Times New Roman"/>
                <w:b/>
                <w:bCs/>
                <w:color w:val="000000" w:themeColor="text1"/>
                <w:spacing w:val="-4"/>
                <w:sz w:val="24"/>
                <w:szCs w:val="24"/>
                <w:lang w:eastAsia="zh-CN"/>
                <w14:textFill>
                  <w14:solidFill>
                    <w14:schemeClr w14:val="tx1"/>
                  </w14:solidFill>
                </w14:textFill>
              </w:rPr>
              <w:t>《塑料包装印刷挥发性有机物治理实用手册》（生态环境部</w:t>
            </w:r>
            <w:r>
              <w:rPr>
                <w:rFonts w:hint="default" w:ascii="Times New Roman" w:hAnsi="Times New Roman" w:eastAsia="宋体" w:cs="Times New Roman"/>
                <w:b/>
                <w:bCs/>
                <w:color w:val="000000" w:themeColor="text1"/>
                <w:spacing w:val="-4"/>
                <w:sz w:val="24"/>
                <w:szCs w:val="24"/>
                <w:lang w:val="en-US" w:eastAsia="zh-CN"/>
                <w14:textFill>
                  <w14:solidFill>
                    <w14:schemeClr w14:val="tx1"/>
                  </w14:solidFill>
                </w14:textFill>
              </w:rPr>
              <w:t>2020年7月2日发布</w:t>
            </w:r>
            <w:r>
              <w:rPr>
                <w:rFonts w:hint="default" w:ascii="Times New Roman" w:hAnsi="Times New Roman" w:eastAsia="宋体" w:cs="Times New Roman"/>
                <w:b/>
                <w:bCs/>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符合性分析</w:t>
            </w:r>
          </w:p>
          <w:p w14:paraId="1FEEF4E0">
            <w:pPr>
              <w:pStyle w:val="4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项目与《</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"https://www.mee.gov.cn/ywgz/dqhjbh/dqgdyhjgl/202007/W020200702389764829113.pdf"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塑料包装印刷挥发性有机物治理实用手册</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》相符性分析见下表。</w:t>
            </w:r>
          </w:p>
          <w:p w14:paraId="451AF7AD">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default" w:ascii="Times New Roman" w:hAnsi="Times New Roman" w:eastAsia="宋体" w:cs="Times New Roman"/>
                <w:color w:val="000000" w:themeColor="text1"/>
                <w:lang w:val="en-US" w:eastAsia="zh-CN"/>
                <w14:textFill>
                  <w14:solidFill>
                    <w14:schemeClr w14:val="tx1"/>
                  </w14:solidFill>
                </w14:textFill>
              </w:rPr>
              <w:t xml:space="preserve">12 </w:t>
            </w:r>
            <w:r>
              <w:rPr>
                <w:rFonts w:hint="default" w:ascii="Times New Roman" w:hAnsi="Times New Roman" w:eastAsia="宋体" w:cs="Times New Roman"/>
                <w:color w:val="000000" w:themeColor="text1"/>
                <w14:textFill>
                  <w14:solidFill>
                    <w14:schemeClr w14:val="tx1"/>
                  </w14:solidFill>
                </w14:textFill>
              </w:rPr>
              <w:t>项目与</w:t>
            </w:r>
            <w:r>
              <w:rPr>
                <w:rFonts w:hint="default" w:ascii="Times New Roman" w:hAnsi="Times New Roman" w:eastAsia="宋体" w:cs="Times New Roman"/>
                <w:color w:val="000000" w:themeColor="text1"/>
                <w:lang w:eastAsia="zh-CN"/>
                <w14:textFill>
                  <w14:solidFill>
                    <w14:schemeClr w14:val="tx1"/>
                  </w14:solidFill>
                </w14:textFill>
              </w:rPr>
              <w:t>《塑料包装印刷挥发性有机物治理实用手册》（生态环境部</w:t>
            </w:r>
            <w:r>
              <w:rPr>
                <w:rFonts w:hint="default" w:ascii="Times New Roman" w:hAnsi="Times New Roman" w:eastAsia="宋体" w:cs="Times New Roman"/>
                <w:color w:val="000000" w:themeColor="text1"/>
                <w:lang w:val="en-US" w:eastAsia="zh-CN"/>
                <w14:textFill>
                  <w14:solidFill>
                    <w14:schemeClr w14:val="tx1"/>
                  </w14:solidFill>
                </w14:textFill>
              </w:rPr>
              <w:t>2020年7月2日发布</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符合性分析</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3592"/>
              <w:gridCol w:w="2328"/>
              <w:gridCol w:w="697"/>
            </w:tblGrid>
            <w:tr w14:paraId="5A4E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66" w:type="dxa"/>
                  <w:gridSpan w:val="2"/>
                  <w:vAlign w:val="center"/>
                </w:tcPr>
                <w:p w14:paraId="2004D80A">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标准要求</w:t>
                  </w:r>
                </w:p>
              </w:tc>
              <w:tc>
                <w:tcPr>
                  <w:tcW w:w="2313" w:type="dxa"/>
                  <w:vAlign w:val="center"/>
                </w:tcPr>
                <w:p w14:paraId="03C93FF5">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项目情况</w:t>
                  </w:r>
                </w:p>
              </w:tc>
              <w:tc>
                <w:tcPr>
                  <w:tcW w:w="692" w:type="dxa"/>
                  <w:vAlign w:val="center"/>
                </w:tcPr>
                <w:p w14:paraId="7177A93A">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符合性</w:t>
                  </w:r>
                </w:p>
              </w:tc>
            </w:tr>
            <w:tr w14:paraId="08A2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Merge w:val="restart"/>
                  <w:vAlign w:val="center"/>
                </w:tcPr>
                <w:p w14:paraId="07868DC8">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一、源头削减</w:t>
                  </w:r>
                </w:p>
                <w:p w14:paraId="1758506A">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p>
              </w:tc>
              <w:tc>
                <w:tcPr>
                  <w:tcW w:w="3569" w:type="dxa"/>
                  <w:vAlign w:val="center"/>
                </w:tcPr>
                <w:p w14:paraId="76CE39D9">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（一）含VOCs原辅材料塑料包装印刷企业在2021年4月1日起使用的油墨中VOCs含量应符合包装印刷行业原辅材料VOCs含量限值的要求，在2020年12月1日起使用的胶粘剂、清洗剂和涂料中 VOCs含量应符合包装印刷行业原辅材料VOCs含量限值的要求。</w:t>
                  </w:r>
                </w:p>
              </w:tc>
              <w:tc>
                <w:tcPr>
                  <w:tcW w:w="2313" w:type="dxa"/>
                  <w:vAlign w:val="center"/>
                </w:tcPr>
                <w:p w14:paraId="7FDEF746">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本项目复合工序主要采用</w:t>
                  </w:r>
                  <w:r>
                    <w:rPr>
                      <w:rFonts w:hint="default" w:ascii="Times New Roman" w:hAnsi="Times New Roman" w:eastAsia="宋体" w:cs="Times New Roman"/>
                      <w:color w:val="000000" w:themeColor="text1"/>
                      <w14:textFill>
                        <w14:solidFill>
                          <w14:schemeClr w14:val="tx1"/>
                        </w14:solidFill>
                      </w14:textFill>
                    </w:rPr>
                    <w:t>无溶剂</w:t>
                  </w:r>
                  <w:r>
                    <w:rPr>
                      <w:rFonts w:hint="default" w:ascii="Times New Roman" w:hAnsi="Times New Roman" w:eastAsia="宋体" w:cs="Times New Roman"/>
                      <w:color w:val="000000" w:themeColor="text1"/>
                      <w:lang w:eastAsia="zh-CN"/>
                      <w14:textFill>
                        <w14:solidFill>
                          <w14:schemeClr w14:val="tx1"/>
                        </w14:solidFill>
                      </w14:textFill>
                    </w:rPr>
                    <w:t>聚氨酯胶粘剂，属于</w:t>
                  </w:r>
                  <w:r>
                    <w:rPr>
                      <w:rFonts w:hint="default" w:ascii="Times New Roman" w:hAnsi="Times New Roman" w:eastAsia="宋体" w:cs="Times New Roman"/>
                      <w:color w:val="000000" w:themeColor="text1"/>
                      <w14:textFill>
                        <w14:solidFill>
                          <w14:schemeClr w14:val="tx1"/>
                        </w14:solidFill>
                      </w14:textFill>
                    </w:rPr>
                    <w:t>低VOCs含量胶粘剂</w:t>
                  </w:r>
                  <w:r>
                    <w:rPr>
                      <w:rFonts w:hint="default" w:ascii="Times New Roman" w:hAnsi="Times New Roman" w:eastAsia="宋体" w:cs="Times New Roman"/>
                      <w:color w:val="000000" w:themeColor="text1"/>
                      <w:lang w:eastAsia="zh-CN"/>
                      <w14:textFill>
                        <w14:solidFill>
                          <w14:schemeClr w14:val="tx1"/>
                        </w14:solidFill>
                      </w14:textFill>
                    </w:rPr>
                    <w:t>。</w:t>
                  </w:r>
                </w:p>
                <w:p w14:paraId="351F4566">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本项目印版清洗采用油墨清洗剂，</w:t>
                  </w:r>
                  <w:r>
                    <w:rPr>
                      <w:rFonts w:hint="default" w:ascii="Times New Roman" w:hAnsi="Times New Roman" w:eastAsia="宋体" w:cs="Times New Roman"/>
                      <w:color w:val="000000" w:themeColor="text1"/>
                      <w:lang w:eastAsia="zh-CN"/>
                      <w14:textFill>
                        <w14:solidFill>
                          <w14:schemeClr w14:val="tx1"/>
                        </w14:solidFill>
                      </w14:textFill>
                    </w:rPr>
                    <w:t>属于</w:t>
                  </w:r>
                  <w:r>
                    <w:rPr>
                      <w:rFonts w:hint="default" w:ascii="Times New Roman" w:hAnsi="Times New Roman" w:eastAsia="宋体" w:cs="Times New Roman"/>
                      <w:color w:val="000000" w:themeColor="text1"/>
                      <w14:textFill>
                        <w14:solidFill>
                          <w14:schemeClr w14:val="tx1"/>
                        </w14:solidFill>
                      </w14:textFill>
                    </w:rPr>
                    <w:t>低VOCs含量</w:t>
                  </w:r>
                  <w:r>
                    <w:rPr>
                      <w:rFonts w:hint="default" w:ascii="Times New Roman" w:hAnsi="Times New Roman" w:eastAsia="宋体" w:cs="Times New Roman"/>
                      <w:color w:val="000000" w:themeColor="text1"/>
                      <w:lang w:eastAsia="zh-CN"/>
                      <w14:textFill>
                        <w14:solidFill>
                          <w14:schemeClr w14:val="tx1"/>
                        </w14:solidFill>
                      </w14:textFill>
                    </w:rPr>
                    <w:t>清洗剂。</w:t>
                  </w:r>
                </w:p>
              </w:tc>
              <w:tc>
                <w:tcPr>
                  <w:tcW w:w="692" w:type="dxa"/>
                  <w:vAlign w:val="center"/>
                </w:tcPr>
                <w:p w14:paraId="752F11FD">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239A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7" w:type="dxa"/>
                  <w:vMerge w:val="continue"/>
                  <w:vAlign w:val="center"/>
                </w:tcPr>
                <w:p w14:paraId="1889335A">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p>
              </w:tc>
              <w:tc>
                <w:tcPr>
                  <w:tcW w:w="3569" w:type="dxa"/>
                  <w:vAlign w:val="center"/>
                </w:tcPr>
                <w:p w14:paraId="4C2E9CE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（二）印刷工艺</w:t>
                  </w:r>
                </w:p>
                <w:p w14:paraId="544C6610">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1、塑料包装印刷企业宜采用无溶剂复合技术、共挤出复合技术代替干式复合技术。</w:t>
                  </w:r>
                </w:p>
                <w:p w14:paraId="71ADB855">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2、塑料包装印刷产品宜优化设计，在满足产品功能的前提下尽量减少图文部分覆盖比例、印刷色数、墨层厚度及复合层数</w:t>
                  </w:r>
                </w:p>
                <w:p w14:paraId="09B210B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3、新建、改建、扩建项目优先选择柔版印刷、水性凹版印刷、UV凹版印刷等污染物产生水平较低的印刷工艺</w:t>
                  </w:r>
                </w:p>
              </w:tc>
              <w:tc>
                <w:tcPr>
                  <w:tcW w:w="2313" w:type="dxa"/>
                  <w:vAlign w:val="center"/>
                </w:tcPr>
                <w:p w14:paraId="5B6EAA07">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本项目设置有3台无溶剂复合机，主要采用无溶剂复合技术。</w:t>
                  </w:r>
                </w:p>
                <w:p w14:paraId="4375A69E">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由于市场原因，少部分产品仍需进行干式复合，本项目设置有1台干式复合机。</w:t>
                  </w:r>
                </w:p>
                <w:p w14:paraId="62AB7843">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本项目采用凹版印刷</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692" w:type="dxa"/>
                  <w:vAlign w:val="center"/>
                </w:tcPr>
                <w:p w14:paraId="266B2ED7">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40BA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Merge w:val="restart"/>
                  <w:vAlign w:val="center"/>
                </w:tcPr>
                <w:p w14:paraId="5D6BA0A4">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二、过程控制</w:t>
                  </w:r>
                </w:p>
                <w:p w14:paraId="4266DDE0">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p>
              </w:tc>
              <w:tc>
                <w:tcPr>
                  <w:tcW w:w="3569" w:type="dxa"/>
                  <w:vAlign w:val="center"/>
                </w:tcPr>
                <w:p w14:paraId="6C2D9832">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（一）储存</w:t>
                  </w:r>
                </w:p>
                <w:p w14:paraId="5E3A9643">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1、油墨、稀释剂、胶粘剂等 VOCs 物料应储存于密闭的容器或包装袋中。2、盛装 VOCs 物料的容器或包装袋应存放于室内，或存放于设置有雨棚、遮阳和防渗设施的专用场地。盛装VOCs 物料的容器或包装袋在非取用状态时应加盖、封口，保持密闭。3、废油墨、废清洗剂、废活性炭、废擦机布等含 VOCs的危险废物，宜分类放置于贴有标识的容器或包装袋内，加盖、封口，保持密闭，并及时转运、处置，减少在车间或危废库中的存放时间。</w:t>
                  </w:r>
                </w:p>
              </w:tc>
              <w:tc>
                <w:tcPr>
                  <w:tcW w:w="2313" w:type="dxa"/>
                  <w:shd w:val="clear" w:color="auto" w:fill="auto"/>
                  <w:vAlign w:val="center"/>
                </w:tcPr>
                <w:p w14:paraId="3D91E067">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本项目租用现有空置生产厂房进行建设，生产厂房为砖混结构，总层数为</w:t>
                  </w:r>
                  <w:r>
                    <w:rPr>
                      <w:rFonts w:hint="default" w:ascii="Times New Roman" w:hAnsi="Times New Roman" w:eastAsia="宋体" w:cs="Times New Roman"/>
                      <w:color w:val="000000" w:themeColor="text1"/>
                      <w:lang w:val="en-US" w:eastAsia="zh-CN"/>
                      <w14:textFill>
                        <w14:solidFill>
                          <w14:schemeClr w14:val="tx1"/>
                        </w14:solidFill>
                      </w14:textFill>
                    </w:rPr>
                    <w:t>4层，</w:t>
                  </w:r>
                  <w:r>
                    <w:rPr>
                      <w:rFonts w:hint="default" w:ascii="Times New Roman" w:hAnsi="Times New Roman" w:eastAsia="宋体" w:cs="Times New Roman"/>
                      <w:color w:val="000000" w:themeColor="text1"/>
                      <w:lang w:eastAsia="zh-CN"/>
                      <w14:textFill>
                        <w14:solidFill>
                          <w14:schemeClr w14:val="tx1"/>
                        </w14:solidFill>
                      </w14:textFill>
                    </w:rPr>
                    <w:t>本项目于生产厂房内设置</w:t>
                  </w:r>
                  <w:r>
                    <w:rPr>
                      <w:rFonts w:hint="default" w:ascii="Times New Roman" w:hAnsi="Times New Roman" w:eastAsia="宋体" w:cs="Times New Roman"/>
                      <w:color w:val="000000" w:themeColor="text1"/>
                      <w:lang w:val="en-US" w:eastAsia="zh-CN"/>
                      <w14:textFill>
                        <w14:solidFill>
                          <w14:schemeClr w14:val="tx1"/>
                        </w14:solidFill>
                      </w14:textFill>
                    </w:rPr>
                    <w:t>1间溶剂间用于存放油墨、胶粘剂、清洗剂等原料。油墨、胶粘剂、清洗剂等均为外购桶装原料，</w:t>
                  </w:r>
                  <w:r>
                    <w:rPr>
                      <w:rFonts w:hint="default" w:ascii="Times New Roman" w:hAnsi="Times New Roman" w:eastAsia="宋体" w:cs="Times New Roman"/>
                      <w:color w:val="000000" w:themeColor="text1"/>
                      <w14:textFill>
                        <w14:solidFill>
                          <w14:schemeClr w14:val="tx1"/>
                        </w14:solidFill>
                      </w14:textFill>
                    </w:rPr>
                    <w:t>非取用状态时</w:t>
                  </w:r>
                  <w:r>
                    <w:rPr>
                      <w:rFonts w:hint="default" w:ascii="Times New Roman" w:hAnsi="Times New Roman" w:eastAsia="宋体" w:cs="Times New Roman"/>
                      <w:color w:val="000000" w:themeColor="text1"/>
                      <w:lang w:eastAsia="zh-CN"/>
                      <w14:textFill>
                        <w14:solidFill>
                          <w14:schemeClr w14:val="tx1"/>
                        </w14:solidFill>
                      </w14:textFill>
                    </w:rPr>
                    <w:t>为</w:t>
                  </w:r>
                  <w:r>
                    <w:rPr>
                      <w:rFonts w:hint="default" w:ascii="Times New Roman" w:hAnsi="Times New Roman" w:eastAsia="宋体" w:cs="Times New Roman"/>
                      <w:color w:val="000000" w:themeColor="text1"/>
                      <w14:textFill>
                        <w14:solidFill>
                          <w14:schemeClr w14:val="tx1"/>
                        </w14:solidFill>
                      </w14:textFill>
                    </w:rPr>
                    <w:t>密闭</w:t>
                  </w:r>
                  <w:r>
                    <w:rPr>
                      <w:rFonts w:hint="default" w:ascii="Times New Roman" w:hAnsi="Times New Roman" w:eastAsia="宋体" w:cs="Times New Roman"/>
                      <w:color w:val="000000" w:themeColor="text1"/>
                      <w:lang w:eastAsia="zh-CN"/>
                      <w14:textFill>
                        <w14:solidFill>
                          <w14:schemeClr w14:val="tx1"/>
                        </w14:solidFill>
                      </w14:textFill>
                    </w:rPr>
                    <w:t>状态。</w:t>
                  </w:r>
                </w:p>
                <w:p w14:paraId="6D59EE82">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原料符合标准中对VOCs物料储存无组织排放控制要求。</w:t>
                  </w:r>
                </w:p>
                <w:p w14:paraId="77F4371E">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本项目设置有1间危废暂存间，危险废物经收集后分区、分类暂存于危废暂存间内，定期委托有资质单位处置。</w:t>
                  </w:r>
                </w:p>
              </w:tc>
              <w:tc>
                <w:tcPr>
                  <w:tcW w:w="692" w:type="dxa"/>
                  <w:vAlign w:val="center"/>
                </w:tcPr>
                <w:p w14:paraId="6DE71923">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360F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Merge w:val="continue"/>
                  <w:vAlign w:val="center"/>
                </w:tcPr>
                <w:p w14:paraId="652EEF45">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3569" w:type="dxa"/>
                  <w:vAlign w:val="center"/>
                </w:tcPr>
                <w:p w14:paraId="59CAB1E2">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（二）调配</w:t>
                  </w:r>
                </w:p>
                <w:p w14:paraId="43718C4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油墨、胶粘剂等VOCs物料的调配过程应采用密闭设备或在密闭空间内操作，废气应排至VOCs废气收集处理系统；无法密闭的，应采取局部气体收集措施，废气应排至VOCs废气收集处理系统。</w:t>
                  </w:r>
                </w:p>
              </w:tc>
              <w:tc>
                <w:tcPr>
                  <w:tcW w:w="2313" w:type="dxa"/>
                  <w:shd w:val="clear" w:color="auto" w:fill="auto"/>
                  <w:vAlign w:val="center"/>
                </w:tcPr>
                <w:p w14:paraId="21941857">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项目设置有密闭溶剂间，</w:t>
                  </w:r>
                  <w:r>
                    <w:rPr>
                      <w:rFonts w:hint="default" w:ascii="Times New Roman" w:hAnsi="Times New Roman" w:eastAsia="宋体" w:cs="Times New Roman"/>
                      <w:color w:val="000000" w:themeColor="text1"/>
                      <w:lang w:val="en-US" w:eastAsia="zh-CN"/>
                      <w14:textFill>
                        <w14:solidFill>
                          <w14:schemeClr w14:val="tx1"/>
                        </w14:solidFill>
                      </w14:textFill>
                    </w:rPr>
                    <w:t>本项目采用人工调墨，工作人员在溶剂间调墨桶中配比调墨。溶剂间废气经收集后废气收集后引至一套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处理后通过22m高排气筒DA001排放。</w:t>
                  </w:r>
                </w:p>
              </w:tc>
              <w:tc>
                <w:tcPr>
                  <w:tcW w:w="692" w:type="dxa"/>
                  <w:vAlign w:val="center"/>
                </w:tcPr>
                <w:p w14:paraId="2C188246">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20BD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Merge w:val="continue"/>
                  <w:vAlign w:val="center"/>
                </w:tcPr>
                <w:p w14:paraId="5AAD41C0">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3569" w:type="dxa"/>
                  <w:vAlign w:val="center"/>
                </w:tcPr>
                <w:p w14:paraId="3451FC9D">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（三）输送</w:t>
                  </w:r>
                </w:p>
                <w:p w14:paraId="46E30BF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1、液态VOCs物料应采用密闭管道输送。采用非管道输送方式转移液态 VOCs 物料时，应采用密闭容器。2、向墨槽中添加油墨或稀释剂时宜采用漏斗或软管等接驳工具，减少供墨过程中 VOCs 的逸散。</w:t>
                  </w:r>
                </w:p>
              </w:tc>
              <w:tc>
                <w:tcPr>
                  <w:tcW w:w="2313" w:type="dxa"/>
                  <w:shd w:val="clear" w:color="auto" w:fill="auto"/>
                  <w:vAlign w:val="center"/>
                </w:tcPr>
                <w:p w14:paraId="18A56030">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本项目生产厂房内设置有</w:t>
                  </w:r>
                  <w:r>
                    <w:rPr>
                      <w:rFonts w:hint="default" w:ascii="Times New Roman" w:hAnsi="Times New Roman" w:eastAsia="宋体" w:cs="Times New Roman"/>
                      <w:color w:val="000000" w:themeColor="text1"/>
                      <w:lang w:val="en-US" w:eastAsia="zh-CN"/>
                      <w14:textFill>
                        <w14:solidFill>
                          <w14:schemeClr w14:val="tx1"/>
                        </w14:solidFill>
                      </w14:textFill>
                    </w:rPr>
                    <w:t>1间溶剂间用于存放油墨、胶粘剂、清洗剂等原料。油墨、胶粘剂、清洗剂等均为外购密闭桶装，</w:t>
                  </w:r>
                  <w:r>
                    <w:rPr>
                      <w:rFonts w:hint="default" w:ascii="Times New Roman" w:hAnsi="Times New Roman" w:eastAsia="宋体" w:cs="Times New Roman"/>
                      <w:color w:val="000000" w:themeColor="text1"/>
                      <w14:textFill>
                        <w14:solidFill>
                          <w14:schemeClr w14:val="tx1"/>
                        </w14:solidFill>
                      </w14:textFill>
                    </w:rPr>
                    <w:t>非取用状态时</w:t>
                  </w:r>
                  <w:r>
                    <w:rPr>
                      <w:rFonts w:hint="default" w:ascii="Times New Roman" w:hAnsi="Times New Roman" w:eastAsia="宋体" w:cs="Times New Roman"/>
                      <w:color w:val="000000" w:themeColor="text1"/>
                      <w:lang w:eastAsia="zh-CN"/>
                      <w14:textFill>
                        <w14:solidFill>
                          <w14:schemeClr w14:val="tx1"/>
                        </w14:solidFill>
                      </w14:textFill>
                    </w:rPr>
                    <w:t>为</w:t>
                  </w:r>
                  <w:r>
                    <w:rPr>
                      <w:rFonts w:hint="default" w:ascii="Times New Roman" w:hAnsi="Times New Roman" w:eastAsia="宋体" w:cs="Times New Roman"/>
                      <w:color w:val="000000" w:themeColor="text1"/>
                      <w14:textFill>
                        <w14:solidFill>
                          <w14:schemeClr w14:val="tx1"/>
                        </w14:solidFill>
                      </w14:textFill>
                    </w:rPr>
                    <w:t>密闭</w:t>
                  </w:r>
                  <w:r>
                    <w:rPr>
                      <w:rFonts w:hint="default" w:ascii="Times New Roman" w:hAnsi="Times New Roman" w:eastAsia="宋体" w:cs="Times New Roman"/>
                      <w:color w:val="000000" w:themeColor="text1"/>
                      <w:lang w:eastAsia="zh-CN"/>
                      <w14:textFill>
                        <w14:solidFill>
                          <w14:schemeClr w14:val="tx1"/>
                        </w14:solidFill>
                      </w14:textFill>
                    </w:rPr>
                    <w:t>状态。</w:t>
                  </w:r>
                </w:p>
              </w:tc>
              <w:tc>
                <w:tcPr>
                  <w:tcW w:w="692" w:type="dxa"/>
                  <w:vAlign w:val="center"/>
                </w:tcPr>
                <w:p w14:paraId="2BAAA1FE">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3B8D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Merge w:val="continue"/>
                  <w:vAlign w:val="center"/>
                </w:tcPr>
                <w:p w14:paraId="49250309">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3569" w:type="dxa"/>
                  <w:vAlign w:val="center"/>
                </w:tcPr>
                <w:p w14:paraId="1BF3EDDF">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（四）印刷</w:t>
                  </w:r>
                </w:p>
                <w:p w14:paraId="475AEEC0">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1、印刷过程应在密闭空间内操作，废气应排至 VOCs废气收集处理系统；无法密闭的，应采取局部气体收集措施，废气应排至 VOCs 废气收集处理系统。2、使用溶剂型油墨的凹版、凸版印刷工艺宜采用配备封闭刮刀的印刷机，或采取安装墨槽盖板、改变墨槽开口形状等措施，缩小供墨系统敞开液面面积。3、送风或吸风口应避免正对墨盘，防止溶剂加速挥发。</w:t>
                  </w:r>
                </w:p>
              </w:tc>
              <w:tc>
                <w:tcPr>
                  <w:tcW w:w="2313" w:type="dxa"/>
                  <w:shd w:val="clear" w:color="auto" w:fill="auto"/>
                  <w:vAlign w:val="center"/>
                </w:tcPr>
                <w:p w14:paraId="762A4E7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根据相关资料，印刷机设置全封闭结构墨槽，</w:t>
                  </w:r>
                  <w:r>
                    <w:rPr>
                      <w:rFonts w:hint="default" w:ascii="Times New Roman" w:hAnsi="Times New Roman" w:eastAsia="宋体" w:cs="Times New Roman"/>
                      <w:color w:val="000000" w:themeColor="text1"/>
                      <w14:textFill>
                        <w14:solidFill>
                          <w14:schemeClr w14:val="tx1"/>
                        </w14:solidFill>
                      </w14:textFill>
                    </w:rPr>
                    <w:t>油墨在墨槽内无死角循环流动，防止油墨飞溅</w:t>
                  </w:r>
                  <w:r>
                    <w:rPr>
                      <w:rFonts w:hint="default" w:ascii="Times New Roman" w:hAnsi="Times New Roman" w:eastAsia="宋体" w:cs="Times New Roman"/>
                      <w:color w:val="000000" w:themeColor="text1"/>
                      <w:lang w:val="en-US" w:eastAsia="zh-CN"/>
                      <w14:textFill>
                        <w14:solidFill>
                          <w14:schemeClr w14:val="tx1"/>
                        </w14:solidFill>
                      </w14:textFill>
                    </w:rPr>
                    <w:t>；</w:t>
                  </w:r>
                </w:p>
                <w:p w14:paraId="2113CD8D">
                  <w:pPr>
                    <w:pStyle w:val="125"/>
                    <w:pageBreakBefore w:val="0"/>
                    <w:kinsoku/>
                    <w:overflowPunct/>
                    <w:topLinePunct w:val="0"/>
                    <w:bidi w:val="0"/>
                    <w:ind w:left="0" w:leftChars="0" w:right="0"/>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印刷机上方设置有集气罩，废气经集气罩收集后进入</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p w14:paraId="5510E51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污染物经处理后达标排放，对外环境影响不大。</w:t>
                  </w:r>
                </w:p>
              </w:tc>
              <w:tc>
                <w:tcPr>
                  <w:tcW w:w="692" w:type="dxa"/>
                  <w:vAlign w:val="center"/>
                </w:tcPr>
                <w:p w14:paraId="3164EBC5">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5F96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Merge w:val="continue"/>
                  <w:vAlign w:val="center"/>
                </w:tcPr>
                <w:p w14:paraId="3D30E63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3569" w:type="dxa"/>
                  <w:vAlign w:val="center"/>
                </w:tcPr>
                <w:p w14:paraId="3F8AEC73">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（五）复合/覆膜/涂布/上光</w:t>
                  </w:r>
                </w:p>
                <w:p w14:paraId="452DDA55">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1、复合、覆膜、涂布及上光过程应在密闭设备或密闭空间内操作，废气应排至 VOCs 废气收集处理系统；无法密闭的，应采取局部气体收集措施，废气应排至 VOCs废气收集处理系统。2、使用溶剂型胶粘剂的复合或覆膜工序，宜采取安装胶槽盖板或对复合/覆膜机进行局部围挡等措施，减少VOCs 的逸散。</w:t>
                  </w:r>
                </w:p>
              </w:tc>
              <w:tc>
                <w:tcPr>
                  <w:tcW w:w="2313" w:type="dxa"/>
                  <w:shd w:val="clear" w:color="auto" w:fill="auto"/>
                  <w:vAlign w:val="center"/>
                </w:tcPr>
                <w:p w14:paraId="3CC35A8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印刷、复合、制袋、熟化工序</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有机废气</w:t>
                  </w:r>
                  <w:r>
                    <w:rPr>
                      <w:rFonts w:hint="default" w:ascii="Times New Roman" w:hAnsi="Times New Roman" w:eastAsia="宋体" w:cs="Times New Roman"/>
                      <w:color w:val="000000" w:themeColor="text1"/>
                      <w:lang w:eastAsia="zh-CN"/>
                      <w14:textFill>
                        <w14:solidFill>
                          <w14:schemeClr w14:val="tx1"/>
                        </w14:solidFill>
                      </w14:textFill>
                    </w:rPr>
                    <w:t>以及溶剂间</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处理后通过1根22m高排气筒DA001排放。污染物经处理后达标排放，对外环境影响不大</w:t>
                  </w:r>
                </w:p>
              </w:tc>
              <w:tc>
                <w:tcPr>
                  <w:tcW w:w="692" w:type="dxa"/>
                  <w:vAlign w:val="center"/>
                </w:tcPr>
                <w:p w14:paraId="377DB248">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7FE0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Merge w:val="continue"/>
                  <w:vAlign w:val="center"/>
                </w:tcPr>
                <w:p w14:paraId="3CB14FE0">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3569" w:type="dxa"/>
                  <w:vAlign w:val="center"/>
                </w:tcPr>
                <w:p w14:paraId="050AB207">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（六）烘干</w:t>
                  </w:r>
                </w:p>
                <w:p w14:paraId="7397555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1、应提高烘箱的密闭性，减少因烘箱漏风造成的 VOCs无组织排放。2、应控制烘箱送风、排风量，使烘箱内部保持微负压。</w:t>
                  </w:r>
                </w:p>
              </w:tc>
              <w:tc>
                <w:tcPr>
                  <w:tcW w:w="2313" w:type="dxa"/>
                  <w:shd w:val="clear" w:color="auto" w:fill="auto"/>
                  <w:vAlign w:val="center"/>
                </w:tcPr>
                <w:p w14:paraId="63346648">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本环评建议建设单位在熟化工序结束后收集熟化室内的废气并引入RTO废气处理系统处理。</w:t>
                  </w:r>
                </w:p>
              </w:tc>
              <w:tc>
                <w:tcPr>
                  <w:tcW w:w="692" w:type="dxa"/>
                  <w:vAlign w:val="center"/>
                </w:tcPr>
                <w:p w14:paraId="1FE5A449">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2435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Merge w:val="continue"/>
                  <w:vAlign w:val="center"/>
                </w:tcPr>
                <w:p w14:paraId="699D6286">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3569" w:type="dxa"/>
                  <w:vAlign w:val="center"/>
                </w:tcPr>
                <w:p w14:paraId="468D4B6F">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（七）清洗</w:t>
                  </w:r>
                </w:p>
                <w:p w14:paraId="1EB09FC6">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1、集中清洗应在密闭设备或密闭空间内操作，废气应排至 VOCs 废气收集处理系统；无法密闭的，应采取局部气体收集措施，废气应排至 VOCs 废气收集处理系统。2、宜根据生产需要和工作规程，合理控制油墨清洗剂的使用量。</w:t>
                  </w:r>
                </w:p>
              </w:tc>
              <w:tc>
                <w:tcPr>
                  <w:tcW w:w="2313" w:type="dxa"/>
                  <w:shd w:val="clear" w:color="auto" w:fill="auto"/>
                  <w:vAlign w:val="center"/>
                </w:tcPr>
                <w:p w14:paraId="13865D66">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本项目生产过程中不产生生产废水，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对印刷设备进行清理时均采用抹布蘸取少量油墨清洗剂对设备进行擦拭，无清洗废水产生</w:t>
                  </w:r>
                  <w:r>
                    <w:rPr>
                      <w:rFonts w:hint="default" w:ascii="Times New Roman" w:hAnsi="Times New Roman" w:eastAsia="宋体" w:cs="Times New Roman"/>
                      <w:color w:val="000000" w:themeColor="text1"/>
                      <w14:textFill>
                        <w14:solidFill>
                          <w14:schemeClr w14:val="tx1"/>
                        </w14:solidFill>
                      </w14:textFill>
                    </w:rPr>
                    <w:t>。</w:t>
                  </w:r>
                </w:p>
              </w:tc>
              <w:tc>
                <w:tcPr>
                  <w:tcW w:w="692" w:type="dxa"/>
                  <w:vAlign w:val="center"/>
                </w:tcPr>
                <w:p w14:paraId="5CA9B2C2">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7AC2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Align w:val="center"/>
                </w:tcPr>
                <w:p w14:paraId="5340258C">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三、末端处理</w:t>
                  </w:r>
                </w:p>
                <w:p w14:paraId="3CDAB135">
                  <w:pPr>
                    <w:pStyle w:val="125"/>
                    <w:pageBreakBefore w:val="0"/>
                    <w:kinsoku/>
                    <w:overflowPunct/>
                    <w:topLinePunct w:val="0"/>
                    <w:bidi w:val="0"/>
                    <w:ind w:left="0" w:leftChars="0" w:right="0"/>
                    <w:rPr>
                      <w:rFonts w:hint="default" w:ascii="Times New Roman" w:hAnsi="Times New Roman" w:eastAsia="宋体" w:cs="Times New Roman"/>
                      <w:b w:val="0"/>
                      <w:bCs w:val="0"/>
                      <w:color w:val="000000" w:themeColor="text1"/>
                      <w:lang w:val="en-US" w:eastAsia="zh-CN"/>
                      <w14:textFill>
                        <w14:solidFill>
                          <w14:schemeClr w14:val="tx1"/>
                        </w14:solidFill>
                      </w14:textFill>
                    </w:rPr>
                  </w:pPr>
                </w:p>
              </w:tc>
              <w:tc>
                <w:tcPr>
                  <w:tcW w:w="3569" w:type="dxa"/>
                  <w:vAlign w:val="center"/>
                </w:tcPr>
                <w:p w14:paraId="541434C1">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（一）凹版印刷</w:t>
                  </w:r>
                  <w:r>
                    <w:rPr>
                      <w:rFonts w:hint="default" w:ascii="Times New Roman" w:hAnsi="Times New Roman" w:eastAsia="宋体" w:cs="Times New Roman"/>
                      <w:color w:val="000000" w:themeColor="text1"/>
                      <w:lang w:val="en-US" w:eastAsia="zh-CN"/>
                      <w14:textFill>
                        <w14:solidFill>
                          <w14:schemeClr w14:val="tx1"/>
                        </w14:solidFill>
                      </w14:textFill>
                    </w:rPr>
                    <w:t>1、溶剂型凹版印刷无组织废气经收集后宜采用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吸附+冷凝</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的治理工艺进行处理。目前较为成熟的治理技术路线为</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活性炭吸附+热氮气再生+冷凝回收</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活性炭吸附/旋转式分子筛吸附浓缩+RTO/CO</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，或与烘干有组织废气合并后通过</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工艺处理。2、溶剂型凹版印刷烘干废气宜采用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吸附+冷凝</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的治理工艺进行处理。目前较为成熟的技术路线为</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活性炭吸附+热氮气再生+冷凝回收</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减风增浓+RTO/CO</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。3、水性凹版印刷及烘干废气宜采用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或其他等效方式处理。</w:t>
                  </w:r>
                </w:p>
                <w:p w14:paraId="35DB3EF8">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（二）柔版印刷</w:t>
                  </w:r>
                  <w:r>
                    <w:rPr>
                      <w:rFonts w:hint="default" w:ascii="Times New Roman" w:hAnsi="Times New Roman" w:eastAsia="宋体" w:cs="Times New Roman"/>
                      <w:color w:val="000000" w:themeColor="text1"/>
                      <w:lang w:val="en-US" w:eastAsia="zh-CN"/>
                      <w14:textFill>
                        <w14:solidFill>
                          <w14:schemeClr w14:val="tx1"/>
                        </w14:solidFill>
                      </w14:textFill>
                    </w:rPr>
                    <w:t>1、溶剂型柔版印刷及烘干废气宜采用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的治理工艺进行处理。目前较为成熟的技术路线为</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旋转式分子筛吸附浓缩+RTO</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活性炭吸附/旋转式分子筛吸附浓缩+CO</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p>
                <w:p w14:paraId="37DEC2C9">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（三）复合</w:t>
                  </w:r>
                  <w:r>
                    <w:rPr>
                      <w:rFonts w:hint="default" w:ascii="Times New Roman" w:hAnsi="Times New Roman" w:eastAsia="宋体" w:cs="Times New Roman"/>
                      <w:color w:val="000000" w:themeColor="text1"/>
                      <w:lang w:val="en-US" w:eastAsia="zh-CN"/>
                      <w14:textFill>
                        <w14:solidFill>
                          <w14:schemeClr w14:val="tx1"/>
                        </w14:solidFill>
                      </w14:textFill>
                    </w:rPr>
                    <w:t>1、干式复合无组织废气经收集后宜采用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吸附+冷凝</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的治理工艺进行处理。目前较为成熟的技术路线为</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活性炭吸附+热氮气再生+冷凝回收</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活性炭吸附/旋转式分子筛吸附浓缩+RTO/CO</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，或与烘干有组织废气合并后通过</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工艺处理。2、干式复合烘干废气宜采用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吸附+冷凝</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的治理工艺进行处理。目前较为成熟的技术路线为</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活性炭吸附+热氮气再生+冷凝回收</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减风增浓+RTO/CO</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p>
                <w:p w14:paraId="493B911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（四）涂布</w:t>
                  </w:r>
                  <w:r>
                    <w:rPr>
                      <w:rFonts w:hint="default" w:ascii="Times New Roman" w:hAnsi="Times New Roman" w:eastAsia="宋体" w:cs="Times New Roman"/>
                      <w:color w:val="000000" w:themeColor="text1"/>
                      <w:lang w:val="en-US" w:eastAsia="zh-CN"/>
                      <w14:textFill>
                        <w14:solidFill>
                          <w14:schemeClr w14:val="tx1"/>
                        </w14:solidFill>
                      </w14:textFill>
                    </w:rPr>
                    <w:t>1、涂布无组织废气经收集后宜采用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的治理工艺进行处理。目前较为成熟的技术路线为</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活性炭吸附/旋转式分子筛吸附浓缩+RTO/CO</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，或与烘干有组织废气合并后通过</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工艺处理。2、涂布烘干废气宜通过采用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的治理工艺进行处理。典型治理技术路线为</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减风增浓+RTO/TO</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p>
                <w:p w14:paraId="5393E70E">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（五）覆膜/上光</w:t>
                  </w:r>
                  <w:r>
                    <w:rPr>
                      <w:rFonts w:hint="default" w:ascii="Times New Roman" w:hAnsi="Times New Roman" w:eastAsia="宋体" w:cs="Times New Roman"/>
                      <w:color w:val="000000" w:themeColor="text1"/>
                      <w:lang w:val="en-US" w:eastAsia="zh-CN"/>
                      <w14:textFill>
                        <w14:solidFill>
                          <w14:schemeClr w14:val="tx1"/>
                        </w14:solidFill>
                      </w14:textFill>
                    </w:rPr>
                    <w:t>1、溶剂型覆膜、溶剂型上光及烘干废气宜采用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或其他等效方式处理。</w:t>
                  </w:r>
                </w:p>
                <w:p w14:paraId="4EDA61C6">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（六）其他</w:t>
                  </w:r>
                  <w:r>
                    <w:rPr>
                      <w:rFonts w:hint="default" w:ascii="Times New Roman" w:hAnsi="Times New Roman" w:eastAsia="宋体" w:cs="Times New Roman"/>
                      <w:color w:val="000000" w:themeColor="text1"/>
                      <w:lang w:val="en-US" w:eastAsia="zh-CN"/>
                      <w14:textFill>
                        <w14:solidFill>
                          <w14:schemeClr w14:val="tx1"/>
                        </w14:solidFill>
                      </w14:textFill>
                    </w:rPr>
                    <w:t>1、调配、清洗等工序产生的无组织废气经收集后宜采用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吸附+燃烧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或其他等效方式处理，或与印刷、复合、涂布等废气合并处理。2、间歇式、小风量废气可采用活性炭吸附等治理工艺进行处理，根据VOCs处理量、活性炭处理能力等对活性炭进行定期再生或更换。</w:t>
                  </w:r>
                </w:p>
              </w:tc>
              <w:tc>
                <w:tcPr>
                  <w:tcW w:w="2313" w:type="dxa"/>
                  <w:shd w:val="clear" w:color="auto" w:fill="auto"/>
                  <w:vAlign w:val="center"/>
                </w:tcPr>
                <w:p w14:paraId="425E4AEE">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本项目采用凹版印刷，采用无溶剂复合以及干式复合技术。</w:t>
                  </w:r>
                </w:p>
                <w:p w14:paraId="62E4FF17">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印刷、复合、制袋、熟化工序</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有机废气</w:t>
                  </w:r>
                  <w:r>
                    <w:rPr>
                      <w:rFonts w:hint="default" w:ascii="Times New Roman" w:hAnsi="Times New Roman" w:eastAsia="宋体" w:cs="Times New Roman"/>
                      <w:color w:val="000000" w:themeColor="text1"/>
                      <w:lang w:eastAsia="zh-CN"/>
                      <w14:textFill>
                        <w14:solidFill>
                          <w14:schemeClr w14:val="tx1"/>
                        </w14:solidFill>
                      </w14:textFill>
                    </w:rPr>
                    <w:t>以及溶剂间</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处理后通过1根22m高排气筒DA001排放。污染物经处理后达标排放，对外环境影响不大</w:t>
                  </w:r>
                </w:p>
              </w:tc>
              <w:tc>
                <w:tcPr>
                  <w:tcW w:w="692" w:type="dxa"/>
                  <w:vAlign w:val="center"/>
                </w:tcPr>
                <w:p w14:paraId="4F0C2B55">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201C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Align w:val="center"/>
                </w:tcPr>
                <w:p w14:paraId="44B1B0B8">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四、排放限制</w:t>
                  </w:r>
                </w:p>
              </w:tc>
              <w:tc>
                <w:tcPr>
                  <w:tcW w:w="3569" w:type="dxa"/>
                  <w:vAlign w:val="center"/>
                </w:tcPr>
                <w:p w14:paraId="52042A29">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车间或生产设施排气筒排放的VOCs废气，以及厂界、厂区VOCs无组织废气应符合《大气污染物综合排放标准》（GB16297－1996）、《挥发性有机物无组织排放控制标准》（GB37822-2019）限值要求；有更严格地方标准的，执行地方标准。</w:t>
                  </w:r>
                </w:p>
              </w:tc>
              <w:tc>
                <w:tcPr>
                  <w:tcW w:w="2313" w:type="dxa"/>
                  <w:shd w:val="clear" w:color="auto" w:fill="auto"/>
                  <w:vAlign w:val="center"/>
                </w:tcPr>
                <w:p w14:paraId="348FD115">
                  <w:pPr>
                    <w:pStyle w:val="125"/>
                    <w:keepNext w:val="0"/>
                    <w:keepLines w:val="0"/>
                    <w:pageBreakBefore w:val="0"/>
                    <w:widowControl w:val="0"/>
                    <w:kinsoku/>
                    <w:wordWrap w:val="0"/>
                    <w:overflowPunct/>
                    <w:topLinePunct w:val="0"/>
                    <w:autoSpaceDE/>
                    <w:autoSpaceDN/>
                    <w:bidi w:val="0"/>
                    <w:adjustRightInd/>
                    <w:snapToGrid/>
                    <w:ind w:left="0" w:leftChars="0" w:right="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项目经废气处理设施处理排放的废气满足《印刷工业大气污染物排放标准》（GB41616—2022）、满足《挥发性有机物无组织排放控制标准》（GB37822-2019）。</w:t>
                  </w:r>
                </w:p>
              </w:tc>
              <w:tc>
                <w:tcPr>
                  <w:tcW w:w="692" w:type="dxa"/>
                  <w:vAlign w:val="center"/>
                </w:tcPr>
                <w:p w14:paraId="02CE1806">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14:paraId="6A56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7" w:type="dxa"/>
                  <w:vAlign w:val="center"/>
                </w:tcPr>
                <w:p w14:paraId="317989F6">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五、监测监控</w:t>
                  </w:r>
                </w:p>
              </w:tc>
              <w:tc>
                <w:tcPr>
                  <w:tcW w:w="3569" w:type="dxa"/>
                  <w:vAlign w:val="center"/>
                </w:tcPr>
                <w:p w14:paraId="4B0F8CEE">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1、严格执行《排污许可证申请与核发技术规范印刷工业》（HJ1066-2019）规定的自行监测管理要求。2、纳入重点排污单位名录的，排污许可证中规定的主要排污口安装自动监控设施。</w:t>
                  </w:r>
                </w:p>
              </w:tc>
              <w:tc>
                <w:tcPr>
                  <w:tcW w:w="2313" w:type="dxa"/>
                  <w:shd w:val="clear" w:color="auto" w:fill="auto"/>
                  <w:vAlign w:val="center"/>
                </w:tcPr>
                <w:p w14:paraId="118EB167">
                  <w:pPr>
                    <w:pStyle w:val="125"/>
                    <w:keepNext w:val="0"/>
                    <w:keepLines w:val="0"/>
                    <w:pageBreakBefore w:val="0"/>
                    <w:widowControl w:val="0"/>
                    <w:kinsoku/>
                    <w:wordWrap w:val="0"/>
                    <w:overflowPunct/>
                    <w:topLinePunct w:val="0"/>
                    <w:autoSpaceDE/>
                    <w:autoSpaceDN/>
                    <w:bidi w:val="0"/>
                    <w:adjustRightInd/>
                    <w:snapToGrid/>
                    <w:ind w:left="0" w:leftChars="0" w:right="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项目监测根据《排污许可证申请与核发技术规范印刷工业》（HJ1066-2019）规定的自行监测管理要求进行。</w:t>
                  </w:r>
                </w:p>
              </w:tc>
              <w:tc>
                <w:tcPr>
                  <w:tcW w:w="692" w:type="dxa"/>
                  <w:vAlign w:val="center"/>
                </w:tcPr>
                <w:p w14:paraId="384CCE98">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bl>
          <w:p w14:paraId="4A2632CC">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13</w:t>
            </w:r>
            <w:r>
              <w:rPr>
                <w:rFonts w:hint="default" w:ascii="Times New Roman" w:hAnsi="Times New Roman" w:eastAsia="宋体" w:cs="Times New Roman"/>
                <w:b/>
                <w:bCs/>
                <w:color w:val="000000" w:themeColor="text1"/>
                <w:sz w:val="24"/>
                <w14:textFill>
                  <w14:solidFill>
                    <w14:schemeClr w14:val="tx1"/>
                  </w14:solidFill>
                </w14:textFill>
              </w:rPr>
              <w:t>、与</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云南省关于深入打好污染防治攻坚战的实施</w:t>
            </w:r>
            <w:r>
              <w:rPr>
                <w:rFonts w:hint="default" w:ascii="Times New Roman" w:hAnsi="Times New Roman" w:eastAsia="宋体" w:cs="Times New Roman"/>
                <w:b/>
                <w:bCs/>
                <w:color w:val="000000" w:themeColor="text1"/>
                <w:sz w:val="24"/>
                <w:lang w:eastAsia="zh-CN"/>
                <w14:textFill>
                  <w14:solidFill>
                    <w14:schemeClr w14:val="tx1"/>
                  </w14:solidFill>
                </w14:textFill>
              </w:rPr>
              <w:t>意见</w:t>
            </w:r>
            <w:r>
              <w:rPr>
                <w:rFonts w:hint="default" w:ascii="Times New Roman" w:hAnsi="Times New Roman" w:eastAsia="宋体" w:cs="Times New Roman"/>
                <w:b/>
                <w:bCs/>
                <w:color w:val="000000" w:themeColor="text1"/>
                <w:sz w:val="24"/>
                <w14:textFill>
                  <w14:solidFill>
                    <w14:schemeClr w14:val="tx1"/>
                  </w14:solidFill>
                </w14:textFill>
              </w:rPr>
              <w:t>》符合性分析</w:t>
            </w:r>
          </w:p>
          <w:p w14:paraId="519469FF">
            <w:pPr>
              <w:tabs>
                <w:tab w:val="left" w:pos="4830"/>
              </w:tabs>
              <w:jc w:val="center"/>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表1-</w:t>
            </w:r>
            <w:r>
              <w:rPr>
                <w:rFonts w:hint="default" w:ascii="Times New Roman" w:hAnsi="Times New Roman" w:eastAsia="宋体" w:cs="Times New Roman"/>
                <w:b/>
                <w:bCs/>
                <w:color w:val="000000" w:themeColor="text1"/>
                <w:sz w:val="21"/>
                <w:szCs w:val="18"/>
                <w:lang w:val="en-US" w:eastAsia="zh-CN"/>
                <w14:textFill>
                  <w14:solidFill>
                    <w14:schemeClr w14:val="tx1"/>
                  </w14:solidFill>
                </w14:textFill>
              </w:rPr>
              <w:t>13</w:t>
            </w:r>
            <w:r>
              <w:rPr>
                <w:rFonts w:hint="default" w:ascii="Times New Roman" w:hAnsi="Times New Roman" w:eastAsia="宋体" w:cs="Times New Roman"/>
                <w:b/>
                <w:bCs/>
                <w:color w:val="000000" w:themeColor="text1"/>
                <w:sz w:val="21"/>
                <w:szCs w:val="18"/>
                <w14:textFill>
                  <w14:solidFill>
                    <w14:schemeClr w14:val="tx1"/>
                  </w14:solidFill>
                </w14:textFill>
              </w:rPr>
              <w:t>项目与</w:t>
            </w:r>
            <w:r>
              <w:rPr>
                <w:rFonts w:hint="default" w:ascii="Times New Roman" w:hAnsi="Times New Roman" w:eastAsia="宋体" w:cs="Times New Roman"/>
                <w:b/>
                <w:bCs/>
                <w:color w:val="000000" w:themeColor="text1"/>
                <w:sz w:val="21"/>
                <w:szCs w:val="18"/>
                <w:lang w:eastAsia="zh-CN"/>
                <w14:textFill>
                  <w14:solidFill>
                    <w14:schemeClr w14:val="tx1"/>
                  </w14:solidFill>
                </w14:textFill>
              </w:rPr>
              <w:t>《</w:t>
            </w:r>
            <w:r>
              <w:rPr>
                <w:rFonts w:hint="default" w:ascii="Times New Roman" w:hAnsi="Times New Roman" w:eastAsia="宋体" w:cs="Times New Roman"/>
                <w:b/>
                <w:bCs/>
                <w:color w:val="000000" w:themeColor="text1"/>
                <w:sz w:val="21"/>
                <w:szCs w:val="18"/>
                <w14:textFill>
                  <w14:solidFill>
                    <w14:schemeClr w14:val="tx1"/>
                  </w14:solidFill>
                </w14:textFill>
              </w:rPr>
              <w:t>云南省关于深入打好污染防治攻坚战的实施</w:t>
            </w:r>
            <w:r>
              <w:rPr>
                <w:rFonts w:hint="default" w:ascii="Times New Roman" w:hAnsi="Times New Roman" w:eastAsia="宋体" w:cs="Times New Roman"/>
                <w:b/>
                <w:bCs/>
                <w:color w:val="000000" w:themeColor="text1"/>
                <w:sz w:val="21"/>
                <w:szCs w:val="18"/>
                <w:lang w:eastAsia="zh-CN"/>
                <w14:textFill>
                  <w14:solidFill>
                    <w14:schemeClr w14:val="tx1"/>
                  </w14:solidFill>
                </w14:textFill>
              </w:rPr>
              <w:t>意见</w:t>
            </w:r>
            <w:r>
              <w:rPr>
                <w:rFonts w:hint="default" w:ascii="Times New Roman" w:hAnsi="Times New Roman" w:eastAsia="宋体" w:cs="Times New Roman"/>
                <w:b/>
                <w:bCs/>
                <w:color w:val="000000" w:themeColor="text1"/>
                <w:sz w:val="21"/>
                <w:szCs w:val="18"/>
                <w14:textFill>
                  <w14:solidFill>
                    <w14:schemeClr w14:val="tx1"/>
                  </w14:solidFill>
                </w14:textFill>
              </w:rPr>
              <w:t>》符合性分析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3430"/>
              <w:gridCol w:w="2459"/>
              <w:gridCol w:w="799"/>
            </w:tblGrid>
            <w:tr w14:paraId="3B2F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804" w:type="pct"/>
                  <w:gridSpan w:val="2"/>
                  <w:vAlign w:val="center"/>
                </w:tcPr>
                <w:p w14:paraId="146C3BBB">
                  <w:pPr>
                    <w:tabs>
                      <w:tab w:val="left" w:pos="4830"/>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法规要求</w:t>
                  </w:r>
                </w:p>
              </w:tc>
              <w:tc>
                <w:tcPr>
                  <w:tcW w:w="1657" w:type="pct"/>
                  <w:vAlign w:val="center"/>
                </w:tcPr>
                <w:p w14:paraId="4FD9E6F5">
                  <w:pPr>
                    <w:tabs>
                      <w:tab w:val="left" w:pos="4830"/>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本项目保护情况</w:t>
                  </w:r>
                </w:p>
              </w:tc>
              <w:tc>
                <w:tcPr>
                  <w:tcW w:w="538" w:type="pct"/>
                  <w:vAlign w:val="center"/>
                </w:tcPr>
                <w:p w14:paraId="16A3E854">
                  <w:pPr>
                    <w:tabs>
                      <w:tab w:val="left" w:pos="4830"/>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符合性</w:t>
                  </w:r>
                </w:p>
              </w:tc>
            </w:tr>
            <w:tr w14:paraId="0BF7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vAlign w:val="center"/>
                </w:tcPr>
                <w:p w14:paraId="615F005E">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shd w:val="clear" w:color="auto" w:fill="FFFFFF"/>
                      <w14:textFill>
                        <w14:solidFill>
                          <w14:schemeClr w14:val="tx1"/>
                        </w14:solidFill>
                      </w14:textFill>
                    </w:rPr>
                    <w:t>加快推动绿色高质量发展</w:t>
                  </w:r>
                </w:p>
              </w:tc>
              <w:tc>
                <w:tcPr>
                  <w:tcW w:w="2311" w:type="pct"/>
                  <w:vAlign w:val="center"/>
                </w:tcPr>
                <w:p w14:paraId="7B463C01">
                  <w:pPr>
                    <w:keepLines/>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坚决遏制高耗能高排放项目盲目发展。</w:t>
                  </w:r>
                  <w:r>
                    <w:rPr>
                      <w:rFonts w:hint="default" w:ascii="Times New Roman" w:hAnsi="Times New Roman" w:eastAsia="宋体" w:cs="Times New Roman"/>
                      <w:color w:val="000000" w:themeColor="text1"/>
                      <w:szCs w:val="21"/>
                      <w14:textFill>
                        <w14:solidFill>
                          <w14:schemeClr w14:val="tx1"/>
                        </w14:solidFill>
                      </w14:textFill>
                    </w:rPr>
                    <w:t>坚决停批停建不符合规定的项目，深入推进产业补链延链强链、绿色低碳转型。严格落实产能置换和产能控制政策，实施粗钢产能清理整顿。</w:t>
                  </w:r>
                </w:p>
              </w:tc>
              <w:tc>
                <w:tcPr>
                  <w:tcW w:w="1657" w:type="pct"/>
                  <w:vAlign w:val="center"/>
                </w:tcPr>
                <w:p w14:paraId="7C9E7898">
                  <w:pPr>
                    <w:keepLines/>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本项目为软包装、新能源包装材料项目，本项目符合国家产业政策，本</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项目于2025年9月3日与玉溪高新技术产业开发区管理委员会签订了投资协议，同意项目入驻。项目于2025年9月5日取得了玉溪高新技术产业开发区管理委员会投资项目备案证（备案文号：玉高开委发备案〔2025〕37号），同意项目建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8" w:type="pct"/>
                  <w:vAlign w:val="center"/>
                </w:tcPr>
                <w:p w14:paraId="7CC1FF71">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6DE8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0836C0DA">
                  <w:pPr>
                    <w:tabs>
                      <w:tab w:val="left" w:pos="4830"/>
                    </w:tabs>
                    <w:jc w:val="center"/>
                    <w:rPr>
                      <w:rFonts w:hint="default" w:ascii="Times New Roman" w:hAnsi="Times New Roman" w:eastAsia="宋体" w:cs="Times New Roman"/>
                      <w:color w:val="000000" w:themeColor="text1"/>
                      <w:szCs w:val="21"/>
                      <w:shd w:val="clear" w:color="auto" w:fill="FFFFFF"/>
                      <w14:textFill>
                        <w14:solidFill>
                          <w14:schemeClr w14:val="tx1"/>
                        </w14:solidFill>
                      </w14:textFill>
                    </w:rPr>
                  </w:pPr>
                </w:p>
              </w:tc>
              <w:tc>
                <w:tcPr>
                  <w:tcW w:w="2311" w:type="pct"/>
                  <w:vAlign w:val="center"/>
                </w:tcPr>
                <w:p w14:paraId="0F541C7B">
                  <w:pPr>
                    <w:keepLines/>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推进清洁生产和能源资源节约高效利用。</w:t>
                  </w:r>
                  <w:r>
                    <w:rPr>
                      <w:rFonts w:hint="default" w:ascii="Times New Roman" w:hAnsi="Times New Roman" w:eastAsia="宋体" w:cs="Times New Roman"/>
                      <w:color w:val="000000" w:themeColor="text1"/>
                      <w:szCs w:val="21"/>
                      <w14:textFill>
                        <w14:solidFill>
                          <w14:schemeClr w14:val="tx1"/>
                        </w14:solidFill>
                      </w14:textFill>
                    </w:rPr>
                    <w:t>深入实施清洁生产改造，依法开展清洁生产审核。推进绿色能源与绿色制造融合发展。强化能源和水资源</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双控</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，加强重点领域节能，实施节水行动。</w:t>
                  </w:r>
                </w:p>
              </w:tc>
              <w:tc>
                <w:tcPr>
                  <w:tcW w:w="1657" w:type="pct"/>
                  <w:vAlign w:val="center"/>
                </w:tcPr>
                <w:p w14:paraId="5C03ED3A">
                  <w:pPr>
                    <w:keepLines/>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无生产废水产生，近期生活污水经自建污水处理设施处理达标后回用于绿化，远期生活污水经化粪池预处理后排入园区污水管网</w:t>
                  </w:r>
                  <w:r>
                    <w:rPr>
                      <w:rFonts w:hint="default" w:ascii="Times New Roman" w:hAnsi="Times New Roman" w:eastAsia="宋体" w:cs="Times New Roman"/>
                      <w:b w:val="0"/>
                      <w:color w:val="000000" w:themeColor="text1"/>
                      <w:sz w:val="21"/>
                      <w:szCs w:val="21"/>
                      <w:u w:val="none"/>
                      <w:lang w:eastAsia="zh-CN"/>
                      <w14:textFill>
                        <w14:solidFill>
                          <w14:schemeClr w14:val="tx1"/>
                        </w14:solidFill>
                      </w14:textFill>
                    </w:rPr>
                    <w:t>。</w:t>
                  </w:r>
                </w:p>
              </w:tc>
              <w:tc>
                <w:tcPr>
                  <w:tcW w:w="538" w:type="pct"/>
                  <w:vAlign w:val="center"/>
                </w:tcPr>
                <w:p w14:paraId="0AC899DD">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46FC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7471680F">
                  <w:pPr>
                    <w:tabs>
                      <w:tab w:val="left" w:pos="4830"/>
                    </w:tabs>
                    <w:jc w:val="center"/>
                    <w:rPr>
                      <w:rFonts w:hint="default" w:ascii="Times New Roman" w:hAnsi="Times New Roman" w:eastAsia="宋体" w:cs="Times New Roman"/>
                      <w:color w:val="000000" w:themeColor="text1"/>
                      <w:szCs w:val="21"/>
                      <w:shd w:val="clear" w:color="auto" w:fill="FFFFFF"/>
                      <w14:textFill>
                        <w14:solidFill>
                          <w14:schemeClr w14:val="tx1"/>
                        </w14:solidFill>
                      </w14:textFill>
                    </w:rPr>
                  </w:pPr>
                </w:p>
              </w:tc>
              <w:tc>
                <w:tcPr>
                  <w:tcW w:w="2311" w:type="pct"/>
                  <w:vAlign w:val="center"/>
                </w:tcPr>
                <w:p w14:paraId="00AB9E68">
                  <w:pPr>
                    <w:tabs>
                      <w:tab w:val="left" w:pos="4830"/>
                    </w:tabs>
                    <w:jc w:val="center"/>
                    <w:rPr>
                      <w:rFonts w:hint="default" w:ascii="Times New Roman" w:hAnsi="Times New Roman" w:eastAsia="宋体" w:cs="Times New Roman"/>
                      <w:b/>
                      <w:bCs/>
                      <w:color w:val="000000" w:themeColor="text1"/>
                      <w:szCs w:val="21"/>
                      <w:shd w:val="clear" w:color="auto" w:fill="FFFFFF"/>
                      <w14:textFill>
                        <w14:solidFill>
                          <w14:schemeClr w14:val="tx1"/>
                        </w14:solidFill>
                      </w14:textFill>
                    </w:rPr>
                  </w:pPr>
                  <w:r>
                    <w:rPr>
                      <w:rFonts w:hint="default" w:ascii="Times New Roman" w:hAnsi="Times New Roman" w:eastAsia="宋体" w:cs="Times New Roman"/>
                      <w:b/>
                      <w:bCs/>
                      <w:color w:val="000000" w:themeColor="text1"/>
                      <w:szCs w:val="21"/>
                      <w:shd w:val="clear" w:color="auto" w:fill="FFFFFF"/>
                      <w14:textFill>
                        <w14:solidFill>
                          <w14:schemeClr w14:val="tx1"/>
                        </w14:solidFill>
                      </w14:textFill>
                    </w:rPr>
                    <w:t>加强生态环境分区管控。</w:t>
                  </w:r>
                  <w:r>
                    <w:rPr>
                      <w:rFonts w:hint="default" w:ascii="Times New Roman" w:hAnsi="Times New Roman" w:eastAsia="宋体" w:cs="Times New Roman"/>
                      <w:color w:val="000000" w:themeColor="text1"/>
                      <w:szCs w:val="21"/>
                      <w:shd w:val="clear" w:color="auto" w:fill="FFFFFF"/>
                      <w14:textFill>
                        <w14:solidFill>
                          <w14:schemeClr w14:val="tx1"/>
                        </w14:solidFill>
                      </w14:textFill>
                    </w:rPr>
                    <w:t>优化</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14:textFill>
                        <w14:solidFill>
                          <w14:schemeClr w14:val="tx1"/>
                        </w14:solidFill>
                      </w14:textFill>
                    </w:rPr>
                    <w:t>三线一单</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14:textFill>
                        <w14:solidFill>
                          <w14:schemeClr w14:val="tx1"/>
                        </w14:solidFill>
                      </w14:textFill>
                    </w:rPr>
                    <w:t>生态环境分区管控格局，细化落实分区管控要求，加强成果运用。严格规划环评审查和项目环评准入，健全以环评制度为主体的源头预防体系。</w:t>
                  </w:r>
                </w:p>
              </w:tc>
              <w:tc>
                <w:tcPr>
                  <w:tcW w:w="1657" w:type="pct"/>
                  <w:vAlign w:val="center"/>
                </w:tcPr>
                <w:p w14:paraId="2DA6178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w:t>
                  </w:r>
                  <w:r>
                    <w:rPr>
                      <w:rFonts w:hint="default" w:ascii="Times New Roman" w:hAnsi="Times New Roman" w:eastAsia="宋体" w:cs="Times New Roman"/>
                      <w:color w:val="000000" w:themeColor="text1"/>
                      <w:lang w:val="en-US" w:eastAsia="zh-CN"/>
                      <w14:textFill>
                        <w14:solidFill>
                          <w14:schemeClr w14:val="tx1"/>
                        </w14:solidFill>
                      </w14:textFill>
                    </w:rPr>
                    <w:t>玉溪高新技术产业开发区龙泉片区，位于工业园区内。</w:t>
                  </w:r>
                </w:p>
                <w:p w14:paraId="5ACD1011">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根据上文符合性分析，本项目的建设符合</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14:textFill>
                        <w14:solidFill>
                          <w14:schemeClr w14:val="tx1"/>
                        </w14:solidFill>
                      </w14:textFill>
                    </w:rPr>
                    <w:t>三线一单</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14:textFill>
                        <w14:solidFill>
                          <w14:schemeClr w14:val="tx1"/>
                        </w14:solidFill>
                      </w14:textFill>
                    </w:rPr>
                    <w:t>生态环境分区管控</w:t>
                  </w:r>
                  <w:r>
                    <w:rPr>
                      <w:rFonts w:hint="default" w:ascii="Times New Roman" w:hAnsi="Times New Roman" w:eastAsia="宋体" w:cs="Times New Roman"/>
                      <w:color w:val="000000" w:themeColor="text1"/>
                      <w:szCs w:val="21"/>
                      <w:shd w:val="clear" w:color="auto" w:fill="FFFFFF"/>
                      <w:lang w:eastAsia="zh-CN"/>
                      <w14:textFill>
                        <w14:solidFill>
                          <w14:schemeClr w14:val="tx1"/>
                        </w14:solidFill>
                      </w14:textFill>
                    </w:rPr>
                    <w:t>要求。</w:t>
                  </w:r>
                </w:p>
              </w:tc>
              <w:tc>
                <w:tcPr>
                  <w:tcW w:w="538" w:type="pct"/>
                  <w:vAlign w:val="center"/>
                </w:tcPr>
                <w:p w14:paraId="321B4E73">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3636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vAlign w:val="center"/>
                </w:tcPr>
                <w:p w14:paraId="20D39AD5">
                  <w:pPr>
                    <w:tabs>
                      <w:tab w:val="left" w:pos="4830"/>
                    </w:tabs>
                    <w:jc w:val="center"/>
                    <w:rPr>
                      <w:rFonts w:hint="default" w:ascii="Times New Roman" w:hAnsi="Times New Roman" w:eastAsia="宋体" w:cs="Times New Roman"/>
                      <w:color w:val="000000" w:themeColor="text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Cs w:val="21"/>
                      <w:shd w:val="clear" w:color="auto" w:fill="FFFFFF"/>
                      <w14:textFill>
                        <w14:solidFill>
                          <w14:schemeClr w14:val="tx1"/>
                        </w14:solidFill>
                      </w14:textFill>
                    </w:rPr>
                    <w:t>深入打好蓝天保卫战</w:t>
                  </w:r>
                </w:p>
              </w:tc>
              <w:tc>
                <w:tcPr>
                  <w:tcW w:w="2311" w:type="pct"/>
                  <w:vAlign w:val="center"/>
                </w:tcPr>
                <w:p w14:paraId="293F5448">
                  <w:pPr>
                    <w:tabs>
                      <w:tab w:val="left" w:pos="4830"/>
                    </w:tabs>
                    <w:jc w:val="center"/>
                    <w:rPr>
                      <w:rFonts w:hint="default" w:ascii="Times New Roman" w:hAnsi="Times New Roman" w:eastAsia="宋体" w:cs="Times New Roman"/>
                      <w:color w:val="000000" w:themeColor="text1"/>
                      <w:szCs w:val="21"/>
                      <w:shd w:val="clear" w:color="auto" w:fill="FFFFFF"/>
                      <w:lang w:val="en-US" w:eastAsia="zh-CN"/>
                      <w14:textFill>
                        <w14:solidFill>
                          <w14:schemeClr w14:val="tx1"/>
                        </w14:solidFill>
                      </w14:textFill>
                    </w:rPr>
                  </w:pPr>
                  <w:r>
                    <w:rPr>
                      <w:rFonts w:hint="default" w:ascii="Times New Roman" w:hAnsi="Times New Roman" w:eastAsia="宋体" w:cs="Times New Roman"/>
                      <w:b/>
                      <w:bCs/>
                      <w:color w:val="000000" w:themeColor="text1"/>
                      <w:szCs w:val="21"/>
                      <w:shd w:val="clear" w:color="auto" w:fill="FFFFFF"/>
                      <w:lang w:val="en-US" w:eastAsia="zh-CN"/>
                      <w14:textFill>
                        <w14:solidFill>
                          <w14:schemeClr w14:val="tx1"/>
                        </w14:solidFill>
                      </w14:textFill>
                    </w:rPr>
                    <w:t>深入打好建筑施工工地扬尘污染治理攻坚战。</w:t>
                  </w:r>
                  <w:r>
                    <w:rPr>
                      <w:rFonts w:hint="default" w:ascii="Times New Roman" w:hAnsi="Times New Roman" w:eastAsia="宋体" w:cs="Times New Roman"/>
                      <w:color w:val="000000" w:themeColor="text1"/>
                      <w:szCs w:val="21"/>
                      <w:shd w:val="clear" w:color="auto" w:fill="FFFFFF"/>
                      <w:lang w:val="en-US" w:eastAsia="zh-CN"/>
                      <w14:textFill>
                        <w14:solidFill>
                          <w14:schemeClr w14:val="tx1"/>
                        </w14:solidFill>
                      </w14:textFill>
                    </w:rPr>
                    <w:t>全面推行绿色施工，落实施工工地</w:t>
                  </w:r>
                  <w:r>
                    <w:rPr>
                      <w:rFonts w:hint="eastAsia" w:cs="Times New Roman"/>
                      <w:color w:val="000000" w:themeColor="text1"/>
                      <w:szCs w:val="21"/>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lang w:val="en-US" w:eastAsia="zh-CN"/>
                      <w14:textFill>
                        <w14:solidFill>
                          <w14:schemeClr w14:val="tx1"/>
                        </w14:solidFill>
                      </w14:textFill>
                    </w:rPr>
                    <w:t>六个百分之百</w:t>
                  </w:r>
                  <w:r>
                    <w:rPr>
                      <w:rFonts w:hint="eastAsia" w:cs="Times New Roman"/>
                      <w:color w:val="000000" w:themeColor="text1"/>
                      <w:szCs w:val="21"/>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lang w:val="en-US" w:eastAsia="zh-CN"/>
                      <w14:textFill>
                        <w14:solidFill>
                          <w14:schemeClr w14:val="tx1"/>
                        </w14:solidFill>
                      </w14:textFill>
                    </w:rPr>
                    <w:t>工作要求，推动扬尘精细化管控。加强建筑渣土运输管理，严格落实密闭运输措施。强化施工、道路、堆场、裸露地面等扬尘管控。</w:t>
                  </w:r>
                </w:p>
              </w:tc>
              <w:tc>
                <w:tcPr>
                  <w:tcW w:w="1657" w:type="pct"/>
                  <w:vAlign w:val="center"/>
                </w:tcPr>
                <w:p w14:paraId="2E3A80A5">
                  <w:pPr>
                    <w:tabs>
                      <w:tab w:val="left" w:pos="4830"/>
                    </w:tabs>
                    <w:jc w:val="center"/>
                    <w:rPr>
                      <w:rFonts w:hint="default" w:ascii="Times New Roman" w:hAnsi="Times New Roman" w:eastAsia="宋体" w:cs="Times New Roman"/>
                      <w:color w:val="000000" w:themeColor="text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Cs w:val="21"/>
                      <w:shd w:val="clear" w:color="auto" w:fill="FFFFFF"/>
                      <w:lang w:val="en-US" w:eastAsia="zh-CN"/>
                      <w14:textFill>
                        <w14:solidFill>
                          <w14:schemeClr w14:val="tx1"/>
                        </w14:solidFill>
                      </w14:textFill>
                    </w:rPr>
                    <w:t>本环评已提出施工期相关措施要求，要求建设单位施工过程中需做到</w:t>
                  </w:r>
                  <w:r>
                    <w:rPr>
                      <w:rFonts w:hint="eastAsia" w:cs="Times New Roman"/>
                      <w:color w:val="000000" w:themeColor="text1"/>
                      <w:szCs w:val="21"/>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lang w:val="en-US" w:eastAsia="zh-CN"/>
                      <w14:textFill>
                        <w14:solidFill>
                          <w14:schemeClr w14:val="tx1"/>
                        </w14:solidFill>
                      </w14:textFill>
                    </w:rPr>
                    <w:t>六个百分百</w:t>
                  </w:r>
                  <w:r>
                    <w:rPr>
                      <w:rFonts w:hint="eastAsia" w:cs="Times New Roman"/>
                      <w:color w:val="000000" w:themeColor="text1"/>
                      <w:szCs w:val="21"/>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Cs w:val="21"/>
                      <w:shd w:val="clear" w:color="auto" w:fill="FFFFFF"/>
                      <w:lang w:val="en-US" w:eastAsia="zh-CN"/>
                      <w14:textFill>
                        <w14:solidFill>
                          <w14:schemeClr w14:val="tx1"/>
                        </w14:solidFill>
                      </w14:textFill>
                    </w:rPr>
                    <w:t>；施工场地清理阶段做到先洒水，后清扫，施工后期建筑垃圾及时清理；加强施工现场运输车辆管理；施工建筑材料定点堆放，在大风天气对散料堆场采用水喷淋防尘，用篷布遮盖建筑材料；建设单位应在施工期间加强对车辆及施工机械的维修等。</w:t>
                  </w:r>
                </w:p>
              </w:tc>
              <w:tc>
                <w:tcPr>
                  <w:tcW w:w="538" w:type="pct"/>
                  <w:vAlign w:val="center"/>
                </w:tcPr>
                <w:p w14:paraId="433C1CC0">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4311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74054BA2">
                  <w:pPr>
                    <w:tabs>
                      <w:tab w:val="left" w:pos="4830"/>
                    </w:tabs>
                    <w:jc w:val="center"/>
                    <w:rPr>
                      <w:rFonts w:hint="default" w:ascii="Times New Roman" w:hAnsi="Times New Roman" w:eastAsia="宋体" w:cs="Times New Roman"/>
                      <w:color w:val="000000" w:themeColor="text1"/>
                      <w:szCs w:val="21"/>
                      <w:shd w:val="clear" w:color="auto" w:fill="FFFFFF"/>
                      <w14:textFill>
                        <w14:solidFill>
                          <w14:schemeClr w14:val="tx1"/>
                        </w14:solidFill>
                      </w14:textFill>
                    </w:rPr>
                  </w:pPr>
                </w:p>
              </w:tc>
              <w:tc>
                <w:tcPr>
                  <w:tcW w:w="2311" w:type="pct"/>
                  <w:vAlign w:val="center"/>
                </w:tcPr>
                <w:p w14:paraId="14DA4212">
                  <w:pPr>
                    <w:tabs>
                      <w:tab w:val="left" w:pos="4830"/>
                    </w:tabs>
                    <w:jc w:val="cente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改善区域大气和声环境质量。</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持续开展春夏季攻坚行动，提升滇西南、滇南环境空气质量。完善滇中地区大气污染联防联控机制。加大餐饮油烟污染、恶臭异味治理力度。实施噪声污染防治行动，解决群众关心的噪声污染问题。</w:t>
                  </w:r>
                </w:p>
              </w:tc>
              <w:tc>
                <w:tcPr>
                  <w:tcW w:w="1657" w:type="pct"/>
                  <w:vAlign w:val="center"/>
                </w:tcPr>
                <w:p w14:paraId="5E1D2982">
                  <w:pPr>
                    <w:tabs>
                      <w:tab w:val="left" w:pos="4830"/>
                    </w:tabs>
                    <w:jc w:val="cente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本项目有机废气经</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RTO蓄热燃烧装置</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处理后通过1根22m高排气筒DA001排放。</w:t>
                  </w:r>
                </w:p>
              </w:tc>
              <w:tc>
                <w:tcPr>
                  <w:tcW w:w="538" w:type="pct"/>
                  <w:vAlign w:val="center"/>
                </w:tcPr>
                <w:p w14:paraId="1E93FB93">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15C0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vAlign w:val="center"/>
                </w:tcPr>
                <w:p w14:paraId="13107F68">
                  <w:pPr>
                    <w:tabs>
                      <w:tab w:val="left" w:pos="4830"/>
                    </w:tabs>
                    <w:jc w:val="center"/>
                    <w:rPr>
                      <w:rFonts w:hint="default" w:ascii="Times New Roman" w:hAnsi="Times New Roman" w:eastAsia="宋体" w:cs="Times New Roman"/>
                      <w:color w:val="000000" w:themeColor="text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Cs w:val="21"/>
                      <w:shd w:val="clear" w:color="auto" w:fill="FFFFFF"/>
                      <w14:textFill>
                        <w14:solidFill>
                          <w14:schemeClr w14:val="tx1"/>
                        </w14:solidFill>
                      </w14:textFill>
                    </w:rPr>
                    <w:t>深入打好碧水保卫战</w:t>
                  </w:r>
                </w:p>
              </w:tc>
              <w:tc>
                <w:tcPr>
                  <w:tcW w:w="2311" w:type="pct"/>
                  <w:vAlign w:val="center"/>
                </w:tcPr>
                <w:p w14:paraId="39C26FBB">
                  <w:pPr>
                    <w:tabs>
                      <w:tab w:val="left" w:pos="4830"/>
                    </w:tabs>
                    <w:jc w:val="cente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深入打好</w:t>
                  </w:r>
                  <w:r>
                    <w:rPr>
                      <w:rFonts w:hint="eastAsia" w:cs="Times New Roman"/>
                      <w:b/>
                      <w:bCs/>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湖泊革命</w:t>
                  </w:r>
                  <w:r>
                    <w:rPr>
                      <w:rFonts w:hint="eastAsia" w:cs="Times New Roman"/>
                      <w:b/>
                      <w:bCs/>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攻坚战。</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以革命性措施抓好九大高原湖泊保护治理，坚持</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退、减、调、治、管</w:t>
                  </w:r>
                  <w:r>
                    <w:rPr>
                      <w:rFonts w:hint="eastAsia" w:cs="Times New Roman"/>
                      <w:b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多措并举。强化流域空间管控和生态减负，引导人口和产业有序退出。转变农业生产方式，严控农业面源污染。系统推进流域环湖截污治污，加强湖泊内源污染风险防范。</w:t>
                  </w:r>
                </w:p>
              </w:tc>
              <w:tc>
                <w:tcPr>
                  <w:tcW w:w="1657" w:type="pct"/>
                  <w:vMerge w:val="restart"/>
                  <w:vAlign w:val="center"/>
                </w:tcPr>
                <w:p w14:paraId="585DB3D5">
                  <w:pPr>
                    <w:tabs>
                      <w:tab w:val="left" w:pos="4830"/>
                    </w:tabs>
                    <w:jc w:val="cente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本项目生产过程中不产生生产废水，对印刷设备进行清理时均采用抹布蘸取少量油墨清洗剂对设备进行擦拭，无清洗废水产生。近期由于园区污水处理厂暂未正常运行，生活污水经化粪池预处理后进入自建生活污水处理设施处理达标后用于厂区周边绿化，</w:t>
                  </w:r>
                  <w:r>
                    <w:rPr>
                      <w:rFonts w:hint="eastAsia" w:cs="Times New Roman"/>
                      <w:b w:val="0"/>
                      <w:color w:val="000000" w:themeColor="text1"/>
                      <w:sz w:val="21"/>
                      <w:szCs w:val="21"/>
                      <w:u w:val="none"/>
                      <w:lang w:val="en-US" w:eastAsia="zh-CN"/>
                      <w14:textFill>
                        <w14:solidFill>
                          <w14:schemeClr w14:val="tx1"/>
                        </w14:solidFill>
                      </w14:textFill>
                    </w:rPr>
                    <w:t>雨天进入中水收集池暂存</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，留待晴天使用；远期待园区污水处理厂正常运行后，产生的生活污水通过化粪池预处理后排入园区市政污水管网，进入园区污水处理厂处理。本项目的建设基本不会对区域地表水造成影响。</w:t>
                  </w:r>
                </w:p>
              </w:tc>
              <w:tc>
                <w:tcPr>
                  <w:tcW w:w="538" w:type="pct"/>
                  <w:vAlign w:val="center"/>
                </w:tcPr>
                <w:p w14:paraId="119E7F76">
                  <w:pPr>
                    <w:tabs>
                      <w:tab w:val="left" w:pos="4830"/>
                    </w:tabs>
                    <w:jc w:val="cente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5E91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3" w:type="pct"/>
                  <w:vMerge w:val="continue"/>
                  <w:vAlign w:val="center"/>
                </w:tcPr>
                <w:p w14:paraId="2537D6CE">
                  <w:pPr>
                    <w:tabs>
                      <w:tab w:val="left" w:pos="4830"/>
                    </w:tabs>
                    <w:jc w:val="center"/>
                    <w:rPr>
                      <w:rFonts w:hint="default" w:ascii="Times New Roman" w:hAnsi="Times New Roman" w:eastAsia="宋体" w:cs="Times New Roman"/>
                      <w:color w:val="000000" w:themeColor="text1"/>
                      <w:szCs w:val="21"/>
                      <w:shd w:val="clear" w:color="auto" w:fill="FFFFFF"/>
                      <w14:textFill>
                        <w14:solidFill>
                          <w14:schemeClr w14:val="tx1"/>
                        </w14:solidFill>
                      </w14:textFill>
                    </w:rPr>
                  </w:pPr>
                </w:p>
              </w:tc>
              <w:tc>
                <w:tcPr>
                  <w:tcW w:w="2311" w:type="pct"/>
                  <w:vAlign w:val="center"/>
                </w:tcPr>
                <w:p w14:paraId="017D4070">
                  <w:pPr>
                    <w:tabs>
                      <w:tab w:val="left" w:pos="4830"/>
                    </w:tabs>
                    <w:jc w:val="cente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深入打好珠江流域（云南段）保护治理攻坚战。</w:t>
                  </w:r>
                  <w: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t>强化南盘江总磷超标治理，持续推进重金属行业企业排查整治。加强南盘江干流及重要支流水生态环境综合治理。</w:t>
                  </w:r>
                </w:p>
              </w:tc>
              <w:tc>
                <w:tcPr>
                  <w:tcW w:w="1657" w:type="pct"/>
                  <w:vMerge w:val="continue"/>
                  <w:vAlign w:val="center"/>
                </w:tcPr>
                <w:p w14:paraId="73E953A0">
                  <w:pPr>
                    <w:tabs>
                      <w:tab w:val="left" w:pos="4830"/>
                    </w:tabs>
                    <w:jc w:val="center"/>
                    <w:rPr>
                      <w:rFonts w:hint="default" w:ascii="Times New Roman" w:hAnsi="Times New Roman" w:eastAsia="宋体" w:cs="Times New Roman"/>
                      <w:b w:val="0"/>
                      <w:color w:val="000000" w:themeColor="text1"/>
                      <w:sz w:val="21"/>
                      <w:szCs w:val="21"/>
                      <w:u w:val="none"/>
                      <w:lang w:val="en-US" w:eastAsia="zh-CN"/>
                      <w14:textFill>
                        <w14:solidFill>
                          <w14:schemeClr w14:val="tx1"/>
                        </w14:solidFill>
                      </w14:textFill>
                    </w:rPr>
                  </w:pPr>
                </w:p>
              </w:tc>
              <w:tc>
                <w:tcPr>
                  <w:tcW w:w="538" w:type="pct"/>
                  <w:vAlign w:val="center"/>
                </w:tcPr>
                <w:p w14:paraId="4EAC5EFD">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232E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vAlign w:val="center"/>
                </w:tcPr>
                <w:p w14:paraId="21BE5CA0">
                  <w:pPr>
                    <w:tabs>
                      <w:tab w:val="left" w:pos="4830"/>
                    </w:tabs>
                    <w:jc w:val="center"/>
                    <w:rPr>
                      <w:rFonts w:hint="default" w:ascii="Times New Roman" w:hAnsi="Times New Roman" w:eastAsia="宋体" w:cs="Times New Roman"/>
                      <w:color w:val="000000" w:themeColor="text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Cs w:val="21"/>
                      <w:shd w:val="clear" w:color="auto" w:fill="FFFFFF"/>
                      <w14:textFill>
                        <w14:solidFill>
                          <w14:schemeClr w14:val="tx1"/>
                        </w14:solidFill>
                      </w14:textFill>
                    </w:rPr>
                    <w:t>深入打好净土保卫战</w:t>
                  </w:r>
                </w:p>
              </w:tc>
              <w:tc>
                <w:tcPr>
                  <w:tcW w:w="2311" w:type="pct"/>
                  <w:vAlign w:val="center"/>
                </w:tcPr>
                <w:p w14:paraId="0DD3C6E3">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有效管控建设用地土壤污染风险。</w:t>
                  </w:r>
                  <w:r>
                    <w:rPr>
                      <w:rFonts w:hint="default" w:ascii="Times New Roman" w:hAnsi="Times New Roman" w:eastAsia="宋体" w:cs="Times New Roman"/>
                      <w:color w:val="000000" w:themeColor="text1"/>
                      <w:szCs w:val="21"/>
                      <w14:textFill>
                        <w14:solidFill>
                          <w14:schemeClr w14:val="tx1"/>
                        </w14:solidFill>
                      </w14:textFill>
                    </w:rPr>
                    <w:t>严格建设用地土壤污染风险管控和修复名录内地块的准入管理，从严管控农药、化工等行业的重度污染地块规划用途。</w:t>
                  </w:r>
                </w:p>
              </w:tc>
              <w:tc>
                <w:tcPr>
                  <w:tcW w:w="1657" w:type="pct"/>
                  <w:vAlign w:val="center"/>
                </w:tcPr>
                <w:p w14:paraId="3D56E0F5">
                  <w:pPr>
                    <w:tabs>
                      <w:tab w:val="left" w:pos="4830"/>
                    </w:tabs>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根据现场调查，</w:t>
                  </w: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sz w:val="21"/>
                      <w:szCs w:val="21"/>
                      <w:lang w:eastAsia="zh-CN"/>
                      <w14:textFill>
                        <w14:solidFill>
                          <w14:schemeClr w14:val="tx1"/>
                        </w14:solidFill>
                      </w14:textFill>
                    </w:rPr>
                    <w:t>生产区、原料区、成品区等区域地面为一般防渗区</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按照</w:t>
                  </w:r>
                  <w:r>
                    <w:rPr>
                      <w:rFonts w:hint="default" w:ascii="Times New Roman" w:hAnsi="Times New Roman" w:eastAsia="宋体" w:cs="Times New Roman"/>
                      <w:color w:val="000000" w:themeColor="text1"/>
                      <w:kern w:val="0"/>
                      <w:szCs w:val="21"/>
                      <w14:textFill>
                        <w14:solidFill>
                          <w14:schemeClr w14:val="tx1"/>
                        </w14:solidFill>
                      </w14:textFill>
                    </w:rPr>
                    <w:t>一般防渗区相关防渗措施</w:t>
                  </w:r>
                  <w:r>
                    <w:rPr>
                      <w:rFonts w:hint="default" w:ascii="Times New Roman" w:hAnsi="Times New Roman" w:eastAsia="宋体" w:cs="Times New Roman"/>
                      <w:color w:val="000000" w:themeColor="text1"/>
                      <w:kern w:val="0"/>
                      <w:szCs w:val="21"/>
                      <w:lang w:eastAsia="zh-CN"/>
                      <w14:textFill>
                        <w14:solidFill>
                          <w14:schemeClr w14:val="tx1"/>
                        </w14:solidFill>
                      </w14:textFill>
                    </w:rPr>
                    <w:t>建设；危废暂存间、溶剂间要求为重点防渗区，</w:t>
                  </w:r>
                  <w:r>
                    <w:rPr>
                      <w:rFonts w:hint="default" w:ascii="Times New Roman" w:hAnsi="Times New Roman" w:eastAsia="宋体" w:cs="Times New Roman"/>
                      <w:color w:val="000000" w:themeColor="text1"/>
                      <w:lang w:val="en-US" w:eastAsia="zh-CN"/>
                      <w14:textFill>
                        <w14:solidFill>
                          <w14:schemeClr w14:val="tx1"/>
                        </w14:solidFill>
                      </w14:textFill>
                    </w:rPr>
                    <w:t>按照重点防渗区防渗技术要求建设</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办公室等区域地面</w:t>
                  </w:r>
                  <w:r>
                    <w:rPr>
                      <w:rFonts w:hint="default" w:ascii="Times New Roman" w:hAnsi="Times New Roman" w:eastAsia="宋体" w:cs="Times New Roman"/>
                      <w:color w:val="000000" w:themeColor="text1"/>
                      <w:sz w:val="21"/>
                      <w:szCs w:val="21"/>
                      <w14:textFill>
                        <w14:solidFill>
                          <w14:schemeClr w14:val="tx1"/>
                        </w14:solidFill>
                      </w14:textFill>
                    </w:rPr>
                    <w:t>为简单防渗区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lang w:val="zh-CN"/>
                      <w14:textFill>
                        <w14:solidFill>
                          <w14:schemeClr w14:val="tx1"/>
                        </w14:solidFill>
                      </w14:textFill>
                    </w:rPr>
                    <w:t>一般</w:t>
                  </w:r>
                  <w:r>
                    <w:rPr>
                      <w:rFonts w:hint="default" w:ascii="Times New Roman" w:hAnsi="Times New Roman" w:eastAsia="宋体" w:cs="Times New Roman"/>
                      <w:color w:val="000000" w:themeColor="text1"/>
                      <w:sz w:val="21"/>
                      <w:szCs w:val="21"/>
                      <w14:textFill>
                        <w14:solidFill>
                          <w14:schemeClr w14:val="tx1"/>
                        </w14:solidFill>
                      </w14:textFill>
                    </w:rPr>
                    <w:t>地面硬化</w:t>
                  </w:r>
                  <w:r>
                    <w:rPr>
                      <w:rFonts w:hint="default" w:ascii="Times New Roman" w:hAnsi="Times New Roman" w:eastAsia="宋体" w:cs="Times New Roman"/>
                      <w:color w:val="000000" w:themeColor="text1"/>
                      <w:sz w:val="21"/>
                      <w:szCs w:val="21"/>
                      <w:lang w:eastAsia="zh-CN"/>
                      <w14:textFill>
                        <w14:solidFill>
                          <w14:schemeClr w14:val="tx1"/>
                        </w14:solidFill>
                      </w14:textFill>
                    </w:rPr>
                    <w:t>处理</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c>
                <w:tcPr>
                  <w:tcW w:w="538" w:type="pct"/>
                  <w:vAlign w:val="center"/>
                </w:tcPr>
                <w:p w14:paraId="20ACC642">
                  <w:pPr>
                    <w:tabs>
                      <w:tab w:val="left" w:pos="4830"/>
                    </w:tabs>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r w14:paraId="4BE3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6CCFBD4A">
                  <w:pPr>
                    <w:tabs>
                      <w:tab w:val="left" w:pos="4830"/>
                    </w:tabs>
                    <w:jc w:val="center"/>
                    <w:rPr>
                      <w:rFonts w:hint="default" w:ascii="Times New Roman" w:hAnsi="Times New Roman" w:eastAsia="宋体" w:cs="Times New Roman"/>
                      <w:b/>
                      <w:bCs/>
                      <w:color w:val="000000" w:themeColor="text1"/>
                      <w:szCs w:val="21"/>
                      <w:shd w:val="clear" w:color="auto" w:fill="FFFFFF"/>
                      <w14:textFill>
                        <w14:solidFill>
                          <w14:schemeClr w14:val="tx1"/>
                        </w14:solidFill>
                      </w14:textFill>
                    </w:rPr>
                  </w:pPr>
                </w:p>
              </w:tc>
              <w:tc>
                <w:tcPr>
                  <w:tcW w:w="2311" w:type="pct"/>
                  <w:vAlign w:val="center"/>
                </w:tcPr>
                <w:p w14:paraId="17E5544E">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稳步推进</w:t>
                  </w:r>
                  <w:r>
                    <w:rPr>
                      <w:rFonts w:hint="eastAsia" w:cs="Times New Roman"/>
                      <w:b/>
                      <w:bCs/>
                      <w:color w:val="000000" w:themeColor="text1"/>
                      <w:szCs w:val="21"/>
                      <w:lang w:eastAsia="zh-CN"/>
                      <w14:textFill>
                        <w14:solidFill>
                          <w14:schemeClr w14:val="tx1"/>
                        </w14:solidFill>
                      </w14:textFill>
                    </w:rPr>
                    <w:t>“</w:t>
                  </w:r>
                  <w:r>
                    <w:rPr>
                      <w:rFonts w:hint="default" w:ascii="Times New Roman" w:hAnsi="Times New Roman" w:eastAsia="宋体" w:cs="Times New Roman"/>
                      <w:b/>
                      <w:bCs/>
                      <w:color w:val="000000" w:themeColor="text1"/>
                      <w:szCs w:val="21"/>
                      <w14:textFill>
                        <w14:solidFill>
                          <w14:schemeClr w14:val="tx1"/>
                        </w14:solidFill>
                      </w14:textFill>
                    </w:rPr>
                    <w:t>无废城市</w:t>
                  </w:r>
                  <w:r>
                    <w:rPr>
                      <w:rFonts w:hint="eastAsia" w:cs="Times New Roman"/>
                      <w:b/>
                      <w:bCs/>
                      <w:color w:val="000000" w:themeColor="text1"/>
                      <w:szCs w:val="21"/>
                      <w:lang w:eastAsia="zh-CN"/>
                      <w14:textFill>
                        <w14:solidFill>
                          <w14:schemeClr w14:val="tx1"/>
                        </w14:solidFill>
                      </w14:textFill>
                    </w:rPr>
                    <w:t>”</w:t>
                  </w:r>
                  <w:r>
                    <w:rPr>
                      <w:rFonts w:hint="default" w:ascii="Times New Roman" w:hAnsi="Times New Roman" w:eastAsia="宋体" w:cs="Times New Roman"/>
                      <w:b/>
                      <w:bCs/>
                      <w:color w:val="000000" w:themeColor="text1"/>
                      <w:szCs w:val="21"/>
                      <w14:textFill>
                        <w14:solidFill>
                          <w14:schemeClr w14:val="tx1"/>
                        </w14:solidFill>
                      </w14:textFill>
                    </w:rPr>
                    <w:t>建设。</w:t>
                  </w:r>
                  <w:r>
                    <w:rPr>
                      <w:rFonts w:hint="default" w:ascii="Times New Roman" w:hAnsi="Times New Roman" w:eastAsia="宋体" w:cs="Times New Roman"/>
                      <w:color w:val="000000" w:themeColor="text1"/>
                      <w:szCs w:val="21"/>
                      <w14:textFill>
                        <w14:solidFill>
                          <w14:schemeClr w14:val="tx1"/>
                        </w14:solidFill>
                      </w14:textFill>
                    </w:rPr>
                    <w:t>稳步推进地级城市开展</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无废城市</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建设，积极推进无废学校、社区、企业等</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无废细胞</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建设。</w:t>
                  </w:r>
                </w:p>
              </w:tc>
              <w:tc>
                <w:tcPr>
                  <w:tcW w:w="1657" w:type="pct"/>
                  <w:vAlign w:val="center"/>
                </w:tcPr>
                <w:p w14:paraId="23773B34">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本项目施工期、运行期产生的固体废物均能得到合理处置。</w:t>
                  </w:r>
                </w:p>
              </w:tc>
              <w:tc>
                <w:tcPr>
                  <w:tcW w:w="538" w:type="pct"/>
                  <w:vAlign w:val="center"/>
                </w:tcPr>
                <w:p w14:paraId="1C453502">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bl>
          <w:p w14:paraId="753C7ED2">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14、与《关于印发玉溪市打赢蓝天保卫战三年行动实施方案的通知》（玉政办通〔2018〕113号）符合性分析</w:t>
            </w:r>
          </w:p>
          <w:p w14:paraId="7C6C30A9">
            <w:pPr>
              <w:tabs>
                <w:tab w:val="left" w:pos="4830"/>
              </w:tabs>
              <w:jc w:val="center"/>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表1-</w:t>
            </w:r>
            <w:r>
              <w:rPr>
                <w:rFonts w:hint="default" w:ascii="Times New Roman" w:hAnsi="Times New Roman" w:eastAsia="宋体" w:cs="Times New Roman"/>
                <w:b/>
                <w:bCs/>
                <w:color w:val="000000" w:themeColor="text1"/>
                <w:sz w:val="21"/>
                <w:szCs w:val="18"/>
                <w:lang w:val="en-US" w:eastAsia="zh-CN"/>
                <w14:textFill>
                  <w14:solidFill>
                    <w14:schemeClr w14:val="tx1"/>
                  </w14:solidFill>
                </w14:textFill>
              </w:rPr>
              <w:t>14</w:t>
            </w:r>
            <w:r>
              <w:rPr>
                <w:rFonts w:hint="default" w:ascii="Times New Roman" w:hAnsi="Times New Roman" w:eastAsia="宋体" w:cs="Times New Roman"/>
                <w:b/>
                <w:bCs/>
                <w:color w:val="000000" w:themeColor="text1"/>
                <w:sz w:val="21"/>
                <w:szCs w:val="18"/>
                <w14:textFill>
                  <w14:solidFill>
                    <w14:schemeClr w14:val="tx1"/>
                  </w14:solidFill>
                </w14:textFill>
              </w:rPr>
              <w:t>项目与</w:t>
            </w:r>
            <w:r>
              <w:rPr>
                <w:rFonts w:hint="default" w:ascii="Times New Roman" w:hAnsi="Times New Roman" w:eastAsia="宋体" w:cs="Times New Roman"/>
                <w:b/>
                <w:bCs/>
                <w:color w:val="000000" w:themeColor="text1"/>
                <w:sz w:val="21"/>
                <w:szCs w:val="18"/>
                <w:lang w:val="en-US" w:eastAsia="zh-CN"/>
                <w14:textFill>
                  <w14:solidFill>
                    <w14:schemeClr w14:val="tx1"/>
                  </w14:solidFill>
                </w14:textFill>
              </w:rPr>
              <w:t>《玉溪市打赢蓝天保卫战三年行动实施方案》</w:t>
            </w:r>
            <w:r>
              <w:rPr>
                <w:rFonts w:hint="default" w:ascii="Times New Roman" w:hAnsi="Times New Roman" w:eastAsia="宋体" w:cs="Times New Roman"/>
                <w:b/>
                <w:bCs/>
                <w:color w:val="000000" w:themeColor="text1"/>
                <w:sz w:val="21"/>
                <w:szCs w:val="18"/>
                <w14:textFill>
                  <w14:solidFill>
                    <w14:schemeClr w14:val="tx1"/>
                  </w14:solidFill>
                </w14:textFill>
              </w:rPr>
              <w:t>符合性分析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392"/>
              <w:gridCol w:w="2422"/>
              <w:gridCol w:w="760"/>
            </w:tblGrid>
            <w:tr w14:paraId="2C30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815" w:type="pct"/>
                  <w:gridSpan w:val="2"/>
                  <w:vAlign w:val="center"/>
                </w:tcPr>
                <w:p w14:paraId="0EA6F162">
                  <w:pPr>
                    <w:tabs>
                      <w:tab w:val="left" w:pos="4830"/>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法规要求</w:t>
                  </w:r>
                </w:p>
              </w:tc>
              <w:tc>
                <w:tcPr>
                  <w:tcW w:w="1652" w:type="pct"/>
                  <w:vAlign w:val="center"/>
                </w:tcPr>
                <w:p w14:paraId="75CF3869">
                  <w:pPr>
                    <w:tabs>
                      <w:tab w:val="left" w:pos="4830"/>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本项目保护情况</w:t>
                  </w:r>
                </w:p>
              </w:tc>
              <w:tc>
                <w:tcPr>
                  <w:tcW w:w="532" w:type="pct"/>
                  <w:vAlign w:val="center"/>
                </w:tcPr>
                <w:p w14:paraId="03BCA071">
                  <w:pPr>
                    <w:tabs>
                      <w:tab w:val="left" w:pos="4830"/>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符合性</w:t>
                  </w:r>
                </w:p>
              </w:tc>
            </w:tr>
            <w:tr w14:paraId="14D7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Align w:val="center"/>
                </w:tcPr>
                <w:p w14:paraId="3783D5AA">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（一）优化产业布局。</w:t>
                  </w:r>
                </w:p>
              </w:tc>
              <w:tc>
                <w:tcPr>
                  <w:tcW w:w="2305" w:type="pct"/>
                  <w:vAlign w:val="center"/>
                </w:tcPr>
                <w:p w14:paraId="4301493E">
                  <w:pPr>
                    <w:tabs>
                      <w:tab w:val="left" w:pos="483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积极推行区域、规划环境影响评价，新、改、扩建钢铁、石化、化工、焦化、建材、有色等项目的环境影响评价，应满足区域、规划环评要求。加大区域产业布局调整力度。加快城市建成区重污染企业搬迁改造或关闭退出，重点推动城市建成区及周边水泥、化工、钢铁等重污染企业搬迁改造或关闭退出。加快推进玉昆钢铁集团有限公司企业搬迁，进一步明确工期，倒排时间，按要求完成搬迁任务。</w:t>
                  </w:r>
                </w:p>
              </w:tc>
              <w:tc>
                <w:tcPr>
                  <w:tcW w:w="1652" w:type="pct"/>
                  <w:vAlign w:val="center"/>
                </w:tcPr>
                <w:p w14:paraId="60F10F64">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根据分析，本项目符合</w:t>
                  </w:r>
                  <w:r>
                    <w:rPr>
                      <w:rFonts w:hint="default" w:ascii="Times New Roman" w:hAnsi="Times New Roman" w:eastAsia="宋体" w:cs="Times New Roman"/>
                      <w:color w:val="000000" w:themeColor="text1"/>
                      <w:szCs w:val="21"/>
                      <w:lang w:val="en-US" w:eastAsia="zh-CN"/>
                      <w14:textFill>
                        <w14:solidFill>
                          <w14:schemeClr w14:val="tx1"/>
                        </w14:solidFill>
                      </w14:textFill>
                    </w:rPr>
                    <w:t>《玉溪高新技术产业开发区总体规划修编（2021-2035年）环境影响报告书》及其审查意见。</w:t>
                  </w:r>
                </w:p>
                <w:p w14:paraId="17D35918">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软包装、新能源包装材料项目，</w:t>
                  </w:r>
                  <w:r>
                    <w:rPr>
                      <w:rFonts w:hint="default" w:ascii="Times New Roman" w:hAnsi="Times New Roman" w:eastAsia="宋体" w:cs="Times New Roman"/>
                      <w:color w:val="000000" w:themeColor="text1"/>
                      <w:szCs w:val="21"/>
                      <w:lang w:val="en-US" w:eastAsia="zh-CN"/>
                      <w14:textFill>
                        <w14:solidFill>
                          <w14:schemeClr w14:val="tx1"/>
                        </w14:solidFill>
                      </w14:textFill>
                    </w:rPr>
                    <w:t>不涉及钢铁、石化、化工、焦化、建材、有色等行业。</w:t>
                  </w:r>
                </w:p>
                <w:p w14:paraId="2C0424CB">
                  <w:pPr>
                    <w:tabs>
                      <w:tab w:val="left" w:pos="483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本项目不属于重污染企业，不涉及城市建成区重污染企业搬迁改造或关闭退出工作。</w:t>
                  </w:r>
                </w:p>
              </w:tc>
              <w:tc>
                <w:tcPr>
                  <w:tcW w:w="532" w:type="pct"/>
                  <w:vAlign w:val="center"/>
                </w:tcPr>
                <w:p w14:paraId="263B48BD">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1CD5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Align w:val="center"/>
                </w:tcPr>
                <w:p w14:paraId="7AAEC8C1">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（二）严控</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两高</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行业产能。</w:t>
                  </w:r>
                </w:p>
              </w:tc>
              <w:tc>
                <w:tcPr>
                  <w:tcW w:w="2305" w:type="pct"/>
                  <w:vAlign w:val="center"/>
                </w:tcPr>
                <w:p w14:paraId="0A0D829A">
                  <w:pPr>
                    <w:tabs>
                      <w:tab w:val="left" w:pos="483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严控</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两高</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行业产能。严格执行钢铁、水泥、平板玻璃等行业产能置换实施办法。加大落后产能淘汰和过剩产能压减力度。严格执行质量、环保、能耗、安全等法规标准，落实国家《产业结构调整指导目录》。严防</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地条钢</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死灰复燃。列入去产能计划的钢铁企业，需一并退出配套的烧结、焦炉、高炉等设备。</w:t>
                  </w:r>
                </w:p>
              </w:tc>
              <w:tc>
                <w:tcPr>
                  <w:tcW w:w="1652" w:type="pct"/>
                  <w:vAlign w:val="center"/>
                </w:tcPr>
                <w:p w14:paraId="45784207">
                  <w:pPr>
                    <w:tabs>
                      <w:tab w:val="left" w:pos="483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本项目不属于</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两高行业</w:t>
                  </w:r>
                  <w:r>
                    <w:rPr>
                      <w:rFonts w:hint="eastAsia" w:cs="Times New Roman"/>
                      <w:color w:val="000000" w:themeColor="text1"/>
                      <w:szCs w:val="21"/>
                      <w:lang w:eastAsia="zh-CN"/>
                      <w14:textFill>
                        <w14:solidFill>
                          <w14:schemeClr w14:val="tx1"/>
                        </w14:solidFill>
                      </w14:textFill>
                    </w:rPr>
                    <w:t>”</w:t>
                  </w:r>
                </w:p>
              </w:tc>
              <w:tc>
                <w:tcPr>
                  <w:tcW w:w="532" w:type="pct"/>
                  <w:vAlign w:val="center"/>
                </w:tcPr>
                <w:p w14:paraId="5200D41E">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14:paraId="4EB7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Align w:val="center"/>
                </w:tcPr>
                <w:p w14:paraId="6221B9F7">
                  <w:pPr>
                    <w:tabs>
                      <w:tab w:val="left" w:pos="483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（三）强化</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散乱污</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企业综合整治。</w:t>
                  </w:r>
                </w:p>
              </w:tc>
              <w:tc>
                <w:tcPr>
                  <w:tcW w:w="2305" w:type="pct"/>
                  <w:vAlign w:val="center"/>
                </w:tcPr>
                <w:p w14:paraId="663BF6C1">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强化</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散乱污</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企业综合整治。全面开展</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散乱污</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企业及集群综合整治行动。根据产业政策、产业布局规划，以及土地、环保、质量、安全、能耗等要求，制定</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散乱污</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企业及集群整治方案。实行拉网式排查，建立管理台账。按照</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先停后治</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的原则，实施分类处置。</w:t>
                  </w:r>
                </w:p>
              </w:tc>
              <w:tc>
                <w:tcPr>
                  <w:tcW w:w="1652" w:type="pct"/>
                  <w:vAlign w:val="center"/>
                </w:tcPr>
                <w:p w14:paraId="1BFDDC46">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本项目位于玉溪高新区龙泉片区，位于工业园区内，利用工业园区内现有闲置厂房进行建设，不属于</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散乱污</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企业。</w:t>
                  </w:r>
                </w:p>
              </w:tc>
              <w:tc>
                <w:tcPr>
                  <w:tcW w:w="532" w:type="pct"/>
                  <w:vAlign w:val="center"/>
                </w:tcPr>
                <w:p w14:paraId="70259472">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5927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Align w:val="center"/>
                </w:tcPr>
                <w:p w14:paraId="2A6B896C">
                  <w:pPr>
                    <w:tabs>
                      <w:tab w:val="left" w:pos="483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（四）深化工业污染治理。</w:t>
                  </w:r>
                </w:p>
              </w:tc>
              <w:tc>
                <w:tcPr>
                  <w:tcW w:w="2305" w:type="pct"/>
                  <w:vAlign w:val="center"/>
                </w:tcPr>
                <w:p w14:paraId="40B41731">
                  <w:pPr>
                    <w:tabs>
                      <w:tab w:val="left" w:pos="483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深化工业污染治理。持续推进工业污染源全面达标排放，将烟气在线监测数据作为执法依据，加大超标处罚和联合惩戒力度，未达标排放的企业一律依法停产整治。</w:t>
                  </w:r>
                </w:p>
              </w:tc>
              <w:tc>
                <w:tcPr>
                  <w:tcW w:w="1652" w:type="pct"/>
                  <w:vAlign w:val="center"/>
                </w:tcPr>
                <w:p w14:paraId="766B34FA">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本项目生产过程中有机废气经</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RTO蓄热燃烧装置</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处理达《印刷工业大气污染物排放标准》（GB41616-2022）后通过1根22m高排气筒DA001排放。</w:t>
                  </w:r>
                </w:p>
              </w:tc>
              <w:tc>
                <w:tcPr>
                  <w:tcW w:w="532" w:type="pct"/>
                  <w:vAlign w:val="center"/>
                </w:tcPr>
                <w:p w14:paraId="4C06660E">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bl>
          <w:p w14:paraId="6D661CE9">
            <w:pPr>
              <w:pStyle w:val="84"/>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kern w:val="0"/>
                <w:lang w:eastAsia="zh-CN"/>
                <w14:textFill>
                  <w14:solidFill>
                    <w14:schemeClr w14:val="tx1"/>
                  </w14:solidFill>
                </w14:textFill>
              </w:rPr>
            </w:pP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r>
              <w:rPr>
                <w:rFonts w:hint="default" w:ascii="Times New Roman" w:hAnsi="Times New Roman" w:eastAsia="宋体" w:cs="Times New Roman"/>
                <w:color w:val="000000" w:themeColor="text1"/>
                <w:kern w:val="0"/>
                <w:lang w:eastAsia="zh-CN"/>
                <w14:textFill>
                  <w14:solidFill>
                    <w14:schemeClr w14:val="tx1"/>
                  </w14:solidFill>
                </w14:textFill>
              </w:rPr>
              <w:br w:type="textWrapping"/>
            </w:r>
          </w:p>
          <w:p w14:paraId="4E48D5F8">
            <w:pPr>
              <w:pStyle w:val="84"/>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kern w:val="0"/>
                <w:lang w:eastAsia="zh-CN"/>
                <w14:textFill>
                  <w14:solidFill>
                    <w14:schemeClr w14:val="tx1"/>
                  </w14:solidFill>
                </w14:textFill>
              </w:rPr>
            </w:pPr>
          </w:p>
        </w:tc>
      </w:tr>
    </w:tbl>
    <w:p w14:paraId="7237F6FA">
      <w:pPr>
        <w:pStyle w:val="2"/>
        <w:pageBreakBefore w:val="0"/>
        <w:kinsoku/>
        <w:overflowPunct/>
        <w:topLinePunct w:val="0"/>
        <w:bidi w:val="0"/>
        <w:spacing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p>
    <w:p w14:paraId="4776575C">
      <w:pPr>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E80A2E3">
      <w:pPr>
        <w:pStyle w:val="28"/>
        <w:pageBreakBefore w:val="0"/>
        <w:kinsoku/>
        <w:overflowPunct/>
        <w:topLinePunct w:val="0"/>
        <w:bidi w:val="0"/>
        <w:adjustRightInd w:val="0"/>
        <w:snapToGrid w:val="0"/>
        <w:spacing w:before="0" w:beforeAutospacing="0" w:after="0" w:afterAutospacing="0"/>
        <w:ind w:left="0" w:leftChars="0" w:right="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5" w:name="_Toc1587"/>
      <w:bookmarkStart w:id="6" w:name="_Toc22458"/>
      <w:r>
        <w:rPr>
          <w:rFonts w:hint="default" w:ascii="Times New Roman" w:hAnsi="Times New Roman" w:eastAsia="宋体" w:cs="Times New Roman"/>
          <w:b/>
          <w:bCs/>
          <w:snapToGrid w:val="0"/>
          <w:color w:val="000000" w:themeColor="text1"/>
          <w:sz w:val="30"/>
          <w:szCs w:val="30"/>
          <w14:textFill>
            <w14:solidFill>
              <w14:schemeClr w14:val="tx1"/>
            </w14:solidFill>
          </w14:textFill>
        </w:rPr>
        <w:t>二、建设项目工程分析</w:t>
      </w:r>
      <w:bookmarkEnd w:id="5"/>
      <w:bookmarkEnd w:id="6"/>
    </w:p>
    <w:tbl>
      <w:tblPr>
        <w:tblStyle w:val="32"/>
        <w:tblW w:w="93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8635"/>
      </w:tblGrid>
      <w:tr w14:paraId="283ED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3" w:type="dxa"/>
            <w:vAlign w:val="center"/>
          </w:tcPr>
          <w:p w14:paraId="31CBA0EA">
            <w:pPr>
              <w:pStyle w:val="28"/>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建设内容</w:t>
            </w:r>
          </w:p>
        </w:tc>
        <w:tc>
          <w:tcPr>
            <w:tcW w:w="8635" w:type="dxa"/>
          </w:tcPr>
          <w:p w14:paraId="3A818197">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1、项目由来</w:t>
            </w:r>
          </w:p>
          <w:p w14:paraId="57415764">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腾曼新材料科技（云南）有限公司租用玉溪高新区龙泉片区</w:t>
            </w:r>
            <w:r>
              <w:rPr>
                <w:rFonts w:hint="default" w:ascii="Times New Roman" w:hAnsi="Times New Roman" w:eastAsia="宋体" w:cs="Times New Roman"/>
                <w:color w:val="000000" w:themeColor="text1"/>
                <w:lang w:val="en-US" w:eastAsia="zh-CN"/>
                <w14:textFill>
                  <w14:solidFill>
                    <w14:schemeClr w14:val="tx1"/>
                  </w14:solidFill>
                </w14:textFill>
              </w:rPr>
              <w:t>A5地块C2栋进行建设</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上海腾曼软包装、新能源包装材料项目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（简称本项目）</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该地块属于</w:t>
            </w:r>
            <w:r>
              <w:rPr>
                <w:rFonts w:hint="default" w:ascii="Times New Roman" w:hAnsi="Times New Roman" w:eastAsia="宋体" w:cs="Times New Roman"/>
                <w:b w:val="0"/>
                <w:bCs w:val="0"/>
                <w:color w:val="000000" w:themeColor="text1"/>
                <w:kern w:val="0"/>
                <w:sz w:val="24"/>
                <w:u w:val="none"/>
                <w14:textFill>
                  <w14:solidFill>
                    <w14:schemeClr w14:val="tx1"/>
                  </w14:solidFill>
                </w14:textFill>
              </w:rPr>
              <w:t>玉溪高新技术产业开发区</w:t>
            </w:r>
            <w:r>
              <w:rPr>
                <w:rFonts w:hint="default" w:ascii="Times New Roman" w:hAnsi="Times New Roman" w:eastAsia="宋体" w:cs="Times New Roman"/>
                <w:b w:val="0"/>
                <w:bCs w:val="0"/>
                <w:color w:val="000000" w:themeColor="text1"/>
                <w:kern w:val="0"/>
                <w:sz w:val="24"/>
                <w:u w:val="none"/>
                <w:lang w:eastAsia="zh-CN"/>
                <w14:textFill>
                  <w14:solidFill>
                    <w14:schemeClr w14:val="tx1"/>
                  </w14:solidFill>
                </w14:textFill>
              </w:rPr>
              <w:t>龙泉片区，位于工业园区内。</w:t>
            </w:r>
          </w:p>
          <w:p w14:paraId="4A4ADAD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项目于2025年9月3日与玉溪高新技术产业开发区管理委员会签订了投资协议，同意项目入驻。项目于2025年9月5日取得了玉溪高新技术产业开发区管理委员会</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投资项目备案证（备案文号：玉高开委发备案〔2025〕37号）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，同意项目建设。</w:t>
            </w:r>
          </w:p>
          <w:p w14:paraId="6CF18031">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根据</w:t>
            </w:r>
            <w:r>
              <w:rPr>
                <w:rFonts w:hint="default" w:ascii="Times New Roman" w:hAnsi="Times New Roman" w:eastAsia="宋体" w:cs="Times New Roman"/>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kern w:val="0"/>
                <w:lang w:bidi="ar"/>
                <w14:textFill>
                  <w14:solidFill>
                    <w14:schemeClr w14:val="tx1"/>
                  </w14:solidFill>
                </w14:textFill>
              </w:rPr>
              <w:t>中华人民共和国环境保护法》、</w:t>
            </w:r>
            <w:r>
              <w:rPr>
                <w:rFonts w:hint="default" w:ascii="Times New Roman" w:hAnsi="Times New Roman" w:eastAsia="宋体" w:cs="Times New Roman"/>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kern w:val="0"/>
                <w:lang w:bidi="ar"/>
                <w14:textFill>
                  <w14:solidFill>
                    <w14:schemeClr w14:val="tx1"/>
                  </w14:solidFill>
                </w14:textFill>
              </w:rPr>
              <w:t>中华人民共和国环境影响评价法》、</w:t>
            </w:r>
            <w:r>
              <w:rPr>
                <w:rFonts w:hint="default" w:ascii="Times New Roman" w:hAnsi="Times New Roman" w:eastAsia="宋体" w:cs="Times New Roman"/>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kern w:val="0"/>
                <w:lang w:bidi="ar"/>
                <w14:textFill>
                  <w14:solidFill>
                    <w14:schemeClr w14:val="tx1"/>
                  </w14:solidFill>
                </w14:textFill>
              </w:rPr>
              <w:t>建设项目环境保护管理条例》和</w:t>
            </w:r>
            <w:r>
              <w:rPr>
                <w:rFonts w:hint="default" w:ascii="Times New Roman" w:hAnsi="Times New Roman" w:eastAsia="宋体" w:cs="Times New Roman"/>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kern w:val="0"/>
                <w:lang w:bidi="ar"/>
                <w14:textFill>
                  <w14:solidFill>
                    <w14:schemeClr w14:val="tx1"/>
                  </w14:solidFill>
                </w14:textFill>
              </w:rPr>
              <w:t>云南省建设项目环境保护管理规定》的规定，建设项目必须履行环境影响评价制度。根据</w:t>
            </w:r>
            <w:r>
              <w:rPr>
                <w:rFonts w:hint="default" w:ascii="Times New Roman" w:hAnsi="Times New Roman" w:eastAsia="宋体" w:cs="Times New Roman"/>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kern w:val="0"/>
                <w:lang w:bidi="ar"/>
                <w14:textFill>
                  <w14:solidFill>
                    <w14:schemeClr w14:val="tx1"/>
                  </w14:solidFill>
                </w14:textFill>
              </w:rPr>
              <w:t>建设项目环境影响评价分类管理名录》（2021年版）等有关法律、法规的要求</w:t>
            </w:r>
            <w:r>
              <w:rPr>
                <w:rFonts w:hint="default" w:ascii="Times New Roman" w:hAnsi="Times New Roman" w:eastAsia="宋体" w:cs="Times New Roman"/>
                <w:color w:val="000000" w:themeColor="text1"/>
                <w:lang w:val="en-US" w:eastAsia="zh-CN"/>
                <w14:textFill>
                  <w14:solidFill>
                    <w14:schemeClr w14:val="tx1"/>
                  </w14:solidFill>
                </w14:textFill>
              </w:rPr>
              <w:t>进行判定，判定一览表如下。</w:t>
            </w:r>
          </w:p>
          <w:p w14:paraId="6607DE1C">
            <w:pPr>
              <w:pStyle w:val="45"/>
              <w:keepNext w:val="0"/>
              <w:keepLines w:val="0"/>
              <w:pageBreakBefore w:val="0"/>
              <w:widowControl w:val="0"/>
              <w:kinsoku/>
              <w:wordWrap w:val="0"/>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4"/>
                <w:lang w:val="en-US" w:eastAsia="zh-CN" w:bidi="ar-SA"/>
                <w14:textFill>
                  <w14:solidFill>
                    <w14:schemeClr w14:val="tx1"/>
                  </w14:solidFill>
                </w14:textFill>
              </w:rPr>
              <w:t>表2-1 《建设项目环境影响评价分类管理名录》环评类别判定</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1372"/>
              <w:gridCol w:w="1982"/>
              <w:gridCol w:w="748"/>
              <w:gridCol w:w="2145"/>
              <w:gridCol w:w="758"/>
            </w:tblGrid>
            <w:tr w14:paraId="7C71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002EE5DD">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环评项目类别</w:t>
                  </w:r>
                </w:p>
              </w:tc>
              <w:tc>
                <w:tcPr>
                  <w:tcW w:w="816" w:type="pct"/>
                  <w:vAlign w:val="center"/>
                </w:tcPr>
                <w:p w14:paraId="214AA8FB">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报告书</w:t>
                  </w:r>
                </w:p>
              </w:tc>
              <w:tc>
                <w:tcPr>
                  <w:tcW w:w="1179" w:type="pct"/>
                  <w:vAlign w:val="center"/>
                </w:tcPr>
                <w:p w14:paraId="38EB265A">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报告表</w:t>
                  </w:r>
                </w:p>
              </w:tc>
              <w:tc>
                <w:tcPr>
                  <w:tcW w:w="445" w:type="pct"/>
                  <w:vAlign w:val="center"/>
                </w:tcPr>
                <w:p w14:paraId="0882F39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登记表</w:t>
                  </w:r>
                </w:p>
              </w:tc>
              <w:tc>
                <w:tcPr>
                  <w:tcW w:w="1276" w:type="pct"/>
                  <w:vAlign w:val="center"/>
                </w:tcPr>
                <w:p w14:paraId="7AA335C9">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本项目情况</w:t>
                  </w:r>
                </w:p>
              </w:tc>
              <w:tc>
                <w:tcPr>
                  <w:tcW w:w="450" w:type="pct"/>
                  <w:vAlign w:val="center"/>
                </w:tcPr>
                <w:p w14:paraId="282BA092">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环评类别判定</w:t>
                  </w:r>
                </w:p>
              </w:tc>
            </w:tr>
            <w:tr w14:paraId="1590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18A63B4A">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二十、印刷和记录媒介复制业；</w:t>
                  </w:r>
                </w:p>
                <w:p w14:paraId="64080D8C">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39印刷</w:t>
                  </w:r>
                </w:p>
              </w:tc>
              <w:tc>
                <w:tcPr>
                  <w:tcW w:w="816" w:type="pct"/>
                  <w:vAlign w:val="center"/>
                </w:tcPr>
                <w:p w14:paraId="7A57A22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年用溶剂油墨10吨及以上的</w:t>
                  </w:r>
                </w:p>
              </w:tc>
              <w:tc>
                <w:tcPr>
                  <w:tcW w:w="1179" w:type="pct"/>
                  <w:vAlign w:val="center"/>
                </w:tcPr>
                <w:p w14:paraId="4CA4D88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其他（激光印刷除外；年用低VOCs含量油墨10吨以下的印刷除外）</w:t>
                  </w:r>
                </w:p>
              </w:tc>
              <w:tc>
                <w:tcPr>
                  <w:tcW w:w="445" w:type="pct"/>
                  <w:vAlign w:val="center"/>
                </w:tcPr>
                <w:p w14:paraId="24AFA2E2">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76" w:type="pct"/>
                  <w:vAlign w:val="center"/>
                </w:tcPr>
                <w:p w14:paraId="2DB01B61">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根据核算，本项目溶剂型油墨年用量为</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7.679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t/a，稀释剂用量为</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769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t/a，总用量</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8.4469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450" w:type="pct"/>
                  <w:vAlign w:val="center"/>
                </w:tcPr>
                <w:p w14:paraId="0835B8FA">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报告表</w:t>
                  </w:r>
                </w:p>
              </w:tc>
            </w:tr>
          </w:tbl>
          <w:p w14:paraId="67E0E881">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eastAsia="zh-CN" w:bidi="ar"/>
                <w14:textFill>
                  <w14:solidFill>
                    <w14:schemeClr w14:val="tx1"/>
                  </w14:solidFill>
                </w14:textFill>
              </w:rPr>
              <w:t>本项目为</w:t>
            </w:r>
            <w:r>
              <w:rPr>
                <w:rFonts w:hint="default" w:ascii="Times New Roman" w:hAnsi="Times New Roman" w:eastAsia="宋体" w:cs="Times New Roman"/>
                <w:color w:val="000000" w:themeColor="text1"/>
                <w:sz w:val="24"/>
                <w:lang w:eastAsia="zh-CN"/>
                <w14:textFill>
                  <w14:solidFill>
                    <w14:schemeClr w14:val="tx1"/>
                  </w14:solidFill>
                </w14:textFill>
              </w:rPr>
              <w:t>软包装、新能源包装材料项目</w:t>
            </w:r>
            <w:r>
              <w:rPr>
                <w:rFonts w:hint="default" w:ascii="Times New Roman" w:hAnsi="Times New Roman" w:eastAsia="宋体" w:cs="Times New Roman"/>
                <w:color w:val="000000" w:themeColor="text1"/>
                <w:kern w:val="0"/>
                <w:lang w:eastAsia="zh-CN" w:bidi="ar"/>
                <w14:textFill>
                  <w14:solidFill>
                    <w14:schemeClr w14:val="tx1"/>
                  </w14:solidFill>
                </w14:textFill>
              </w:rPr>
              <w:t>，综上所述，本项目</w:t>
            </w:r>
            <w:r>
              <w:rPr>
                <w:rFonts w:hint="default" w:ascii="Times New Roman" w:hAnsi="Times New Roman" w:eastAsia="宋体" w:cs="Times New Roman"/>
                <w:color w:val="000000" w:themeColor="text1"/>
                <w:kern w:val="0"/>
                <w:lang w:bidi="ar"/>
                <w14:textFill>
                  <w14:solidFill>
                    <w14:schemeClr w14:val="tx1"/>
                  </w14:solidFill>
                </w14:textFill>
              </w:rPr>
              <w:t>应编制环境影响报告表。</w:t>
            </w:r>
          </w:p>
          <w:p w14:paraId="04B61473">
            <w:pPr>
              <w:pageBreakBefore w:val="0"/>
              <w:widowControl/>
              <w:tabs>
                <w:tab w:val="left" w:pos="4830"/>
              </w:tabs>
              <w:kinsoku/>
              <w:overflowPunct/>
              <w:topLinePunct w:val="0"/>
              <w:bidi w:val="0"/>
              <w:spacing w:line="360" w:lineRule="auto"/>
              <w:ind w:left="0" w:leftChars="0" w:right="0"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我单位接受委托后，及时组织人员对该项目开展了相关的环评工作，考察该项目场址周边环境及企业生产的实际情况，收集和查阅了该项目的有关资料，在此基础上完成了该项目的环境影响报告表的编制工作，</w:t>
            </w:r>
            <w:r>
              <w:rPr>
                <w:rFonts w:hint="default" w:ascii="Times New Roman" w:hAnsi="Times New Roman" w:eastAsia="宋体" w:cs="Times New Roman"/>
                <w:bCs/>
                <w:color w:val="000000" w:themeColor="text1"/>
                <w:kern w:val="0"/>
                <w:sz w:val="24"/>
                <w:lang w:bidi="ar"/>
                <w14:textFill>
                  <w14:solidFill>
                    <w14:schemeClr w14:val="tx1"/>
                  </w14:solidFill>
                </w14:textFill>
              </w:rPr>
              <w:t>提交给建设单位上报主管部门审批</w:t>
            </w:r>
            <w:r>
              <w:rPr>
                <w:rFonts w:hint="default" w:ascii="Times New Roman" w:hAnsi="Times New Roman" w:eastAsia="宋体" w:cs="Times New Roman"/>
                <w:color w:val="000000" w:themeColor="text1"/>
                <w:sz w:val="24"/>
                <w14:textFill>
                  <w14:solidFill>
                    <w14:schemeClr w14:val="tx1"/>
                  </w14:solidFill>
                </w14:textFill>
              </w:rPr>
              <w:t>。</w:t>
            </w:r>
          </w:p>
          <w:p w14:paraId="4E9BF3A3">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2、项目建设内容及规模</w:t>
            </w:r>
          </w:p>
          <w:p w14:paraId="45740251">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本项目租用玉溪高新区龙泉片区现有厂房进行建设，租用厂房占地面积约为</w:t>
            </w:r>
            <w:r>
              <w:rPr>
                <w:rFonts w:hint="default" w:ascii="Times New Roman" w:hAnsi="Times New Roman" w:eastAsia="宋体" w:cs="Times New Roman"/>
                <w:color w:val="000000" w:themeColor="text1"/>
                <w:sz w:val="24"/>
                <w:lang w:val="en-US" w:eastAsia="zh-CN"/>
                <w14:textFill>
                  <w14:solidFill>
                    <w14:schemeClr w14:val="tx1"/>
                  </w14:solidFill>
                </w14:textFill>
              </w:rPr>
              <w:t>4000m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，该厂房总层数为4层，总建筑面积约16000m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，本项目租用该厂房1层、2层进行建设，总租用面积约为8000m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根据调查，目前</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lang w:val="en-US" w:eastAsia="zh-CN"/>
                <w14:textFill>
                  <w14:solidFill>
                    <w14:schemeClr w14:val="tx1"/>
                  </w14:solidFill>
                </w14:textFill>
              </w:rPr>
              <w:t>3、4层为空置状态，暂未有项目签约入驻。</w:t>
            </w:r>
          </w:p>
          <w:p w14:paraId="02F20D5B">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w:t>
            </w:r>
            <w:r>
              <w:rPr>
                <w:rFonts w:hint="default" w:ascii="Times New Roman" w:hAnsi="Times New Roman" w:eastAsia="宋体" w:cs="Times New Roman"/>
                <w:color w:val="000000" w:themeColor="text1"/>
                <w:lang w:eastAsia="zh-CN"/>
                <w14:textFill>
                  <w14:solidFill>
                    <w14:schemeClr w14:val="tx1"/>
                  </w14:solidFill>
                </w14:textFill>
              </w:rPr>
              <w:t>主要建设原料区、生产区、成品区</w:t>
            </w:r>
            <w:r>
              <w:rPr>
                <w:rFonts w:hint="default" w:ascii="Times New Roman" w:hAnsi="Times New Roman" w:eastAsia="宋体" w:cs="Times New Roman"/>
                <w:color w:val="000000" w:themeColor="text1"/>
                <w14:textFill>
                  <w14:solidFill>
                    <w14:schemeClr w14:val="tx1"/>
                  </w14:solidFill>
                </w14:textFill>
              </w:rPr>
              <w:t>及配套公辅助工程、环保工程。</w:t>
            </w:r>
          </w:p>
          <w:p w14:paraId="6A8918A9">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项目主要建设内容见表2-1。</w:t>
            </w:r>
          </w:p>
          <w:p w14:paraId="069B6CC2">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表2-1  项目组成一览表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870"/>
              <w:gridCol w:w="1141"/>
              <w:gridCol w:w="5089"/>
              <w:gridCol w:w="680"/>
            </w:tblGrid>
            <w:tr w14:paraId="3FA2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4" w:type="pct"/>
                  <w:vMerge w:val="restart"/>
                  <w:vAlign w:val="center"/>
                </w:tcPr>
                <w:p w14:paraId="0A77762D">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工程分类</w:t>
                  </w:r>
                </w:p>
              </w:tc>
              <w:tc>
                <w:tcPr>
                  <w:tcW w:w="517" w:type="pct"/>
                  <w:vMerge w:val="restart"/>
                  <w:vAlign w:val="center"/>
                </w:tcPr>
                <w:p w14:paraId="22C08FBD">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项目名称</w:t>
                  </w:r>
                </w:p>
              </w:tc>
              <w:tc>
                <w:tcPr>
                  <w:tcW w:w="3703" w:type="pct"/>
                  <w:gridSpan w:val="2"/>
                  <w:vMerge w:val="restart"/>
                  <w:vAlign w:val="center"/>
                </w:tcPr>
                <w:p w14:paraId="71832051">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建设内容及规模</w:t>
                  </w:r>
                </w:p>
              </w:tc>
              <w:tc>
                <w:tcPr>
                  <w:tcW w:w="404" w:type="pct"/>
                  <w:vMerge w:val="restart"/>
                  <w:vAlign w:val="center"/>
                </w:tcPr>
                <w:p w14:paraId="248175D4">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备注</w:t>
                  </w:r>
                </w:p>
              </w:tc>
            </w:tr>
            <w:tr w14:paraId="1597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4" w:type="pct"/>
                  <w:vMerge w:val="continue"/>
                  <w:vAlign w:val="center"/>
                </w:tcPr>
                <w:p w14:paraId="059B6434">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517" w:type="pct"/>
                  <w:vMerge w:val="continue"/>
                  <w:vAlign w:val="center"/>
                </w:tcPr>
                <w:p w14:paraId="3978F342">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3703" w:type="pct"/>
                  <w:gridSpan w:val="2"/>
                  <w:vMerge w:val="continue"/>
                  <w:vAlign w:val="center"/>
                </w:tcPr>
                <w:p w14:paraId="282A6243">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404" w:type="pct"/>
                  <w:vMerge w:val="continue"/>
                  <w:vAlign w:val="center"/>
                </w:tcPr>
                <w:p w14:paraId="1CE74D71">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7ECD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restart"/>
                  <w:vAlign w:val="center"/>
                </w:tcPr>
                <w:p w14:paraId="7CB706DB">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主体工程</w:t>
                  </w:r>
                </w:p>
              </w:tc>
              <w:tc>
                <w:tcPr>
                  <w:tcW w:w="517" w:type="pct"/>
                  <w:vMerge w:val="restart"/>
                  <w:vAlign w:val="center"/>
                </w:tcPr>
                <w:p w14:paraId="38F22397">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生产厂房</w:t>
                  </w:r>
                </w:p>
              </w:tc>
              <w:tc>
                <w:tcPr>
                  <w:tcW w:w="3703" w:type="pct"/>
                  <w:gridSpan w:val="2"/>
                  <w:vAlign w:val="center"/>
                </w:tcPr>
                <w:p w14:paraId="1D2EB316">
                  <w:pPr>
                    <w:pStyle w:val="19"/>
                    <w:keepNext w:val="0"/>
                    <w:keepLines w:val="0"/>
                    <w:pageBreakBefore w:val="0"/>
                    <w:kinsoku/>
                    <w:wordWrap/>
                    <w:overflowPunct/>
                    <w:topLinePunct w:val="0"/>
                    <w:autoSpaceDE/>
                    <w:autoSpaceDN/>
                    <w:bidi w:val="0"/>
                    <w:adjustRightInd w:val="0"/>
                    <w:snapToGrid w:val="0"/>
                    <w:spacing w:line="240" w:lineRule="auto"/>
                    <w:ind w:left="0" w:leftChars="0"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现有已建标准化生产厂房</w:t>
                  </w:r>
                  <w:r>
                    <w:rPr>
                      <w:rFonts w:hint="default" w:ascii="Times New Roman" w:hAnsi="Times New Roman" w:eastAsia="宋体" w:cs="Times New Roman"/>
                      <w:color w:val="000000" w:themeColor="text1"/>
                      <w:sz w:val="21"/>
                      <w:szCs w:val="21"/>
                      <w:lang w:eastAsia="zh-CN"/>
                      <w14:textFill>
                        <w14:solidFill>
                          <w14:schemeClr w14:val="tx1"/>
                        </w14:solidFill>
                      </w14:textFill>
                    </w:rPr>
                    <w:t>占地面积约为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，厂房总层数为4层，根据建设单位提供资料，现有厂房1F层高约6.9m，2F、3F、4F层高4.5m，厂房总高度约20.4m。</w:t>
                  </w:r>
                </w:p>
                <w:p w14:paraId="3515F3D2">
                  <w:pPr>
                    <w:pStyle w:val="19"/>
                    <w:keepNext w:val="0"/>
                    <w:keepLines w:val="0"/>
                    <w:pageBreakBefore w:val="0"/>
                    <w:kinsoku/>
                    <w:wordWrap/>
                    <w:overflowPunct/>
                    <w:topLinePunct w:val="0"/>
                    <w:autoSpaceDE/>
                    <w:autoSpaceDN/>
                    <w:bidi w:val="0"/>
                    <w:adjustRightInd w:val="0"/>
                    <w:snapToGrid w:val="0"/>
                    <w:spacing w:line="240" w:lineRule="auto"/>
                    <w:ind w:left="0" w:leftChars="0"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总建筑面积约16000m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，生产厂房为砖混结构。</w:t>
                  </w:r>
                </w:p>
                <w:p w14:paraId="79518D2F">
                  <w:pPr>
                    <w:pStyle w:val="19"/>
                    <w:keepNext w:val="0"/>
                    <w:keepLines w:val="0"/>
                    <w:pageBreakBefore w:val="0"/>
                    <w:kinsoku/>
                    <w:wordWrap/>
                    <w:overflowPunct/>
                    <w:topLinePunct w:val="0"/>
                    <w:autoSpaceDE/>
                    <w:autoSpaceDN/>
                    <w:bidi w:val="0"/>
                    <w:adjustRightInd w:val="0"/>
                    <w:snapToGrid w:val="0"/>
                    <w:spacing w:line="240" w:lineRule="auto"/>
                    <w:ind w:left="0" w:leftChars="0"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本项目租用该厂房1层、2层进行建设，本项目总租用面积约为8000m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04" w:type="pct"/>
                  <w:vAlign w:val="center"/>
                </w:tcPr>
                <w:p w14:paraId="2CB7C850">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依托现有；装修后使用</w:t>
                  </w:r>
                </w:p>
              </w:tc>
            </w:tr>
            <w:tr w14:paraId="29EB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Merge w:val="continue"/>
                  <w:vAlign w:val="center"/>
                </w:tcPr>
                <w:p w14:paraId="682187B4">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517" w:type="pct"/>
                  <w:vMerge w:val="continue"/>
                  <w:vAlign w:val="center"/>
                </w:tcPr>
                <w:p w14:paraId="6B098E43">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8" w:type="pct"/>
                  <w:vAlign w:val="center"/>
                </w:tcPr>
                <w:p w14:paraId="39D53322">
                  <w:pPr>
                    <w:pStyle w:val="19"/>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生产厂房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1层</w:t>
                  </w:r>
                </w:p>
              </w:tc>
              <w:tc>
                <w:tcPr>
                  <w:tcW w:w="3025" w:type="pct"/>
                  <w:vAlign w:val="center"/>
                </w:tcPr>
                <w:p w14:paraId="2E9FC17C">
                  <w:pPr>
                    <w:keepNext w:val="0"/>
                    <w:keepLines w:val="0"/>
                    <w:pageBreakBefore w:val="0"/>
                    <w:kinsoku/>
                    <w:wordWrap/>
                    <w:overflowPunct/>
                    <w:topLinePunct w:val="0"/>
                    <w:autoSpaceDE/>
                    <w:autoSpaceDN/>
                    <w:bidi w:val="0"/>
                    <w:spacing w:line="240" w:lineRule="auto"/>
                    <w:ind w:left="0" w:leftChars="0"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生产厂房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1F面积</w:t>
                  </w:r>
                  <w:r>
                    <w:rPr>
                      <w:rFonts w:hint="default" w:ascii="Times New Roman" w:hAnsi="Times New Roman" w:eastAsia="宋体" w:cs="Times New Roman"/>
                      <w:color w:val="000000" w:themeColor="text1"/>
                      <w:sz w:val="21"/>
                      <w:szCs w:val="21"/>
                      <w:lang w:eastAsia="zh-CN"/>
                      <w14:textFill>
                        <w14:solidFill>
                          <w14:schemeClr w14:val="tx1"/>
                        </w14:solidFill>
                      </w14:textFill>
                    </w:rPr>
                    <w:t>约为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32861695">
                  <w:pPr>
                    <w:keepNext w:val="0"/>
                    <w:keepLines w:val="0"/>
                    <w:pageBreakBefore w:val="0"/>
                    <w:kinsoku/>
                    <w:wordWrap/>
                    <w:overflowPunct/>
                    <w:topLinePunct w:val="0"/>
                    <w:autoSpaceDE/>
                    <w:autoSpaceDN/>
                    <w:bidi w:val="0"/>
                    <w:spacing w:line="240" w:lineRule="auto"/>
                    <w:ind w:left="0" w:leftChars="0"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本项目生产厂房1F主要</w:t>
                  </w:r>
                  <w:r>
                    <w:rPr>
                      <w:rFonts w:hint="default" w:ascii="Times New Roman" w:hAnsi="Times New Roman" w:eastAsia="宋体" w:cs="Times New Roman"/>
                      <w:color w:val="000000" w:themeColor="text1"/>
                      <w:szCs w:val="21"/>
                      <w:lang w:val="en-US" w:eastAsia="zh-CN"/>
                      <w14:textFill>
                        <w14:solidFill>
                          <w14:schemeClr w14:val="tx1"/>
                        </w14:solidFill>
                      </w14:textFill>
                    </w:rPr>
                    <w:t>主要布设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印刷、复合、固化、分切工序；设置有2台陕西北人印刷机（凹版印刷）、1台干式复合机，2台无溶剂复合机、1台低位三合一无溶剂复合机、3台分切机。</w:t>
                  </w:r>
                </w:p>
                <w:p w14:paraId="77218CD0">
                  <w:pPr>
                    <w:keepNext w:val="0"/>
                    <w:keepLines w:val="0"/>
                    <w:pageBreakBefore w:val="0"/>
                    <w:kinsoku/>
                    <w:wordWrap/>
                    <w:overflowPunct/>
                    <w:topLinePunct w:val="0"/>
                    <w:autoSpaceDE/>
                    <w:autoSpaceDN/>
                    <w:bidi w:val="0"/>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生产厂房1F主要设置有原料区、溶剂间、生产区（印刷、复合、分切工序）、熟化区（固化工序）、办公室。</w:t>
                  </w:r>
                </w:p>
              </w:tc>
              <w:tc>
                <w:tcPr>
                  <w:tcW w:w="404" w:type="pct"/>
                  <w:vAlign w:val="center"/>
                </w:tcPr>
                <w:p w14:paraId="7B563AFB">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装修后使用；设备新增</w:t>
                  </w:r>
                </w:p>
              </w:tc>
            </w:tr>
            <w:tr w14:paraId="029E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Merge w:val="continue"/>
                  <w:vAlign w:val="center"/>
                </w:tcPr>
                <w:p w14:paraId="00F15655">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517" w:type="pct"/>
                  <w:vMerge w:val="continue"/>
                  <w:vAlign w:val="center"/>
                </w:tcPr>
                <w:p w14:paraId="4B0E7E87">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8" w:type="pct"/>
                  <w:vAlign w:val="center"/>
                </w:tcPr>
                <w:p w14:paraId="1E8582F2">
                  <w:pPr>
                    <w:pStyle w:val="19"/>
                    <w:keepNext w:val="0"/>
                    <w:keepLines w:val="0"/>
                    <w:pageBreakBefore w:val="0"/>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生产厂房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2层</w:t>
                  </w:r>
                </w:p>
              </w:tc>
              <w:tc>
                <w:tcPr>
                  <w:tcW w:w="3025" w:type="pct"/>
                  <w:vAlign w:val="center"/>
                </w:tcPr>
                <w:p w14:paraId="28EDF584">
                  <w:pPr>
                    <w:keepNext w:val="0"/>
                    <w:keepLines w:val="0"/>
                    <w:pageBreakBefore w:val="0"/>
                    <w:kinsoku/>
                    <w:wordWrap/>
                    <w:overflowPunct/>
                    <w:topLinePunct w:val="0"/>
                    <w:autoSpaceDE/>
                    <w:autoSpaceDN/>
                    <w:bidi w:val="0"/>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生产厂房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2层面积</w:t>
                  </w:r>
                  <w:r>
                    <w:rPr>
                      <w:rFonts w:hint="default" w:ascii="Times New Roman" w:hAnsi="Times New Roman" w:eastAsia="宋体" w:cs="Times New Roman"/>
                      <w:color w:val="000000" w:themeColor="text1"/>
                      <w:sz w:val="21"/>
                      <w:szCs w:val="21"/>
                      <w:lang w:eastAsia="zh-CN"/>
                      <w14:textFill>
                        <w14:solidFill>
                          <w14:schemeClr w14:val="tx1"/>
                        </w14:solidFill>
                      </w14:textFill>
                    </w:rPr>
                    <w:t>约为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762A69F5">
                  <w:pPr>
                    <w:keepNext w:val="0"/>
                    <w:keepLines w:val="0"/>
                    <w:pageBreakBefore w:val="0"/>
                    <w:kinsoku/>
                    <w:wordWrap/>
                    <w:overflowPunct/>
                    <w:topLinePunct w:val="0"/>
                    <w:autoSpaceDE/>
                    <w:autoSpaceDN/>
                    <w:bidi w:val="0"/>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Cs w:val="21"/>
                      <w:lang w:val="en-US" w:eastAsia="zh-CN"/>
                      <w14:textFill>
                        <w14:solidFill>
                          <w14:schemeClr w14:val="tx1"/>
                        </w14:solidFill>
                      </w14:textFill>
                    </w:rPr>
                    <w:t>生产厂房2F主要布设制袋工序，设置有8台制袋机、3台八角制袋机。</w:t>
                  </w:r>
                </w:p>
                <w:p w14:paraId="1B012821">
                  <w:pPr>
                    <w:keepNext w:val="0"/>
                    <w:keepLines w:val="0"/>
                    <w:pageBreakBefore w:val="0"/>
                    <w:kinsoku/>
                    <w:wordWrap/>
                    <w:overflowPunct/>
                    <w:topLinePunct w:val="0"/>
                    <w:autoSpaceDE/>
                    <w:autoSpaceDN/>
                    <w:bidi w:val="0"/>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生产厂房2</w:t>
                  </w:r>
                  <w:r>
                    <w:rPr>
                      <w:rFonts w:hint="default" w:ascii="Times New Roman" w:hAnsi="Times New Roman" w:eastAsia="宋体" w:cs="Times New Roman"/>
                      <w:color w:val="000000" w:themeColor="text1"/>
                      <w:szCs w:val="21"/>
                      <w:lang w:val="en-US" w:eastAsia="zh-CN"/>
                      <w14:textFill>
                        <w14:solidFill>
                          <w14:schemeClr w14:val="tx1"/>
                        </w14:solidFill>
                      </w14:textFill>
                    </w:rPr>
                    <w:t>F主要设置1#生产区（制袋工序，塑料袋）、1#成品区、2#生产区（制袋工序，新能源包装）、2#成品区、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办公室</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404" w:type="pct"/>
                  <w:vAlign w:val="center"/>
                </w:tcPr>
                <w:p w14:paraId="6A334DA0">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装修后使用；设备新增</w:t>
                  </w:r>
                </w:p>
              </w:tc>
            </w:tr>
            <w:tr w14:paraId="5FCD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4" w:type="pct"/>
                  <w:vMerge w:val="restart"/>
                  <w:vAlign w:val="center"/>
                </w:tcPr>
                <w:p w14:paraId="27E417F5">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依托</w:t>
                  </w:r>
                  <w:r>
                    <w:rPr>
                      <w:rFonts w:hint="default" w:ascii="Times New Roman" w:hAnsi="Times New Roman" w:eastAsia="宋体" w:cs="Times New Roman"/>
                      <w:bCs/>
                      <w:color w:val="000000" w:themeColor="text1"/>
                      <w:szCs w:val="21"/>
                      <w14:textFill>
                        <w14:solidFill>
                          <w14:schemeClr w14:val="tx1"/>
                        </w14:solidFill>
                      </w14:textFill>
                    </w:rPr>
                    <w:t>工程</w:t>
                  </w:r>
                </w:p>
              </w:tc>
              <w:tc>
                <w:tcPr>
                  <w:tcW w:w="517" w:type="pct"/>
                  <w:vAlign w:val="center"/>
                </w:tcPr>
                <w:p w14:paraId="6C4783E6">
                  <w:pPr>
                    <w:keepNext w:val="0"/>
                    <w:keepLines w:val="0"/>
                    <w:pageBreakBefore w:val="0"/>
                    <w:widowControl/>
                    <w:kinsoku/>
                    <w:wordWrap/>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绿化</w:t>
                  </w:r>
                </w:p>
              </w:tc>
              <w:tc>
                <w:tcPr>
                  <w:tcW w:w="3703" w:type="pct"/>
                  <w:gridSpan w:val="2"/>
                  <w:vAlign w:val="center"/>
                </w:tcPr>
                <w:p w14:paraId="79F39EF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厂房四周现有约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绿化</w:t>
                  </w:r>
                </w:p>
              </w:tc>
              <w:tc>
                <w:tcPr>
                  <w:tcW w:w="404" w:type="pct"/>
                  <w:vAlign w:val="center"/>
                </w:tcPr>
                <w:p w14:paraId="3A5C0436">
                  <w:pPr>
                    <w:keepNext w:val="0"/>
                    <w:keepLines w:val="0"/>
                    <w:pageBreakBefore w:val="0"/>
                    <w:kinsoku/>
                    <w:wordWrap/>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依托</w:t>
                  </w:r>
                  <w:r>
                    <w:rPr>
                      <w:rFonts w:hint="default" w:ascii="Times New Roman" w:hAnsi="Times New Roman" w:eastAsia="宋体" w:cs="Times New Roman"/>
                      <w:color w:val="000000" w:themeColor="text1"/>
                      <w:szCs w:val="21"/>
                      <w:lang w:val="en-US" w:eastAsia="zh-CN"/>
                      <w14:textFill>
                        <w14:solidFill>
                          <w14:schemeClr w14:val="tx1"/>
                        </w14:solidFill>
                      </w14:textFill>
                    </w:rPr>
                    <w:t>厂房已建设施</w:t>
                  </w:r>
                </w:p>
              </w:tc>
            </w:tr>
            <w:tr w14:paraId="6C05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2001054F">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p>
              </w:tc>
              <w:tc>
                <w:tcPr>
                  <w:tcW w:w="517" w:type="pct"/>
                  <w:vAlign w:val="center"/>
                </w:tcPr>
                <w:p w14:paraId="0F70CC8F">
                  <w:pPr>
                    <w:pStyle w:val="28"/>
                    <w:keepNext w:val="0"/>
                    <w:keepLines w:val="0"/>
                    <w:pageBreakBefore w:val="0"/>
                    <w:widowControl w:val="0"/>
                    <w:kinsoku/>
                    <w:wordWrap/>
                    <w:overflowPunct/>
                    <w:topLinePunct w:val="0"/>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化粪池</w:t>
                  </w:r>
                </w:p>
              </w:tc>
              <w:tc>
                <w:tcPr>
                  <w:tcW w:w="3703" w:type="pct"/>
                  <w:gridSpan w:val="2"/>
                  <w:vAlign w:val="center"/>
                </w:tcPr>
                <w:p w14:paraId="53524415">
                  <w:pPr>
                    <w:pStyle w:val="28"/>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厂区房西北侧现有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1个约10m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的化粪池</w:t>
                  </w:r>
                </w:p>
              </w:tc>
              <w:tc>
                <w:tcPr>
                  <w:tcW w:w="404" w:type="pct"/>
                  <w:vAlign w:val="center"/>
                </w:tcPr>
                <w:p w14:paraId="4FB9AA2A">
                  <w:pPr>
                    <w:keepNext w:val="0"/>
                    <w:keepLines w:val="0"/>
                    <w:pageBreakBefore w:val="0"/>
                    <w:kinsoku/>
                    <w:wordWrap/>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依托</w:t>
                  </w:r>
                  <w:r>
                    <w:rPr>
                      <w:rFonts w:hint="default" w:ascii="Times New Roman" w:hAnsi="Times New Roman" w:eastAsia="宋体" w:cs="Times New Roman"/>
                      <w:color w:val="000000" w:themeColor="text1"/>
                      <w:szCs w:val="21"/>
                      <w:lang w:val="en-US" w:eastAsia="zh-CN"/>
                      <w14:textFill>
                        <w14:solidFill>
                          <w14:schemeClr w14:val="tx1"/>
                        </w14:solidFill>
                      </w14:textFill>
                    </w:rPr>
                    <w:t>厂房已建设施</w:t>
                  </w:r>
                </w:p>
              </w:tc>
            </w:tr>
            <w:tr w14:paraId="1444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restart"/>
                  <w:vAlign w:val="center"/>
                </w:tcPr>
                <w:p w14:paraId="6558B56D">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公用工程</w:t>
                  </w:r>
                </w:p>
              </w:tc>
              <w:tc>
                <w:tcPr>
                  <w:tcW w:w="517" w:type="pct"/>
                  <w:vAlign w:val="center"/>
                </w:tcPr>
                <w:p w14:paraId="4C388C7A">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供水</w:t>
                  </w:r>
                </w:p>
              </w:tc>
              <w:tc>
                <w:tcPr>
                  <w:tcW w:w="3703" w:type="pct"/>
                  <w:gridSpan w:val="2"/>
                  <w:vAlign w:val="center"/>
                </w:tcPr>
                <w:p w14:paraId="2D500E40">
                  <w:pPr>
                    <w:keepNext w:val="0"/>
                    <w:keepLines w:val="0"/>
                    <w:pageBreakBefore w:val="0"/>
                    <w:kinsoku/>
                    <w:wordWrap/>
                    <w:overflowPunct/>
                    <w:topLinePunct w:val="0"/>
                    <w:autoSpaceDE/>
                    <w:autoSpaceDN/>
                    <w:bidi w:val="0"/>
                    <w:adjustRightInd w:val="0"/>
                    <w:snapToGrid w:val="0"/>
                    <w:spacing w:line="240" w:lineRule="auto"/>
                    <w:ind w:left="0" w:leftChars="0" w:right="0" w:firstLine="420" w:firstLineChars="200"/>
                    <w:jc w:val="left"/>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由</w:t>
                  </w:r>
                  <w:r>
                    <w:rPr>
                      <w:rFonts w:hint="default" w:ascii="Times New Roman" w:hAnsi="Times New Roman" w:eastAsia="宋体" w:cs="Times New Roman"/>
                      <w:color w:val="000000" w:themeColor="text1"/>
                      <w:kern w:val="0"/>
                      <w:szCs w:val="21"/>
                      <w:lang w:eastAsia="zh-CN"/>
                      <w14:textFill>
                        <w14:solidFill>
                          <w14:schemeClr w14:val="tx1"/>
                        </w14:solidFill>
                      </w14:textFill>
                    </w:rPr>
                    <w:t>园区市政</w:t>
                  </w:r>
                  <w:r>
                    <w:rPr>
                      <w:rFonts w:hint="default" w:ascii="Times New Roman" w:hAnsi="Times New Roman" w:eastAsia="宋体" w:cs="Times New Roman"/>
                      <w:color w:val="000000" w:themeColor="text1"/>
                      <w:kern w:val="0"/>
                      <w:szCs w:val="21"/>
                      <w14:textFill>
                        <w14:solidFill>
                          <w14:schemeClr w14:val="tx1"/>
                        </w14:solidFill>
                      </w14:textFill>
                    </w:rPr>
                    <w:t>供水管网供给</w:t>
                  </w:r>
                </w:p>
              </w:tc>
              <w:tc>
                <w:tcPr>
                  <w:tcW w:w="404" w:type="pct"/>
                  <w:vAlign w:val="center"/>
                </w:tcPr>
                <w:p w14:paraId="47E2F06D">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7001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64DBFF17">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517" w:type="pct"/>
                  <w:vAlign w:val="center"/>
                </w:tcPr>
                <w:p w14:paraId="15F3BBA6">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排水</w:t>
                  </w:r>
                </w:p>
              </w:tc>
              <w:tc>
                <w:tcPr>
                  <w:tcW w:w="3703" w:type="pct"/>
                  <w:gridSpan w:val="2"/>
                  <w:vAlign w:val="center"/>
                </w:tcPr>
                <w:p w14:paraId="3A1BE354">
                  <w:pPr>
                    <w:pStyle w:val="124"/>
                    <w:keepNext w:val="0"/>
                    <w:keepLines w:val="0"/>
                    <w:pageBreakBefore w:val="0"/>
                    <w:kinsoku/>
                    <w:wordWrap/>
                    <w:overflowPunct/>
                    <w:topLinePunct w:val="0"/>
                    <w:autoSpaceDE/>
                    <w:autoSpaceDN/>
                    <w:bidi w:val="0"/>
                    <w:adjustRightInd/>
                    <w:snapToGrid/>
                    <w:spacing w:before="0" w:after="0" w:line="240" w:lineRule="auto"/>
                    <w:ind w:left="0" w:leftChars="0" w:right="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（1）项目采取雨污分流制，初期雨水经厂区内现有雨水沟后进入市政雨水管网。</w:t>
                  </w:r>
                </w:p>
                <w:p w14:paraId="3C8814B9">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近期由于园区污水处理厂暂未正常运行，生活污水经化粪池预处理后进入1套处理能力为</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A/O法生物处理</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一体化生活污水处理设施处理达《城市污水再生利用 城市杂用水水质》（GB/T18920-2020）中绿化标准后用于厂区周边绿化，</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，留待晴天使用；远期待园区污水处理厂正常运行后，产生的生活污水通过化粪池预处理，达到《污水综合排放标准》（GB8978-1996）表4三级标准及《污水排入城镇下水道水质标准》（GB/T31962-2015）</w:t>
                  </w:r>
                  <w:r>
                    <w:rPr>
                      <w:rFonts w:hint="eastAsia" w:cs="Times New Roman"/>
                      <w:color w:val="000000" w:themeColor="text1"/>
                      <w:sz w:val="21"/>
                      <w:szCs w:val="21"/>
                      <w:lang w:val="en-US" w:eastAsia="zh-CN"/>
                      <w14:textFill>
                        <w14:solidFill>
                          <w14:schemeClr w14:val="tx1"/>
                        </w14:solidFill>
                      </w14:textFill>
                    </w:rPr>
                    <w:t>表1A等级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标准规定的最严标准值后，排入园区市政污水管网，进入园区污水处理厂处理。</w:t>
                  </w:r>
                </w:p>
                <w:p w14:paraId="65754293">
                  <w:pPr>
                    <w:pStyle w:val="125"/>
                    <w:keepNext w:val="0"/>
                    <w:keepLines w:val="0"/>
                    <w:pageBreakBefore w:val="0"/>
                    <w:kinsoku/>
                    <w:wordWrap/>
                    <w:overflowPunct/>
                    <w:topLinePunct w:val="0"/>
                    <w:autoSpaceDE/>
                    <w:autoSpaceDN/>
                    <w:bidi w:val="0"/>
                    <w:adjustRightInd/>
                    <w:snapToGrid/>
                    <w:spacing w:line="240" w:lineRule="auto"/>
                    <w:ind w:left="0" w:leftChars="0" w:right="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本项目生产过程中不产生生产废水，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对印刷设备进行清理时均采用抹布蘸取少量油墨清洗剂对设备进行擦拭，无清洗废水产生</w:t>
                  </w:r>
                  <w:r>
                    <w:rPr>
                      <w:rFonts w:hint="default" w:ascii="Times New Roman" w:hAnsi="Times New Roman" w:eastAsia="宋体" w:cs="Times New Roman"/>
                      <w:color w:val="000000" w:themeColor="text1"/>
                      <w14:textFill>
                        <w14:solidFill>
                          <w14:schemeClr w14:val="tx1"/>
                        </w14:solidFill>
                      </w14:textFill>
                    </w:rPr>
                    <w:t>。</w:t>
                  </w:r>
                </w:p>
              </w:tc>
              <w:tc>
                <w:tcPr>
                  <w:tcW w:w="404" w:type="pct"/>
                  <w:vAlign w:val="center"/>
                </w:tcPr>
                <w:p w14:paraId="31E00BD2">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31D2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00F5D479">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517" w:type="pct"/>
                  <w:vAlign w:val="center"/>
                </w:tcPr>
                <w:p w14:paraId="185602AB">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供电</w:t>
                  </w:r>
                </w:p>
              </w:tc>
              <w:tc>
                <w:tcPr>
                  <w:tcW w:w="3703" w:type="pct"/>
                  <w:gridSpan w:val="2"/>
                  <w:vAlign w:val="center"/>
                </w:tcPr>
                <w:p w14:paraId="299737F4">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供电由</w:t>
                  </w:r>
                  <w:r>
                    <w:rPr>
                      <w:rFonts w:hint="default" w:ascii="Times New Roman" w:hAnsi="Times New Roman" w:eastAsia="宋体" w:cs="Times New Roman"/>
                      <w:color w:val="000000" w:themeColor="text1"/>
                      <w:kern w:val="0"/>
                      <w:szCs w:val="21"/>
                      <w:lang w:eastAsia="zh-CN"/>
                      <w14:textFill>
                        <w14:solidFill>
                          <w14:schemeClr w14:val="tx1"/>
                        </w14:solidFill>
                      </w14:textFill>
                    </w:rPr>
                    <w:t>园区市政</w:t>
                  </w:r>
                  <w:r>
                    <w:rPr>
                      <w:rFonts w:hint="default" w:ascii="Times New Roman" w:hAnsi="Times New Roman" w:eastAsia="宋体" w:cs="Times New Roman"/>
                      <w:color w:val="000000" w:themeColor="text1"/>
                      <w:kern w:val="0"/>
                      <w:szCs w:val="21"/>
                      <w14:textFill>
                        <w14:solidFill>
                          <w14:schemeClr w14:val="tx1"/>
                        </w14:solidFill>
                      </w14:textFill>
                    </w:rPr>
                    <w:t>电网引入</w:t>
                  </w:r>
                </w:p>
              </w:tc>
              <w:tc>
                <w:tcPr>
                  <w:tcW w:w="404" w:type="pct"/>
                  <w:vAlign w:val="center"/>
                </w:tcPr>
                <w:p w14:paraId="5D6B457C">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78F8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restart"/>
                  <w:vAlign w:val="center"/>
                </w:tcPr>
                <w:p w14:paraId="5E5B1AAF">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环保工程</w:t>
                  </w:r>
                </w:p>
              </w:tc>
              <w:tc>
                <w:tcPr>
                  <w:tcW w:w="517" w:type="pct"/>
                  <w:vMerge w:val="restart"/>
                  <w:vAlign w:val="center"/>
                </w:tcPr>
                <w:p w14:paraId="6ECE85A9">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678" w:type="pct"/>
                  <w:tcBorders>
                    <w:bottom w:val="single" w:color="auto" w:sz="4" w:space="0"/>
                  </w:tcBorders>
                  <w:vAlign w:val="center"/>
                </w:tcPr>
                <w:p w14:paraId="2FAE5660">
                  <w:pPr>
                    <w:pStyle w:val="125"/>
                    <w:keepNext w:val="0"/>
                    <w:keepLines w:val="0"/>
                    <w:pageBreakBefore w:val="0"/>
                    <w:kinsoku/>
                    <w:wordWrap/>
                    <w:overflowPunct/>
                    <w:topLinePunct w:val="0"/>
                    <w:bidi w:val="0"/>
                    <w:spacing w:line="240" w:lineRule="auto"/>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有组织废气</w:t>
                  </w:r>
                </w:p>
              </w:tc>
              <w:tc>
                <w:tcPr>
                  <w:tcW w:w="3025" w:type="pct"/>
                  <w:tcBorders>
                    <w:bottom w:val="single" w:color="auto" w:sz="4" w:space="0"/>
                  </w:tcBorders>
                  <w:vAlign w:val="center"/>
                </w:tcPr>
                <w:p w14:paraId="0A0B9F28">
                  <w:pPr>
                    <w:pStyle w:val="125"/>
                    <w:keepNext w:val="0"/>
                    <w:keepLines w:val="0"/>
                    <w:pageBreakBefore w:val="0"/>
                    <w:kinsoku/>
                    <w:wordWrap/>
                    <w:overflowPunct/>
                    <w:topLinePunct w:val="0"/>
                    <w:autoSpaceDE/>
                    <w:autoSpaceDN/>
                    <w:bidi w:val="0"/>
                    <w:adjustRightInd/>
                    <w:snapToGrid/>
                    <w:spacing w:line="240" w:lineRule="auto"/>
                    <w:ind w:left="0" w:leftChars="0" w:right="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项目印刷机、复合机、制袋机上方设置有集气罩，连接集气管道，印刷废气、复合废气及制袋废气收集后一起引至一套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处理后通过22m高排气筒DA001排放。</w:t>
                  </w:r>
                </w:p>
                <w:p w14:paraId="295E457D">
                  <w:pPr>
                    <w:pStyle w:val="125"/>
                    <w:keepNext w:val="0"/>
                    <w:keepLines w:val="0"/>
                    <w:pageBreakBefore w:val="0"/>
                    <w:kinsoku/>
                    <w:wordWrap/>
                    <w:overflowPunct/>
                    <w:topLinePunct w:val="0"/>
                    <w:autoSpaceDE/>
                    <w:autoSpaceDN/>
                    <w:bidi w:val="0"/>
                    <w:adjustRightInd/>
                    <w:snapToGrid/>
                    <w:spacing w:line="240" w:lineRule="auto"/>
                    <w:ind w:left="0" w:leftChars="0" w:right="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溶剂间废气经收集后一同进入RTO废气处理系统处理后通过22m高排气筒DA001排放。</w:t>
                  </w:r>
                </w:p>
                <w:p w14:paraId="2379DB09">
                  <w:pPr>
                    <w:pStyle w:val="125"/>
                    <w:keepNext w:val="0"/>
                    <w:keepLines w:val="0"/>
                    <w:pageBreakBefore w:val="0"/>
                    <w:kinsoku/>
                    <w:wordWrap/>
                    <w:overflowPunct/>
                    <w:topLinePunct w:val="0"/>
                    <w:autoSpaceDE/>
                    <w:autoSpaceDN/>
                    <w:bidi w:val="0"/>
                    <w:adjustRightInd/>
                    <w:snapToGrid/>
                    <w:spacing w:line="240" w:lineRule="auto"/>
                    <w:ind w:left="0" w:leftChars="0" w:right="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本环评要求熟化工序结束后收集熟化室内的废气并引入RTO废气处理系统处理。</w:t>
                  </w:r>
                </w:p>
              </w:tc>
              <w:tc>
                <w:tcPr>
                  <w:tcW w:w="404" w:type="pct"/>
                  <w:vAlign w:val="center"/>
                </w:tcPr>
                <w:p w14:paraId="6928129C">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6ECD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725F8439">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517" w:type="pct"/>
                  <w:vMerge w:val="continue"/>
                  <w:vAlign w:val="center"/>
                </w:tcPr>
                <w:p w14:paraId="079CFC91">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78" w:type="pct"/>
                  <w:tcBorders>
                    <w:bottom w:val="single" w:color="auto" w:sz="4" w:space="0"/>
                  </w:tcBorders>
                  <w:vAlign w:val="center"/>
                </w:tcPr>
                <w:p w14:paraId="4A888CBF">
                  <w:pPr>
                    <w:pStyle w:val="125"/>
                    <w:keepNext w:val="0"/>
                    <w:keepLines w:val="0"/>
                    <w:pageBreakBefore w:val="0"/>
                    <w:kinsoku/>
                    <w:wordWrap/>
                    <w:overflowPunct/>
                    <w:topLinePunct w:val="0"/>
                    <w:bidi w:val="0"/>
                    <w:spacing w:line="240" w:lineRule="auto"/>
                    <w:ind w:left="0" w:leftChars="0" w:right="0"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无组织废气</w:t>
                  </w:r>
                </w:p>
              </w:tc>
              <w:tc>
                <w:tcPr>
                  <w:tcW w:w="3025" w:type="pct"/>
                  <w:tcBorders>
                    <w:bottom w:val="single" w:color="auto" w:sz="4" w:space="0"/>
                  </w:tcBorders>
                  <w:vAlign w:val="center"/>
                </w:tcPr>
                <w:p w14:paraId="55C3EEB0">
                  <w:pPr>
                    <w:pStyle w:val="125"/>
                    <w:keepNext w:val="0"/>
                    <w:keepLines w:val="0"/>
                    <w:pageBreakBefore w:val="0"/>
                    <w:kinsoku/>
                    <w:wordWrap/>
                    <w:overflowPunct/>
                    <w:topLinePunct w:val="0"/>
                    <w:autoSpaceDE/>
                    <w:autoSpaceDN/>
                    <w:bidi w:val="0"/>
                    <w:adjustRightInd/>
                    <w:snapToGrid/>
                    <w:spacing w:line="240" w:lineRule="auto"/>
                    <w:ind w:left="0" w:leftChars="0" w:right="0" w:firstLine="420" w:firstLineChars="200"/>
                    <w:jc w:val="left"/>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本项目未捕集无组织废气、异味经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车间加强通风、自然稀释扩散后无组织排放。</w:t>
                  </w:r>
                </w:p>
              </w:tc>
              <w:tc>
                <w:tcPr>
                  <w:tcW w:w="404" w:type="pct"/>
                  <w:vAlign w:val="center"/>
                </w:tcPr>
                <w:p w14:paraId="77B1867D">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2A97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554C6CAC">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517" w:type="pct"/>
                  <w:vMerge w:val="restart"/>
                  <w:vAlign w:val="center"/>
                </w:tcPr>
                <w:p w14:paraId="56D12723">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678" w:type="pct"/>
                  <w:vAlign w:val="center"/>
                </w:tcPr>
                <w:p w14:paraId="077D4EC0">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雨污分流</w:t>
                  </w:r>
                </w:p>
              </w:tc>
              <w:tc>
                <w:tcPr>
                  <w:tcW w:w="3025" w:type="pct"/>
                  <w:vAlign w:val="center"/>
                </w:tcPr>
                <w:p w14:paraId="23D8F83C">
                  <w:pPr>
                    <w:keepNext w:val="0"/>
                    <w:keepLines w:val="0"/>
                    <w:pageBreakBefore w:val="0"/>
                    <w:widowControl/>
                    <w:kinsoku/>
                    <w:wordWrap/>
                    <w:overflowPunct/>
                    <w:topLinePunct w:val="0"/>
                    <w:autoSpaceDE/>
                    <w:autoSpaceDN/>
                    <w:bidi w:val="0"/>
                    <w:adjustRightInd/>
                    <w:snapToGrid/>
                    <w:spacing w:line="240" w:lineRule="auto"/>
                    <w:ind w:left="0" w:leftChars="0" w:right="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项目采取雨污分流制</w:t>
                  </w:r>
                  <w:r>
                    <w:rPr>
                      <w:rFonts w:hint="eastAsia" w:cs="Times New Roman"/>
                      <w:color w:val="000000" w:themeColor="text1"/>
                      <w:lang w:val="en-US" w:eastAsia="zh-CN"/>
                      <w14:textFill>
                        <w14:solidFill>
                          <w14:schemeClr w14:val="tx1"/>
                        </w14:solidFill>
                      </w14:textFill>
                    </w:rPr>
                    <w:t>。</w:t>
                  </w:r>
                </w:p>
                <w:p w14:paraId="3AA7607E">
                  <w:pPr>
                    <w:keepNext w:val="0"/>
                    <w:keepLines w:val="0"/>
                    <w:pageBreakBefore w:val="0"/>
                    <w:widowControl/>
                    <w:kinsoku/>
                    <w:wordWrap/>
                    <w:overflowPunct/>
                    <w:topLinePunct w:val="0"/>
                    <w:autoSpaceDE/>
                    <w:autoSpaceDN/>
                    <w:bidi w:val="0"/>
                    <w:adjustRightInd/>
                    <w:snapToGrid/>
                    <w:spacing w:line="240" w:lineRule="auto"/>
                    <w:ind w:left="0" w:leftChars="0" w:right="0" w:firstLine="420" w:firstLineChars="200"/>
                    <w:jc w:val="left"/>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根据调查，园区内设置有市政雨水管网，</w:t>
                  </w:r>
                  <w:r>
                    <w:rPr>
                      <w:rFonts w:hint="default" w:ascii="Times New Roman" w:hAnsi="Times New Roman" w:eastAsia="宋体" w:cs="Times New Roman"/>
                      <w:color w:val="000000" w:themeColor="text1"/>
                      <w:lang w:val="en-US" w:eastAsia="zh-CN"/>
                      <w14:textFill>
                        <w14:solidFill>
                          <w14:schemeClr w14:val="tx1"/>
                        </w14:solidFill>
                      </w14:textFill>
                    </w:rPr>
                    <w:t>初期雨水经厂区内现有雨水沟后进入市政雨水管网。</w:t>
                  </w:r>
                </w:p>
              </w:tc>
              <w:tc>
                <w:tcPr>
                  <w:tcW w:w="404" w:type="pct"/>
                  <w:vAlign w:val="center"/>
                </w:tcPr>
                <w:p w14:paraId="7A6BB187">
                  <w:pPr>
                    <w:keepNext w:val="0"/>
                    <w:keepLines w:val="0"/>
                    <w:pageBreakBefore w:val="0"/>
                    <w:kinsoku/>
                    <w:wordWrap/>
                    <w:overflowPunct/>
                    <w:topLinePunct w:val="0"/>
                    <w:bidi w:val="0"/>
                    <w:adjustRightInd w:val="0"/>
                    <w:snapToGrid w:val="0"/>
                    <w:spacing w:line="240" w:lineRule="auto"/>
                    <w:ind w:left="0" w:leftChars="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依托</w:t>
                  </w:r>
                </w:p>
              </w:tc>
            </w:tr>
            <w:tr w14:paraId="01AA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6844D565">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517" w:type="pct"/>
                  <w:vMerge w:val="continue"/>
                  <w:vAlign w:val="center"/>
                </w:tcPr>
                <w:p w14:paraId="14F0CCC4">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8" w:type="pct"/>
                  <w:vAlign w:val="center"/>
                </w:tcPr>
                <w:p w14:paraId="0F44B1DD">
                  <w:pPr>
                    <w:pStyle w:val="28"/>
                    <w:keepNext w:val="0"/>
                    <w:keepLines w:val="0"/>
                    <w:pageBreakBefore w:val="0"/>
                    <w:widowControl w:val="0"/>
                    <w:kinsoku/>
                    <w:wordWrap/>
                    <w:overflowPunct/>
                    <w:topLinePunct w:val="0"/>
                    <w:bidi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w:t>
                  </w:r>
                </w:p>
              </w:tc>
              <w:tc>
                <w:tcPr>
                  <w:tcW w:w="3025" w:type="pct"/>
                  <w:vAlign w:val="center"/>
                </w:tcPr>
                <w:p w14:paraId="7D9D3C4C">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本项目依托现有1个约10m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的化粪池</w:t>
                  </w:r>
                  <w:r>
                    <w:rPr>
                      <w:rFonts w:hint="eastAsia" w:cs="Times New Roman"/>
                      <w:color w:val="000000" w:themeColor="text1"/>
                      <w:sz w:val="21"/>
                      <w:szCs w:val="21"/>
                      <w:lang w:val="en-US" w:eastAsia="zh-CN"/>
                      <w14:textFill>
                        <w14:solidFill>
                          <w14:schemeClr w14:val="tx1"/>
                        </w14:solidFill>
                      </w14:textFill>
                    </w:rPr>
                    <w:t>；车间内卫生间旁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新增1套处理能力</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A/O法生物处理</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一体化生活污水处理设施。新增1个</w:t>
                  </w:r>
                  <w:r>
                    <w:rPr>
                      <w:rFonts w:hint="eastAsia"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的中水收集池。</w:t>
                  </w:r>
                </w:p>
                <w:p w14:paraId="01484F08">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中水收集池容积为</w:t>
                  </w:r>
                  <w:r>
                    <w:rPr>
                      <w:rFonts w:hint="eastAsia" w:cs="Times New Roman"/>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，能够容纳约</w:t>
                  </w:r>
                  <w:r>
                    <w:rPr>
                      <w:rFonts w:hint="eastAsia"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天的生活污水。</w:t>
                  </w:r>
                </w:p>
                <w:p w14:paraId="5BC588AF">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近期由于园区污水处理厂暂未正常运行，生活污水经化粪池预处理后进入自建生活污水处理设施处理达绿化标准后用于厂区周边绿化，</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，留待晴天使用；远期待园区污水处理厂正常运行后，产生的生活污水通过化粪池预处理，达到标后，排入园区市政污水管网，进入园区污水处理厂处理。</w:t>
                  </w:r>
                </w:p>
              </w:tc>
              <w:tc>
                <w:tcPr>
                  <w:tcW w:w="404" w:type="pct"/>
                  <w:vAlign w:val="center"/>
                </w:tcPr>
                <w:p w14:paraId="2E48E107">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依托、</w:t>
                  </w:r>
                  <w:r>
                    <w:rPr>
                      <w:rFonts w:hint="default" w:ascii="Times New Roman" w:hAnsi="Times New Roman" w:eastAsia="宋体" w:cs="Times New Roman"/>
                      <w:color w:val="000000" w:themeColor="text1"/>
                      <w:szCs w:val="21"/>
                      <w14:textFill>
                        <w14:solidFill>
                          <w14:schemeClr w14:val="tx1"/>
                        </w14:solidFill>
                      </w14:textFill>
                    </w:rPr>
                    <w:t>新建</w:t>
                  </w:r>
                </w:p>
              </w:tc>
            </w:tr>
            <w:tr w14:paraId="6A40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Merge w:val="continue"/>
                  <w:vAlign w:val="center"/>
                </w:tcPr>
                <w:p w14:paraId="47B4D1A0">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517" w:type="pct"/>
                  <w:vMerge w:val="continue"/>
                  <w:vAlign w:val="center"/>
                </w:tcPr>
                <w:p w14:paraId="10BC87DB">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8" w:type="pct"/>
                  <w:vAlign w:val="center"/>
                </w:tcPr>
                <w:p w14:paraId="61D7433D">
                  <w:pPr>
                    <w:pStyle w:val="28"/>
                    <w:keepNext w:val="0"/>
                    <w:keepLines w:val="0"/>
                    <w:pageBreakBefore w:val="0"/>
                    <w:widowControl w:val="0"/>
                    <w:kinsoku/>
                    <w:wordWrap/>
                    <w:overflowPunct/>
                    <w:topLinePunct w:val="0"/>
                    <w:bidi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生产废水</w:t>
                  </w:r>
                </w:p>
              </w:tc>
              <w:tc>
                <w:tcPr>
                  <w:tcW w:w="3025" w:type="pct"/>
                  <w:vAlign w:val="center"/>
                </w:tcPr>
                <w:p w14:paraId="63D2ACF7">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本项目生产过程中不产生生产废水，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对印刷设备进行清理时均采用抹布蘸取少量油墨清洗剂对设备进行擦拭，无清洗废水产生。</w:t>
                  </w:r>
                </w:p>
              </w:tc>
              <w:tc>
                <w:tcPr>
                  <w:tcW w:w="404" w:type="pct"/>
                  <w:vAlign w:val="center"/>
                </w:tcPr>
                <w:p w14:paraId="3ECE9F19">
                  <w:pPr>
                    <w:pStyle w:val="28"/>
                    <w:keepNext w:val="0"/>
                    <w:keepLines w:val="0"/>
                    <w:pageBreakBefore w:val="0"/>
                    <w:widowControl w:val="0"/>
                    <w:kinsoku/>
                    <w:wordWrap/>
                    <w:overflowPunct/>
                    <w:topLinePunct w:val="0"/>
                    <w:bidi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2F2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Merge w:val="continue"/>
                  <w:vAlign w:val="center"/>
                </w:tcPr>
                <w:p w14:paraId="42D97398">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517" w:type="pct"/>
                  <w:vAlign w:val="center"/>
                </w:tcPr>
                <w:p w14:paraId="3B78B7C2">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3703" w:type="pct"/>
                  <w:gridSpan w:val="2"/>
                  <w:vAlign w:val="center"/>
                </w:tcPr>
                <w:p w14:paraId="05E0F5F6">
                  <w:pPr>
                    <w:keepNext w:val="0"/>
                    <w:keepLines w:val="0"/>
                    <w:pageBreakBefore w:val="0"/>
                    <w:kinsoku/>
                    <w:wordWrap/>
                    <w:overflowPunct/>
                    <w:topLinePunct w:val="0"/>
                    <w:autoSpaceDE/>
                    <w:autoSpaceDN/>
                    <w:bidi w:val="0"/>
                    <w:adjustRightInd/>
                    <w:snapToGrid/>
                    <w:spacing w:line="240" w:lineRule="auto"/>
                    <w:ind w:left="0" w:leftChars="0" w:right="0"/>
                    <w:jc w:val="left"/>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项目所有生产设备均置于厂房内，</w:t>
                  </w:r>
                  <w:r>
                    <w:rPr>
                      <w:rFonts w:hint="default" w:ascii="Times New Roman" w:hAnsi="Times New Roman" w:eastAsia="宋体" w:cs="Times New Roman"/>
                      <w:color w:val="000000" w:themeColor="text1"/>
                      <w:sz w:val="21"/>
                      <w:szCs w:val="21"/>
                      <w14:textFill>
                        <w14:solidFill>
                          <w14:schemeClr w14:val="tx1"/>
                        </w14:solidFill>
                      </w14:textFill>
                    </w:rPr>
                    <w:t>选用低噪设备、安装减震垫、厂房隔音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04" w:type="pct"/>
                  <w:vAlign w:val="center"/>
                </w:tcPr>
                <w:p w14:paraId="1E088B6F">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169B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70F12E31">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517" w:type="pct"/>
                  <w:vMerge w:val="restart"/>
                  <w:vAlign w:val="center"/>
                </w:tcPr>
                <w:p w14:paraId="498FAE40">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678" w:type="pct"/>
                  <w:vAlign w:val="center"/>
                </w:tcPr>
                <w:p w14:paraId="3E5F3D66">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垃圾收集桶</w:t>
                  </w:r>
                </w:p>
              </w:tc>
              <w:tc>
                <w:tcPr>
                  <w:tcW w:w="3025" w:type="pct"/>
                  <w:vAlign w:val="center"/>
                </w:tcPr>
                <w:p w14:paraId="77132EB3">
                  <w:pPr>
                    <w:keepNext w:val="0"/>
                    <w:keepLines w:val="0"/>
                    <w:pageBreakBefore w:val="0"/>
                    <w:widowControl/>
                    <w:kinsoku/>
                    <w:wordWrap/>
                    <w:overflowPunct/>
                    <w:topLinePunct w:val="0"/>
                    <w:bidi w:val="0"/>
                    <w:spacing w:line="240" w:lineRule="auto"/>
                    <w:ind w:left="0" w:leftChars="0" w:right="0" w:firstLine="420" w:firstLineChars="20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设置</w:t>
                  </w:r>
                  <w:r>
                    <w:rPr>
                      <w:rFonts w:hint="default" w:ascii="Times New Roman" w:hAnsi="Times New Roman" w:eastAsia="宋体" w:cs="Times New Roman"/>
                      <w:color w:val="000000" w:themeColor="text1"/>
                      <w:szCs w:val="21"/>
                      <w:lang w:val="en-US" w:eastAsia="zh-CN"/>
                      <w14:textFill>
                        <w14:solidFill>
                          <w14:schemeClr w14:val="tx1"/>
                        </w14:solidFill>
                      </w14:textFill>
                    </w:rPr>
                    <w:t>2个</w:t>
                  </w:r>
                  <w:r>
                    <w:rPr>
                      <w:rFonts w:hint="default" w:ascii="Times New Roman" w:hAnsi="Times New Roman" w:eastAsia="宋体" w:cs="Times New Roman"/>
                      <w:color w:val="000000" w:themeColor="text1"/>
                      <w:szCs w:val="21"/>
                      <w14:textFill>
                        <w14:solidFill>
                          <w14:schemeClr w14:val="tx1"/>
                        </w14:solidFill>
                      </w14:textFill>
                    </w:rPr>
                    <w:t>带盖垃圾收集桶，用于收集生活垃圾</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项目生活垃圾经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垃圾收集桶收集后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运至园区生活垃圾收集点，由环卫部门清运处置。</w:t>
                  </w:r>
                </w:p>
              </w:tc>
              <w:tc>
                <w:tcPr>
                  <w:tcW w:w="404" w:type="pct"/>
                  <w:vAlign w:val="center"/>
                </w:tcPr>
                <w:p w14:paraId="37F3B7E3">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5BD7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34D6A6A1">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517" w:type="pct"/>
                  <w:vMerge w:val="continue"/>
                  <w:vAlign w:val="center"/>
                </w:tcPr>
                <w:p w14:paraId="47687D0E">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8" w:type="pct"/>
                  <w:vAlign w:val="center"/>
                </w:tcPr>
                <w:p w14:paraId="7CF28AE3">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一般固废暂存</w:t>
                  </w:r>
                  <w:r>
                    <w:rPr>
                      <w:rFonts w:hint="default" w:ascii="Times New Roman" w:hAnsi="Times New Roman" w:eastAsia="宋体" w:cs="Times New Roman"/>
                      <w:color w:val="000000" w:themeColor="text1"/>
                      <w:szCs w:val="21"/>
                      <w:lang w:eastAsia="zh-CN"/>
                      <w14:textFill>
                        <w14:solidFill>
                          <w14:schemeClr w14:val="tx1"/>
                        </w14:solidFill>
                      </w14:textFill>
                    </w:rPr>
                    <w:t>区</w:t>
                  </w:r>
                </w:p>
              </w:tc>
              <w:tc>
                <w:tcPr>
                  <w:tcW w:w="3025" w:type="pct"/>
                  <w:vAlign w:val="center"/>
                </w:tcPr>
                <w:p w14:paraId="0D8A19EE">
                  <w:pPr>
                    <w:keepNext w:val="0"/>
                    <w:keepLines w:val="0"/>
                    <w:pageBreakBefore w:val="0"/>
                    <w:kinsoku/>
                    <w:wordWrap/>
                    <w:overflowPunct/>
                    <w:topLinePunct w:val="0"/>
                    <w:bidi w:val="0"/>
                    <w:spacing w:line="240" w:lineRule="auto"/>
                    <w:ind w:left="0" w:leftChars="0" w:right="0" w:rightChars="0" w:firstLine="420" w:firstLineChars="20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生产车间1层西北侧设置1个约5m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的一般固废暂存区，其设置要求按《一般工业固体废物贮存和填埋污染控制标准》（GB18599-2020）执行；一般工业固废暂存后外售，一般固体废物按照相关要求妥善处置，项目产生的一般固废按《一般固体废物分类与代码》（GB/T39198-2020）进行分类暂存。</w:t>
                  </w:r>
                </w:p>
              </w:tc>
              <w:tc>
                <w:tcPr>
                  <w:tcW w:w="404" w:type="pct"/>
                  <w:vAlign w:val="center"/>
                </w:tcPr>
                <w:p w14:paraId="253C086E">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4CFB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6E9276A1">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517" w:type="pct"/>
                  <w:vMerge w:val="continue"/>
                  <w:vAlign w:val="center"/>
                </w:tcPr>
                <w:p w14:paraId="675589D8">
                  <w:pPr>
                    <w:pStyle w:val="19"/>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8" w:type="pct"/>
                  <w:vAlign w:val="center"/>
                </w:tcPr>
                <w:p w14:paraId="3905DC10">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危废暂存间</w:t>
                  </w:r>
                </w:p>
              </w:tc>
              <w:tc>
                <w:tcPr>
                  <w:tcW w:w="3025" w:type="pct"/>
                  <w:vAlign w:val="center"/>
                </w:tcPr>
                <w:p w14:paraId="214FC6F8">
                  <w:pPr>
                    <w:keepNext w:val="0"/>
                    <w:keepLines w:val="0"/>
                    <w:pageBreakBefore w:val="0"/>
                    <w:widowControl/>
                    <w:kinsoku/>
                    <w:wordWrap/>
                    <w:overflowPunct/>
                    <w:topLinePunct w:val="0"/>
                    <w:bidi w:val="0"/>
                    <w:spacing w:line="240" w:lineRule="auto"/>
                    <w:ind w:left="0" w:leftChars="0" w:right="0" w:rightChars="0" w:firstLine="420" w:firstLineChars="20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生产车间1层西北侧设置1间</w:t>
                  </w:r>
                  <w:r>
                    <w:rPr>
                      <w:rFonts w:hint="default" w:ascii="Times New Roman" w:hAnsi="Times New Roman" w:eastAsia="宋体" w:cs="Times New Roman"/>
                      <w:color w:val="000000" w:themeColor="text1"/>
                      <w:szCs w:val="21"/>
                      <w:lang w:eastAsia="zh-CN"/>
                      <w14:textFill>
                        <w14:solidFill>
                          <w14:schemeClr w14:val="tx1"/>
                        </w14:solidFill>
                      </w14:textFill>
                    </w:rPr>
                    <w:t>危废暂存间，建筑面积</w:t>
                  </w:r>
                  <w:r>
                    <w:rPr>
                      <w:rFonts w:hint="default"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，危废暂存间采取必要的防风、防晒、防雨、防漏、防渗、防腐以及其他环境污染防治措施，按《危险废物贮存污染控制标准》（GB18597-2023）的要求进行建设。</w:t>
                  </w:r>
                </w:p>
              </w:tc>
              <w:tc>
                <w:tcPr>
                  <w:tcW w:w="404" w:type="pct"/>
                  <w:vAlign w:val="center"/>
                </w:tcPr>
                <w:p w14:paraId="6BFECCB2">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7854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6B641555">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517" w:type="pct"/>
                  <w:vMerge w:val="restart"/>
                  <w:vAlign w:val="center"/>
                </w:tcPr>
                <w:p w14:paraId="5D34E6DA">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分区防渗</w:t>
                  </w:r>
                </w:p>
              </w:tc>
              <w:tc>
                <w:tcPr>
                  <w:tcW w:w="678" w:type="pct"/>
                  <w:vAlign w:val="center"/>
                </w:tcPr>
                <w:p w14:paraId="092A2FDE">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重点防渗</w:t>
                  </w:r>
                </w:p>
              </w:tc>
              <w:tc>
                <w:tcPr>
                  <w:tcW w:w="3025" w:type="pct"/>
                  <w:vAlign w:val="center"/>
                </w:tcPr>
                <w:p w14:paraId="7F815282">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eastAsia="宋体" w:cs="Times New Roman"/>
                      <w:color w:val="000000" w:themeColor="text1"/>
                      <w:sz w:val="21"/>
                      <w:szCs w:val="21"/>
                      <w:lang w:eastAsia="zh-CN"/>
                      <w14:textFill>
                        <w14:solidFill>
                          <w14:schemeClr w14:val="tx1"/>
                        </w14:solidFill>
                      </w14:textFill>
                    </w:rPr>
                    <w:t>、溶剂间作为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eastAsia="宋体" w:cs="Times New Roman"/>
                      <w:color w:val="000000" w:themeColor="text1"/>
                      <w:sz w:val="21"/>
                      <w:szCs w:val="21"/>
                      <w:lang w:eastAsia="zh-CN"/>
                      <w14:textFill>
                        <w14:solidFill>
                          <w14:schemeClr w14:val="tx1"/>
                        </w14:solidFill>
                      </w14:textFill>
                    </w:rPr>
                    <w:t>区。</w:t>
                  </w:r>
                </w:p>
                <w:p w14:paraId="526EFA8C">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溶剂间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p>
                <w:p w14:paraId="038B214A">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eastAsia="宋体"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参照执行《危险废物贮存污染控制标准》（GB18597-2023）相关要求，防渗层为至少1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p>
              </w:tc>
              <w:tc>
                <w:tcPr>
                  <w:tcW w:w="404" w:type="pct"/>
                  <w:vMerge w:val="restart"/>
                  <w:vAlign w:val="center"/>
                </w:tcPr>
                <w:p w14:paraId="4C5069E2">
                  <w:pPr>
                    <w:keepNext w:val="0"/>
                    <w:keepLines w:val="0"/>
                    <w:pageBreakBefore w:val="0"/>
                    <w:kinsoku/>
                    <w:wordWrap/>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1E49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4384E83D">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17" w:type="pct"/>
                  <w:vMerge w:val="continue"/>
                  <w:vAlign w:val="center"/>
                </w:tcPr>
                <w:p w14:paraId="6212C337">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78" w:type="pct"/>
                  <w:vAlign w:val="center"/>
                </w:tcPr>
                <w:p w14:paraId="2AD3CF85">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一般防渗区</w:t>
                  </w:r>
                </w:p>
              </w:tc>
              <w:tc>
                <w:tcPr>
                  <w:tcW w:w="3025" w:type="pct"/>
                  <w:vAlign w:val="center"/>
                </w:tcPr>
                <w:p w14:paraId="7E44F782">
                  <w:pPr>
                    <w:keepNext w:val="0"/>
                    <w:keepLines w:val="0"/>
                    <w:pageBreakBefore w:val="0"/>
                    <w:kinsoku w:val="0"/>
                    <w:wordWrap/>
                    <w:overflowPunct w:val="0"/>
                    <w:topLinePunct w:val="0"/>
                    <w:autoSpaceDE w:val="0"/>
                    <w:autoSpaceDN w:val="0"/>
                    <w:bidi w:val="0"/>
                    <w:adjustRightInd w:val="0"/>
                    <w:snapToGrid w:val="0"/>
                    <w:spacing w:line="240" w:lineRule="auto"/>
                    <w:ind w:firstLine="420" w:firstLineChars="200"/>
                    <w:jc w:val="left"/>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sz w:val="21"/>
                      <w:szCs w:val="21"/>
                      <w:lang w:eastAsia="zh-CN"/>
                      <w14:textFill>
                        <w14:solidFill>
                          <w14:schemeClr w14:val="tx1"/>
                        </w14:solidFill>
                      </w14:textFill>
                    </w:rPr>
                    <w:t>生产区、原料区、成品区等区域地面为一般防渗区，</w:t>
                  </w:r>
                  <w:r>
                    <w:rPr>
                      <w:rFonts w:hint="default" w:ascii="Times New Roman" w:hAnsi="Times New Roman" w:eastAsia="宋体" w:cs="Times New Roman"/>
                      <w:color w:val="000000" w:themeColor="text1"/>
                      <w:sz w:val="21"/>
                      <w:szCs w:val="18"/>
                      <w:highlight w:val="none"/>
                      <w14:textFill>
                        <w14:solidFill>
                          <w14:schemeClr w14:val="tx1"/>
                        </w14:solidFill>
                      </w14:textFill>
                    </w:rPr>
                    <w:t>按照</w:t>
                  </w:r>
                  <w:r>
                    <w:rPr>
                      <w:rFonts w:hint="default" w:ascii="Times New Roman" w:hAnsi="Times New Roman" w:eastAsia="宋体" w:cs="Times New Roman"/>
                      <w:color w:val="000000" w:themeColor="text1"/>
                      <w:sz w:val="21"/>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18"/>
                      <w:highlight w:val="none"/>
                      <w14:textFill>
                        <w14:solidFill>
                          <w14:schemeClr w14:val="tx1"/>
                        </w14:solidFill>
                      </w14:textFill>
                    </w:rPr>
                    <w:t>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p>
              </w:tc>
              <w:tc>
                <w:tcPr>
                  <w:tcW w:w="404" w:type="pct"/>
                  <w:vMerge w:val="continue"/>
                  <w:vAlign w:val="center"/>
                </w:tcPr>
                <w:p w14:paraId="6CC05E2F">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p>
              </w:tc>
            </w:tr>
            <w:tr w14:paraId="3DF6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vAlign w:val="center"/>
                </w:tcPr>
                <w:p w14:paraId="288D36FB">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p>
              </w:tc>
              <w:tc>
                <w:tcPr>
                  <w:tcW w:w="517" w:type="pct"/>
                  <w:vMerge w:val="continue"/>
                  <w:vAlign w:val="center"/>
                </w:tcPr>
                <w:p w14:paraId="62204C6B">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p>
              </w:tc>
              <w:tc>
                <w:tcPr>
                  <w:tcW w:w="678" w:type="pct"/>
                  <w:vAlign w:val="center"/>
                </w:tcPr>
                <w:p w14:paraId="58342D10">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简单防渗区</w:t>
                  </w:r>
                </w:p>
              </w:tc>
              <w:tc>
                <w:tcPr>
                  <w:tcW w:w="3025" w:type="pct"/>
                  <w:vAlign w:val="center"/>
                </w:tcPr>
                <w:p w14:paraId="69229319">
                  <w:pPr>
                    <w:keepNext w:val="0"/>
                    <w:keepLines w:val="0"/>
                    <w:pageBreakBefore w:val="0"/>
                    <w:kinsoku w:val="0"/>
                    <w:wordWrap/>
                    <w:overflowPunct w:val="0"/>
                    <w:topLinePunct w:val="0"/>
                    <w:autoSpaceDE w:val="0"/>
                    <w:autoSpaceDN w:val="0"/>
                    <w:bidi w:val="0"/>
                    <w:adjustRightInd w:val="0"/>
                    <w:snapToGrid w:val="0"/>
                    <w:spacing w:line="240" w:lineRule="auto"/>
                    <w:ind w:firstLine="420" w:firstLineChars="200"/>
                    <w:jc w:val="left"/>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lang w:eastAsia="zh-CN"/>
                      <w14:textFill>
                        <w14:solidFill>
                          <w14:schemeClr w14:val="tx1"/>
                        </w14:solidFill>
                      </w14:textFill>
                    </w:rPr>
                    <w:t>办公室等区域地面</w:t>
                  </w:r>
                  <w:r>
                    <w:rPr>
                      <w:rFonts w:hint="default" w:ascii="Times New Roman" w:hAnsi="Times New Roman" w:eastAsia="宋体" w:cs="Times New Roman"/>
                      <w:color w:val="000000" w:themeColor="text1"/>
                      <w:sz w:val="21"/>
                      <w:szCs w:val="21"/>
                      <w14:textFill>
                        <w14:solidFill>
                          <w14:schemeClr w14:val="tx1"/>
                        </w14:solidFill>
                      </w14:textFill>
                    </w:rPr>
                    <w:t>为简单防渗区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lang w:val="zh-CN"/>
                      <w14:textFill>
                        <w14:solidFill>
                          <w14:schemeClr w14:val="tx1"/>
                        </w14:solidFill>
                      </w14:textFill>
                    </w:rPr>
                    <w:t>一般</w:t>
                  </w:r>
                  <w:r>
                    <w:rPr>
                      <w:rFonts w:hint="default" w:ascii="Times New Roman" w:hAnsi="Times New Roman" w:eastAsia="宋体" w:cs="Times New Roman"/>
                      <w:color w:val="000000" w:themeColor="text1"/>
                      <w:sz w:val="21"/>
                      <w:szCs w:val="21"/>
                      <w14:textFill>
                        <w14:solidFill>
                          <w14:schemeClr w14:val="tx1"/>
                        </w14:solidFill>
                      </w14:textFill>
                    </w:rPr>
                    <w:t>地面硬化</w:t>
                  </w:r>
                  <w:r>
                    <w:rPr>
                      <w:rFonts w:hint="default" w:ascii="Times New Roman" w:hAnsi="Times New Roman" w:eastAsia="宋体" w:cs="Times New Roman"/>
                      <w:color w:val="000000" w:themeColor="text1"/>
                      <w:sz w:val="21"/>
                      <w:szCs w:val="21"/>
                      <w:lang w:eastAsia="zh-CN"/>
                      <w14:textFill>
                        <w14:solidFill>
                          <w14:schemeClr w14:val="tx1"/>
                        </w14:solidFill>
                      </w14:textFill>
                    </w:rPr>
                    <w:t>处理。</w:t>
                  </w:r>
                </w:p>
              </w:tc>
              <w:tc>
                <w:tcPr>
                  <w:tcW w:w="404" w:type="pct"/>
                  <w:vMerge w:val="continue"/>
                  <w:vAlign w:val="center"/>
                </w:tcPr>
                <w:p w14:paraId="23D4D57D">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p>
              </w:tc>
            </w:tr>
          </w:tbl>
          <w:p w14:paraId="7118DD01">
            <w:pPr>
              <w:pStyle w:val="18"/>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3、产品方案</w:t>
            </w:r>
          </w:p>
          <w:p w14:paraId="2F062756">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本项目建成后年产</w:t>
            </w:r>
            <w:r>
              <w:rPr>
                <w:rFonts w:hint="default" w:ascii="Times New Roman" w:hAnsi="Times New Roman" w:eastAsia="宋体" w:cs="Times New Roman"/>
                <w:color w:val="000000" w:themeColor="text1"/>
                <w:sz w:val="24"/>
                <w:lang w:eastAsia="zh-CN"/>
                <w14:textFill>
                  <w14:solidFill>
                    <w14:schemeClr w14:val="tx1"/>
                  </w14:solidFill>
                </w14:textFill>
              </w:rPr>
              <w:t>塑料袋</w:t>
            </w:r>
            <w:r>
              <w:rPr>
                <w:rFonts w:hint="default" w:ascii="Times New Roman" w:hAnsi="Times New Roman" w:eastAsia="宋体" w:cs="Times New Roman"/>
                <w:color w:val="000000" w:themeColor="text1"/>
                <w:sz w:val="24"/>
                <w:lang w:val="en-US" w:eastAsia="zh-CN"/>
                <w14:textFill>
                  <w14:solidFill>
                    <w14:schemeClr w14:val="tx1"/>
                  </w14:solidFill>
                </w14:textFill>
              </w:rPr>
              <w:t>1850</w:t>
            </w:r>
            <w:r>
              <w:rPr>
                <w:rFonts w:hint="default" w:ascii="Times New Roman" w:hAnsi="Times New Roman" w:eastAsia="宋体" w:cs="Times New Roman"/>
                <w:color w:val="000000" w:themeColor="text1"/>
                <w:sz w:val="24"/>
                <w:lang w:eastAsia="zh-CN"/>
                <w14:textFill>
                  <w14:solidFill>
                    <w14:schemeClr w14:val="tx1"/>
                  </w14:solidFill>
                </w14:textFill>
              </w:rPr>
              <w:t>万个，新能源包装</w:t>
            </w:r>
            <w:r>
              <w:rPr>
                <w:rFonts w:hint="default" w:ascii="Times New Roman" w:hAnsi="Times New Roman" w:eastAsia="宋体" w:cs="Times New Roman"/>
                <w:color w:val="000000" w:themeColor="text1"/>
                <w:sz w:val="24"/>
                <w:lang w:val="en-US" w:eastAsia="zh-CN"/>
                <w14:textFill>
                  <w14:solidFill>
                    <w14:schemeClr w14:val="tx1"/>
                  </w14:solidFill>
                </w14:textFill>
              </w:rPr>
              <w:t>150万个</w:t>
            </w:r>
            <w:r>
              <w:rPr>
                <w:rFonts w:hint="default" w:ascii="Times New Roman" w:hAnsi="Times New Roman" w:eastAsia="宋体" w:cs="Times New Roman"/>
                <w:color w:val="000000" w:themeColor="text1"/>
                <w:sz w:val="24"/>
                <w14:textFill>
                  <w14:solidFill>
                    <w14:schemeClr w14:val="tx1"/>
                  </w14:solidFill>
                </w14:textFill>
              </w:rPr>
              <w:t>，项目产品方案见表2-2。</w:t>
            </w:r>
          </w:p>
          <w:p w14:paraId="7C5A49E3">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表2-2  项目产品方案一览表</w:t>
            </w:r>
          </w:p>
          <w:tbl>
            <w:tblPr>
              <w:tblStyle w:val="32"/>
              <w:tblW w:w="498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006"/>
              <w:gridCol w:w="1155"/>
              <w:gridCol w:w="1247"/>
              <w:gridCol w:w="2620"/>
              <w:gridCol w:w="1739"/>
            </w:tblGrid>
            <w:tr w14:paraId="19D46C6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dxa"/>
                  <w:tcBorders>
                    <w:tl2br w:val="nil"/>
                    <w:tr2bl w:val="nil"/>
                  </w:tcBorders>
                  <w:vAlign w:val="center"/>
                </w:tcPr>
                <w:p w14:paraId="1F863C26">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1006" w:type="dxa"/>
                  <w:tcBorders>
                    <w:tl2br w:val="nil"/>
                    <w:tr2bl w:val="nil"/>
                  </w:tcBorders>
                  <w:vAlign w:val="center"/>
                </w:tcPr>
                <w:p w14:paraId="32249DDB">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产品名称</w:t>
                  </w:r>
                </w:p>
              </w:tc>
              <w:tc>
                <w:tcPr>
                  <w:tcW w:w="1155" w:type="dxa"/>
                  <w:tcBorders>
                    <w:tl2br w:val="nil"/>
                    <w:tr2bl w:val="nil"/>
                  </w:tcBorders>
                  <w:vAlign w:val="center"/>
                </w:tcPr>
                <w:p w14:paraId="76FBE860">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规格</w:t>
                  </w:r>
                </w:p>
              </w:tc>
              <w:tc>
                <w:tcPr>
                  <w:tcW w:w="1247" w:type="dxa"/>
                  <w:tcBorders>
                    <w:tl2br w:val="nil"/>
                    <w:tr2bl w:val="nil"/>
                  </w:tcBorders>
                  <w:vAlign w:val="center"/>
                </w:tcPr>
                <w:p w14:paraId="0375A459">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产量</w:t>
                  </w:r>
                </w:p>
              </w:tc>
              <w:tc>
                <w:tcPr>
                  <w:tcW w:w="2621" w:type="dxa"/>
                  <w:tcBorders>
                    <w:tl2br w:val="nil"/>
                    <w:tr2bl w:val="nil"/>
                  </w:tcBorders>
                  <w:vAlign w:val="center"/>
                </w:tcPr>
                <w:p w14:paraId="5C8C85CA">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重量</w:t>
                  </w:r>
                </w:p>
              </w:tc>
              <w:tc>
                <w:tcPr>
                  <w:tcW w:w="1740" w:type="dxa"/>
                  <w:tcBorders>
                    <w:tl2br w:val="nil"/>
                    <w:tr2bl w:val="nil"/>
                  </w:tcBorders>
                  <w:vAlign w:val="center"/>
                </w:tcPr>
                <w:p w14:paraId="070639F8">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备注</w:t>
                  </w:r>
                </w:p>
              </w:tc>
            </w:tr>
            <w:tr w14:paraId="0437A8D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dxa"/>
                  <w:vMerge w:val="restart"/>
                  <w:tcBorders>
                    <w:tl2br w:val="nil"/>
                    <w:tr2bl w:val="nil"/>
                  </w:tcBorders>
                  <w:vAlign w:val="center"/>
                </w:tcPr>
                <w:p w14:paraId="4764AEB5">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006" w:type="dxa"/>
                  <w:vMerge w:val="restart"/>
                  <w:tcBorders>
                    <w:tl2br w:val="nil"/>
                    <w:tr2bl w:val="nil"/>
                  </w:tcBorders>
                  <w:vAlign w:val="center"/>
                </w:tcPr>
                <w:p w14:paraId="3FCC9C5E">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塑料袋</w:t>
                  </w:r>
                </w:p>
              </w:tc>
              <w:tc>
                <w:tcPr>
                  <w:tcW w:w="1155" w:type="dxa"/>
                  <w:tcBorders>
                    <w:tl2br w:val="nil"/>
                    <w:tr2bl w:val="nil"/>
                  </w:tcBorders>
                  <w:vAlign w:val="center"/>
                </w:tcPr>
                <w:p w14:paraId="0CC2D6AD">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0.4*0.4m</w:t>
                  </w:r>
                </w:p>
              </w:tc>
              <w:tc>
                <w:tcPr>
                  <w:tcW w:w="1247" w:type="dxa"/>
                  <w:tcBorders>
                    <w:tl2br w:val="nil"/>
                    <w:tr2bl w:val="nil"/>
                  </w:tcBorders>
                  <w:vAlign w:val="center"/>
                </w:tcPr>
                <w:p w14:paraId="0588D831">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1700万个</w:t>
                  </w:r>
                </w:p>
              </w:tc>
              <w:tc>
                <w:tcPr>
                  <w:tcW w:w="2621" w:type="dxa"/>
                  <w:tcBorders>
                    <w:tl2br w:val="nil"/>
                    <w:tr2bl w:val="nil"/>
                  </w:tcBorders>
                  <w:vAlign w:val="center"/>
                </w:tcPr>
                <w:p w14:paraId="6DA69A19">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单个产品重量为25g；即产品重量为425t/a</w:t>
                  </w:r>
                </w:p>
              </w:tc>
              <w:tc>
                <w:tcPr>
                  <w:tcW w:w="1740" w:type="dxa"/>
                  <w:vMerge w:val="restart"/>
                  <w:tcBorders>
                    <w:tl2br w:val="nil"/>
                    <w:tr2bl w:val="nil"/>
                  </w:tcBorders>
                  <w:vAlign w:val="center"/>
                </w:tcPr>
                <w:p w14:paraId="4560B79C">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OPP膜、PET膜、CPP膜、尼龙膜、PE膜作为基材，</w:t>
                  </w:r>
                  <w:r>
                    <w:rPr>
                      <w:rFonts w:hint="default" w:ascii="Times New Roman" w:hAnsi="Times New Roman" w:eastAsia="宋体" w:cs="Times New Roman"/>
                      <w:color w:val="000000" w:themeColor="text1"/>
                      <w:lang w:eastAsia="zh-CN"/>
                      <w14:textFill>
                        <w14:solidFill>
                          <w14:schemeClr w14:val="tx1"/>
                        </w14:solidFill>
                      </w14:textFill>
                    </w:rPr>
                    <w:t>根据不同订单需求，</w:t>
                  </w:r>
                  <w:r>
                    <w:rPr>
                      <w:rFonts w:hint="default" w:ascii="Times New Roman" w:hAnsi="Times New Roman" w:eastAsia="宋体" w:cs="Times New Roman"/>
                      <w:color w:val="000000" w:themeColor="text1"/>
                      <w:lang w:val="en-US" w:eastAsia="zh-CN"/>
                      <w14:textFill>
                        <w14:solidFill>
                          <w14:schemeClr w14:val="tx1"/>
                        </w14:solidFill>
                      </w14:textFill>
                    </w:rPr>
                    <w:t>进行复合、印刷加工</w:t>
                  </w:r>
                </w:p>
              </w:tc>
            </w:tr>
            <w:tr w14:paraId="3A13D5F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dxa"/>
                  <w:vMerge w:val="continue"/>
                  <w:tcBorders>
                    <w:tl2br w:val="nil"/>
                    <w:tr2bl w:val="nil"/>
                  </w:tcBorders>
                  <w:vAlign w:val="center"/>
                </w:tcPr>
                <w:p w14:paraId="28B81DDD">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1006" w:type="dxa"/>
                  <w:vMerge w:val="continue"/>
                  <w:tcBorders>
                    <w:tl2br w:val="nil"/>
                    <w:tr2bl w:val="nil"/>
                  </w:tcBorders>
                  <w:vAlign w:val="center"/>
                </w:tcPr>
                <w:p w14:paraId="52C72CE5">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55" w:type="dxa"/>
                  <w:tcBorders>
                    <w:tl2br w:val="nil"/>
                    <w:tr2bl w:val="nil"/>
                  </w:tcBorders>
                  <w:vAlign w:val="center"/>
                </w:tcPr>
                <w:p w14:paraId="4069367D">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1*1m</w:t>
                  </w:r>
                </w:p>
              </w:tc>
              <w:tc>
                <w:tcPr>
                  <w:tcW w:w="1247" w:type="dxa"/>
                  <w:tcBorders>
                    <w:tl2br w:val="nil"/>
                    <w:tr2bl w:val="nil"/>
                  </w:tcBorders>
                  <w:vAlign w:val="center"/>
                </w:tcPr>
                <w:p w14:paraId="21264220">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100万个</w:t>
                  </w:r>
                </w:p>
              </w:tc>
              <w:tc>
                <w:tcPr>
                  <w:tcW w:w="2621" w:type="dxa"/>
                  <w:tcBorders>
                    <w:tl2br w:val="nil"/>
                    <w:tr2bl w:val="nil"/>
                  </w:tcBorders>
                  <w:vAlign w:val="center"/>
                </w:tcPr>
                <w:p w14:paraId="0814663C">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单个产品重量为150g；即产品重量为150t/a</w:t>
                  </w:r>
                </w:p>
              </w:tc>
              <w:tc>
                <w:tcPr>
                  <w:tcW w:w="1740" w:type="dxa"/>
                  <w:vMerge w:val="continue"/>
                  <w:tcBorders>
                    <w:tl2br w:val="nil"/>
                    <w:tr2bl w:val="nil"/>
                  </w:tcBorders>
                  <w:vAlign w:val="center"/>
                </w:tcPr>
                <w:p w14:paraId="471E82DE">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592EA30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dxa"/>
                  <w:vMerge w:val="continue"/>
                  <w:tcBorders>
                    <w:tl2br w:val="nil"/>
                    <w:tr2bl w:val="nil"/>
                  </w:tcBorders>
                  <w:vAlign w:val="center"/>
                </w:tcPr>
                <w:p w14:paraId="1D7B00BD">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1006" w:type="dxa"/>
                  <w:vMerge w:val="continue"/>
                  <w:tcBorders>
                    <w:tl2br w:val="nil"/>
                    <w:tr2bl w:val="nil"/>
                  </w:tcBorders>
                  <w:vAlign w:val="center"/>
                </w:tcPr>
                <w:p w14:paraId="1AF311F0">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55" w:type="dxa"/>
                  <w:tcBorders>
                    <w:tl2br w:val="nil"/>
                    <w:tr2bl w:val="nil"/>
                  </w:tcBorders>
                  <w:vAlign w:val="center"/>
                </w:tcPr>
                <w:p w14:paraId="52F6B312">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3*3m</w:t>
                  </w:r>
                </w:p>
              </w:tc>
              <w:tc>
                <w:tcPr>
                  <w:tcW w:w="1247" w:type="dxa"/>
                  <w:tcBorders>
                    <w:tl2br w:val="nil"/>
                    <w:tr2bl w:val="nil"/>
                  </w:tcBorders>
                  <w:vAlign w:val="center"/>
                </w:tcPr>
                <w:p w14:paraId="2021B5B1">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50万个</w:t>
                  </w:r>
                </w:p>
              </w:tc>
              <w:tc>
                <w:tcPr>
                  <w:tcW w:w="2621" w:type="dxa"/>
                  <w:tcBorders>
                    <w:tl2br w:val="nil"/>
                    <w:tr2bl w:val="nil"/>
                  </w:tcBorders>
                  <w:vAlign w:val="center"/>
                </w:tcPr>
                <w:p w14:paraId="6D380B36">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单个产品重量为1.5kg；即产品重量为750t/a</w:t>
                  </w:r>
                </w:p>
              </w:tc>
              <w:tc>
                <w:tcPr>
                  <w:tcW w:w="1740" w:type="dxa"/>
                  <w:vMerge w:val="continue"/>
                  <w:tcBorders>
                    <w:tl2br w:val="nil"/>
                    <w:tr2bl w:val="nil"/>
                  </w:tcBorders>
                  <w:vAlign w:val="center"/>
                </w:tcPr>
                <w:p w14:paraId="2DBC7CEF">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5C15107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dxa"/>
                  <w:tcBorders>
                    <w:tl2br w:val="nil"/>
                    <w:tr2bl w:val="nil"/>
                  </w:tcBorders>
                  <w:vAlign w:val="center"/>
                </w:tcPr>
                <w:p w14:paraId="565A09F2">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1006" w:type="dxa"/>
                  <w:tcBorders>
                    <w:tl2br w:val="nil"/>
                    <w:tr2bl w:val="nil"/>
                  </w:tcBorders>
                  <w:vAlign w:val="center"/>
                </w:tcPr>
                <w:p w14:paraId="05827AEF">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新能源包装</w:t>
                  </w:r>
                </w:p>
              </w:tc>
              <w:tc>
                <w:tcPr>
                  <w:tcW w:w="1155" w:type="dxa"/>
                  <w:tcBorders>
                    <w:tl2br w:val="nil"/>
                    <w:tr2bl w:val="nil"/>
                  </w:tcBorders>
                  <w:vAlign w:val="center"/>
                </w:tcPr>
                <w:p w14:paraId="68CD2F20">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0.4*0.4m</w:t>
                  </w:r>
                </w:p>
              </w:tc>
              <w:tc>
                <w:tcPr>
                  <w:tcW w:w="1247" w:type="dxa"/>
                  <w:tcBorders>
                    <w:tl2br w:val="nil"/>
                    <w:tr2bl w:val="nil"/>
                  </w:tcBorders>
                  <w:vAlign w:val="center"/>
                </w:tcPr>
                <w:p w14:paraId="5C03C0BB">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150万个</w:t>
                  </w:r>
                </w:p>
              </w:tc>
              <w:tc>
                <w:tcPr>
                  <w:tcW w:w="2621" w:type="dxa"/>
                  <w:tcBorders>
                    <w:tl2br w:val="nil"/>
                    <w:tr2bl w:val="nil"/>
                  </w:tcBorders>
                  <w:vAlign w:val="center"/>
                </w:tcPr>
                <w:p w14:paraId="4B6358AB">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单个产品重量为1kg；即产品重量为1500t/a</w:t>
                  </w:r>
                </w:p>
              </w:tc>
              <w:tc>
                <w:tcPr>
                  <w:tcW w:w="1740" w:type="dxa"/>
                  <w:tcBorders>
                    <w:tl2br w:val="nil"/>
                    <w:tr2bl w:val="nil"/>
                  </w:tcBorders>
                  <w:vAlign w:val="center"/>
                </w:tcPr>
                <w:p w14:paraId="777DDD2D">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铝箔、OPP膜、PET膜、CPP膜、尼龙膜、PE膜作为基材，</w:t>
                  </w:r>
                  <w:r>
                    <w:rPr>
                      <w:rFonts w:hint="default" w:ascii="Times New Roman" w:hAnsi="Times New Roman" w:eastAsia="宋体" w:cs="Times New Roman"/>
                      <w:color w:val="000000" w:themeColor="text1"/>
                      <w:lang w:eastAsia="zh-CN"/>
                      <w14:textFill>
                        <w14:solidFill>
                          <w14:schemeClr w14:val="tx1"/>
                        </w14:solidFill>
                      </w14:textFill>
                    </w:rPr>
                    <w:t>根据不同订单需求，</w:t>
                  </w:r>
                  <w:r>
                    <w:rPr>
                      <w:rFonts w:hint="default" w:ascii="Times New Roman" w:hAnsi="Times New Roman" w:eastAsia="宋体" w:cs="Times New Roman"/>
                      <w:color w:val="000000" w:themeColor="text1"/>
                      <w:lang w:val="en-US" w:eastAsia="zh-CN"/>
                      <w14:textFill>
                        <w14:solidFill>
                          <w14:schemeClr w14:val="tx1"/>
                        </w14:solidFill>
                      </w14:textFill>
                    </w:rPr>
                    <w:t>进行复合、印刷加工</w:t>
                  </w:r>
                </w:p>
              </w:tc>
            </w:tr>
            <w:tr w14:paraId="48AD3C1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dxa"/>
                  <w:tcBorders>
                    <w:tl2br w:val="nil"/>
                    <w:tr2bl w:val="nil"/>
                  </w:tcBorders>
                  <w:vAlign w:val="center"/>
                </w:tcPr>
                <w:p w14:paraId="5DA1514F">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合计</w:t>
                  </w:r>
                </w:p>
              </w:tc>
              <w:tc>
                <w:tcPr>
                  <w:tcW w:w="1006" w:type="dxa"/>
                  <w:tcBorders>
                    <w:tl2br w:val="nil"/>
                    <w:tr2bl w:val="nil"/>
                  </w:tcBorders>
                  <w:vAlign w:val="center"/>
                </w:tcPr>
                <w:p w14:paraId="45966154">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155" w:type="dxa"/>
                  <w:tcBorders>
                    <w:tl2br w:val="nil"/>
                    <w:tr2bl w:val="nil"/>
                  </w:tcBorders>
                  <w:vAlign w:val="center"/>
                </w:tcPr>
                <w:p w14:paraId="5309B5BB">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247" w:type="dxa"/>
                  <w:tcBorders>
                    <w:tl2br w:val="nil"/>
                    <w:tr2bl w:val="nil"/>
                  </w:tcBorders>
                  <w:vAlign w:val="center"/>
                </w:tcPr>
                <w:p w14:paraId="62711574">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2000万个</w:t>
                  </w:r>
                </w:p>
              </w:tc>
              <w:tc>
                <w:tcPr>
                  <w:tcW w:w="2621" w:type="dxa"/>
                  <w:tcBorders>
                    <w:tl2br w:val="nil"/>
                    <w:tr2bl w:val="nil"/>
                  </w:tcBorders>
                  <w:vAlign w:val="center"/>
                </w:tcPr>
                <w:p w14:paraId="5DDA882D">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2825t/a</w:t>
                  </w:r>
                </w:p>
              </w:tc>
              <w:tc>
                <w:tcPr>
                  <w:tcW w:w="1740" w:type="dxa"/>
                  <w:tcBorders>
                    <w:tl2br w:val="nil"/>
                    <w:tr2bl w:val="nil"/>
                  </w:tcBorders>
                  <w:vAlign w:val="center"/>
                </w:tcPr>
                <w:p w14:paraId="2E978059">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bl>
          <w:p w14:paraId="23920C45">
            <w:pPr>
              <w:pStyle w:val="45"/>
              <w:pageBreakBefore w:val="0"/>
              <w:kinsoku/>
              <w:overflowPunct/>
              <w:topLinePunct w:val="0"/>
              <w:bidi w:val="0"/>
              <w:ind w:left="0" w:leftChars="0" w:right="0" w:firstLine="48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4、主要原辅料及用量</w:t>
            </w:r>
          </w:p>
          <w:p w14:paraId="04688F49">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（1）原辅料用量</w:t>
            </w:r>
          </w:p>
          <w:p w14:paraId="246EC9FF">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主要原辅材料及能源消耗情况见表2-3。</w:t>
            </w:r>
          </w:p>
          <w:p w14:paraId="074F12A6">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p>
          <w:p w14:paraId="386C02A1">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表2-3  项目原辅材料用量情况一览表</w:t>
            </w:r>
          </w:p>
          <w:tbl>
            <w:tblPr>
              <w:tblStyle w:val="32"/>
              <w:tblW w:w="499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2110"/>
              <w:gridCol w:w="1983"/>
              <w:gridCol w:w="1359"/>
              <w:gridCol w:w="2134"/>
            </w:tblGrid>
            <w:tr w14:paraId="34D8CC2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tcBorders>
                    <w:tl2br w:val="nil"/>
                    <w:tr2bl w:val="nil"/>
                  </w:tcBorders>
                  <w:vAlign w:val="center"/>
                </w:tcPr>
                <w:p w14:paraId="6F17BFF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2111" w:type="dxa"/>
                  <w:tcBorders>
                    <w:tl2br w:val="nil"/>
                    <w:tr2bl w:val="nil"/>
                  </w:tcBorders>
                  <w:vAlign w:val="center"/>
                </w:tcPr>
                <w:p w14:paraId="5B21804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材料名称</w:t>
                  </w:r>
                </w:p>
              </w:tc>
              <w:tc>
                <w:tcPr>
                  <w:tcW w:w="1983" w:type="dxa"/>
                  <w:tcBorders>
                    <w:tl2br w:val="nil"/>
                    <w:tr2bl w:val="nil"/>
                  </w:tcBorders>
                  <w:vAlign w:val="center"/>
                </w:tcPr>
                <w:p w14:paraId="48DCF9D3">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年耗量</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t/a</w:t>
                  </w:r>
                  <w:r>
                    <w:rPr>
                      <w:rFonts w:hint="default" w:ascii="Times New Roman" w:hAnsi="Times New Roman" w:eastAsia="宋体" w:cs="Times New Roman"/>
                      <w:color w:val="000000" w:themeColor="text1"/>
                      <w:lang w:eastAsia="zh-CN"/>
                      <w14:textFill>
                        <w14:solidFill>
                          <w14:schemeClr w14:val="tx1"/>
                        </w14:solidFill>
                      </w14:textFill>
                    </w:rPr>
                    <w:t>）</w:t>
                  </w:r>
                </w:p>
              </w:tc>
              <w:tc>
                <w:tcPr>
                  <w:tcW w:w="1359" w:type="dxa"/>
                  <w:tcBorders>
                    <w:tl2br w:val="nil"/>
                    <w:tr2bl w:val="nil"/>
                  </w:tcBorders>
                  <w:vAlign w:val="center"/>
                </w:tcPr>
                <w:p w14:paraId="76E00AD4">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供应来源</w:t>
                  </w:r>
                </w:p>
              </w:tc>
              <w:tc>
                <w:tcPr>
                  <w:tcW w:w="2135" w:type="dxa"/>
                  <w:tcBorders>
                    <w:tl2br w:val="nil"/>
                    <w:tr2bl w:val="nil"/>
                  </w:tcBorders>
                  <w:vAlign w:val="center"/>
                </w:tcPr>
                <w:p w14:paraId="38E121B7">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备注</w:t>
                  </w:r>
                </w:p>
              </w:tc>
            </w:tr>
            <w:tr w14:paraId="3C70C0B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tcBorders>
                    <w:tl2br w:val="nil"/>
                    <w:tr2bl w:val="nil"/>
                  </w:tcBorders>
                  <w:vAlign w:val="center"/>
                </w:tcPr>
                <w:p w14:paraId="6D7D48BC">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2111" w:type="dxa"/>
                  <w:tcBorders>
                    <w:tl2br w:val="nil"/>
                    <w:tr2bl w:val="nil"/>
                  </w:tcBorders>
                  <w:vAlign w:val="center"/>
                </w:tcPr>
                <w:p w14:paraId="603C9D6E">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OPP膜</w:t>
                  </w:r>
                </w:p>
              </w:tc>
              <w:tc>
                <w:tcPr>
                  <w:tcW w:w="1983" w:type="dxa"/>
                  <w:tcBorders>
                    <w:tl2br w:val="nil"/>
                    <w:tr2bl w:val="nil"/>
                  </w:tcBorders>
                  <w:vAlign w:val="center"/>
                </w:tcPr>
                <w:p w14:paraId="1A98E3D2">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705</w:t>
                  </w:r>
                </w:p>
              </w:tc>
              <w:tc>
                <w:tcPr>
                  <w:tcW w:w="1359" w:type="dxa"/>
                  <w:tcBorders>
                    <w:tl2br w:val="nil"/>
                    <w:tr2bl w:val="nil"/>
                  </w:tcBorders>
                  <w:vAlign w:val="center"/>
                </w:tcPr>
                <w:p w14:paraId="6415F257">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vMerge w:val="restart"/>
                  <w:tcBorders>
                    <w:tl2br w:val="nil"/>
                    <w:tr2bl w:val="nil"/>
                  </w:tcBorders>
                  <w:vAlign w:val="center"/>
                </w:tcPr>
                <w:p w14:paraId="10C728A4">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外购各类型薄膜进行生产；根据不同订单需求，通过不同组合</w:t>
                  </w:r>
                  <w:r>
                    <w:rPr>
                      <w:rFonts w:hint="default" w:ascii="Times New Roman" w:hAnsi="Times New Roman" w:eastAsia="宋体" w:cs="Times New Roman"/>
                      <w:color w:val="000000" w:themeColor="text1"/>
                      <w:lang w:val="en-US" w:eastAsia="zh-CN"/>
                      <w14:textFill>
                        <w14:solidFill>
                          <w14:schemeClr w14:val="tx1"/>
                        </w14:solidFill>
                      </w14:textFill>
                    </w:rPr>
                    <w:t>进行印刷、复合等工序</w:t>
                  </w:r>
                </w:p>
              </w:tc>
            </w:tr>
            <w:tr w14:paraId="15DE32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tcBorders>
                    <w:tl2br w:val="nil"/>
                    <w:tr2bl w:val="nil"/>
                  </w:tcBorders>
                  <w:vAlign w:val="center"/>
                </w:tcPr>
                <w:p w14:paraId="2A18ED93">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2111" w:type="dxa"/>
                  <w:tcBorders>
                    <w:tl2br w:val="nil"/>
                    <w:tr2bl w:val="nil"/>
                  </w:tcBorders>
                  <w:vAlign w:val="center"/>
                </w:tcPr>
                <w:p w14:paraId="27FDD2DA">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PET膜</w:t>
                  </w:r>
                </w:p>
              </w:tc>
              <w:tc>
                <w:tcPr>
                  <w:tcW w:w="1983" w:type="dxa"/>
                  <w:tcBorders>
                    <w:tl2br w:val="nil"/>
                    <w:tr2bl w:val="nil"/>
                  </w:tcBorders>
                  <w:vAlign w:val="center"/>
                </w:tcPr>
                <w:p w14:paraId="0BEE71BB">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400</w:t>
                  </w:r>
                </w:p>
              </w:tc>
              <w:tc>
                <w:tcPr>
                  <w:tcW w:w="1359" w:type="dxa"/>
                  <w:tcBorders>
                    <w:tl2br w:val="nil"/>
                    <w:tr2bl w:val="nil"/>
                  </w:tcBorders>
                  <w:vAlign w:val="center"/>
                </w:tcPr>
                <w:p w14:paraId="595D9B71">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vMerge w:val="continue"/>
                  <w:tcBorders>
                    <w:tl2br w:val="nil"/>
                    <w:tr2bl w:val="nil"/>
                  </w:tcBorders>
                  <w:vAlign w:val="center"/>
                </w:tcPr>
                <w:p w14:paraId="1678907B">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r>
            <w:tr w14:paraId="0C0274F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7D1AB0C2">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3</w:t>
                  </w:r>
                </w:p>
              </w:tc>
              <w:tc>
                <w:tcPr>
                  <w:tcW w:w="2111" w:type="dxa"/>
                  <w:tcBorders>
                    <w:tl2br w:val="nil"/>
                    <w:tr2bl w:val="nil"/>
                  </w:tcBorders>
                  <w:vAlign w:val="center"/>
                </w:tcPr>
                <w:p w14:paraId="6305ED89">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CPP膜</w:t>
                  </w:r>
                </w:p>
              </w:tc>
              <w:tc>
                <w:tcPr>
                  <w:tcW w:w="1983" w:type="dxa"/>
                  <w:tcBorders>
                    <w:tl2br w:val="nil"/>
                    <w:tr2bl w:val="nil"/>
                  </w:tcBorders>
                  <w:vAlign w:val="center"/>
                </w:tcPr>
                <w:p w14:paraId="2235C061">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400</w:t>
                  </w:r>
                </w:p>
              </w:tc>
              <w:tc>
                <w:tcPr>
                  <w:tcW w:w="1359" w:type="dxa"/>
                  <w:tcBorders>
                    <w:tl2br w:val="nil"/>
                    <w:tr2bl w:val="nil"/>
                  </w:tcBorders>
                  <w:vAlign w:val="center"/>
                </w:tcPr>
                <w:p w14:paraId="19DA30E2">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vMerge w:val="continue"/>
                  <w:tcBorders>
                    <w:tl2br w:val="nil"/>
                    <w:tr2bl w:val="nil"/>
                  </w:tcBorders>
                  <w:vAlign w:val="center"/>
                </w:tcPr>
                <w:p w14:paraId="72FCB6F7">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r w14:paraId="709487B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66C4AA68">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2111" w:type="dxa"/>
                  <w:tcBorders>
                    <w:tl2br w:val="nil"/>
                    <w:tr2bl w:val="nil"/>
                  </w:tcBorders>
                  <w:vAlign w:val="center"/>
                </w:tcPr>
                <w:p w14:paraId="03468E9E">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PE膜</w:t>
                  </w:r>
                </w:p>
              </w:tc>
              <w:tc>
                <w:tcPr>
                  <w:tcW w:w="1983" w:type="dxa"/>
                  <w:tcBorders>
                    <w:tl2br w:val="nil"/>
                    <w:tr2bl w:val="nil"/>
                  </w:tcBorders>
                  <w:vAlign w:val="center"/>
                </w:tcPr>
                <w:p w14:paraId="429BAE6D">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400</w:t>
                  </w:r>
                </w:p>
              </w:tc>
              <w:tc>
                <w:tcPr>
                  <w:tcW w:w="1359" w:type="dxa"/>
                  <w:tcBorders>
                    <w:tl2br w:val="nil"/>
                    <w:tr2bl w:val="nil"/>
                  </w:tcBorders>
                  <w:vAlign w:val="center"/>
                </w:tcPr>
                <w:p w14:paraId="595F45E0">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vMerge w:val="continue"/>
                  <w:tcBorders>
                    <w:tl2br w:val="nil"/>
                    <w:tr2bl w:val="nil"/>
                  </w:tcBorders>
                  <w:vAlign w:val="center"/>
                </w:tcPr>
                <w:p w14:paraId="71A483DC">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r w14:paraId="7275548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tcBorders>
                    <w:tl2br w:val="nil"/>
                    <w:tr2bl w:val="nil"/>
                  </w:tcBorders>
                  <w:vAlign w:val="center"/>
                </w:tcPr>
                <w:p w14:paraId="759A7731">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2111" w:type="dxa"/>
                  <w:tcBorders>
                    <w:tl2br w:val="nil"/>
                    <w:tr2bl w:val="nil"/>
                  </w:tcBorders>
                  <w:vAlign w:val="center"/>
                </w:tcPr>
                <w:p w14:paraId="052E52BB">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尼龙膜</w:t>
                  </w:r>
                </w:p>
              </w:tc>
              <w:tc>
                <w:tcPr>
                  <w:tcW w:w="1983" w:type="dxa"/>
                  <w:tcBorders>
                    <w:tl2br w:val="nil"/>
                    <w:tr2bl w:val="nil"/>
                  </w:tcBorders>
                  <w:vAlign w:val="center"/>
                </w:tcPr>
                <w:p w14:paraId="4445207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600</w:t>
                  </w:r>
                </w:p>
              </w:tc>
              <w:tc>
                <w:tcPr>
                  <w:tcW w:w="1359" w:type="dxa"/>
                  <w:tcBorders>
                    <w:tl2br w:val="nil"/>
                    <w:tr2bl w:val="nil"/>
                  </w:tcBorders>
                  <w:vAlign w:val="center"/>
                </w:tcPr>
                <w:p w14:paraId="13E63EBC">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vMerge w:val="continue"/>
                  <w:tcBorders>
                    <w:tl2br w:val="nil"/>
                    <w:tr2bl w:val="nil"/>
                  </w:tcBorders>
                  <w:vAlign w:val="center"/>
                </w:tcPr>
                <w:p w14:paraId="1EB88F66">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r w14:paraId="1A9C3A3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tcBorders>
                    <w:tl2br w:val="nil"/>
                    <w:tr2bl w:val="nil"/>
                  </w:tcBorders>
                  <w:vAlign w:val="center"/>
                </w:tcPr>
                <w:p w14:paraId="1483EF92">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w:t>
                  </w:r>
                </w:p>
              </w:tc>
              <w:tc>
                <w:tcPr>
                  <w:tcW w:w="2111" w:type="dxa"/>
                  <w:tcBorders>
                    <w:tl2br w:val="nil"/>
                    <w:tr2bl w:val="nil"/>
                  </w:tcBorders>
                  <w:vAlign w:val="center"/>
                </w:tcPr>
                <w:p w14:paraId="6704BC0E">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铝箔</w:t>
                  </w:r>
                </w:p>
              </w:tc>
              <w:tc>
                <w:tcPr>
                  <w:tcW w:w="1983" w:type="dxa"/>
                  <w:tcBorders>
                    <w:tl2br w:val="nil"/>
                    <w:tr2bl w:val="nil"/>
                  </w:tcBorders>
                  <w:vAlign w:val="center"/>
                </w:tcPr>
                <w:p w14:paraId="22B62A29">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400</w:t>
                  </w:r>
                </w:p>
              </w:tc>
              <w:tc>
                <w:tcPr>
                  <w:tcW w:w="1359" w:type="dxa"/>
                  <w:tcBorders>
                    <w:tl2br w:val="nil"/>
                    <w:tr2bl w:val="nil"/>
                  </w:tcBorders>
                  <w:vAlign w:val="center"/>
                </w:tcPr>
                <w:p w14:paraId="4C5D88CC">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vMerge w:val="continue"/>
                  <w:tcBorders>
                    <w:tl2br w:val="nil"/>
                    <w:tr2bl w:val="nil"/>
                  </w:tcBorders>
                  <w:vAlign w:val="center"/>
                </w:tcPr>
                <w:p w14:paraId="332187F1">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r w14:paraId="6E1EE65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111967AF">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p>
              </w:tc>
              <w:tc>
                <w:tcPr>
                  <w:tcW w:w="2111" w:type="dxa"/>
                  <w:tcBorders>
                    <w:tl2br w:val="nil"/>
                    <w:tr2bl w:val="nil"/>
                  </w:tcBorders>
                  <w:vAlign w:val="center"/>
                </w:tcPr>
                <w:p w14:paraId="6620D4A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w:t>
                  </w:r>
                </w:p>
              </w:tc>
              <w:tc>
                <w:tcPr>
                  <w:tcW w:w="1983" w:type="dxa"/>
                  <w:tcBorders>
                    <w:tl2br w:val="nil"/>
                    <w:tr2bl w:val="nil"/>
                  </w:tcBorders>
                  <w:vAlign w:val="center"/>
                </w:tcPr>
                <w:p w14:paraId="723AB1EF">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7.679</w:t>
                  </w:r>
                </w:p>
              </w:tc>
              <w:tc>
                <w:tcPr>
                  <w:tcW w:w="1359" w:type="dxa"/>
                  <w:tcBorders>
                    <w:tl2br w:val="nil"/>
                    <w:tr2bl w:val="nil"/>
                  </w:tcBorders>
                  <w:vAlign w:val="center"/>
                </w:tcPr>
                <w:p w14:paraId="35432313">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tcBorders>
                    <w:tl2br w:val="nil"/>
                    <w:tr2bl w:val="nil"/>
                  </w:tcBorders>
                  <w:vAlign w:val="center"/>
                </w:tcPr>
                <w:p w14:paraId="1F85AB17">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凹版油墨</w:t>
                  </w:r>
                </w:p>
              </w:tc>
            </w:tr>
            <w:tr w14:paraId="19E6171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427513BA">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w:t>
                  </w:r>
                </w:p>
              </w:tc>
              <w:tc>
                <w:tcPr>
                  <w:tcW w:w="2111" w:type="dxa"/>
                  <w:tcBorders>
                    <w:tl2br w:val="nil"/>
                    <w:tr2bl w:val="nil"/>
                  </w:tcBorders>
                  <w:vAlign w:val="center"/>
                </w:tcPr>
                <w:p w14:paraId="6B261CCA">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稀释剂</w:t>
                  </w:r>
                </w:p>
              </w:tc>
              <w:tc>
                <w:tcPr>
                  <w:tcW w:w="1983" w:type="dxa"/>
                  <w:tcBorders>
                    <w:tl2br w:val="nil"/>
                    <w:tr2bl w:val="nil"/>
                  </w:tcBorders>
                  <w:vAlign w:val="center"/>
                </w:tcPr>
                <w:p w14:paraId="08D65B0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0.7679</w:t>
                  </w:r>
                </w:p>
              </w:tc>
              <w:tc>
                <w:tcPr>
                  <w:tcW w:w="1359" w:type="dxa"/>
                  <w:tcBorders>
                    <w:tl2br w:val="nil"/>
                    <w:tr2bl w:val="nil"/>
                  </w:tcBorders>
                  <w:vAlign w:val="center"/>
                </w:tcPr>
                <w:p w14:paraId="08ADBD93">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tcBorders>
                    <w:tl2br w:val="nil"/>
                    <w:tr2bl w:val="nil"/>
                  </w:tcBorders>
                  <w:vAlign w:val="center"/>
                </w:tcPr>
                <w:p w14:paraId="56F7FD94">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用于油墨稀释，根据建设单位提供资料，油墨：稀释剂≈10：1。</w:t>
                  </w:r>
                </w:p>
              </w:tc>
            </w:tr>
            <w:tr w14:paraId="59D279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654F15C9">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w:t>
                  </w:r>
                </w:p>
              </w:tc>
              <w:tc>
                <w:tcPr>
                  <w:tcW w:w="2111" w:type="dxa"/>
                  <w:tcBorders>
                    <w:tl2br w:val="nil"/>
                    <w:tr2bl w:val="nil"/>
                  </w:tcBorders>
                  <w:vAlign w:val="center"/>
                </w:tcPr>
                <w:p w14:paraId="48465D9D">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无溶剂聚氨酯胶粘剂</w:t>
                  </w:r>
                </w:p>
              </w:tc>
              <w:tc>
                <w:tcPr>
                  <w:tcW w:w="1983" w:type="dxa"/>
                  <w:tcBorders>
                    <w:tl2br w:val="nil"/>
                    <w:tr2bl w:val="nil"/>
                  </w:tcBorders>
                  <w:vAlign w:val="center"/>
                </w:tcPr>
                <w:p w14:paraId="310C98E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2.122</w:t>
                  </w:r>
                </w:p>
              </w:tc>
              <w:tc>
                <w:tcPr>
                  <w:tcW w:w="1359" w:type="dxa"/>
                  <w:tcBorders>
                    <w:tl2br w:val="nil"/>
                    <w:tr2bl w:val="nil"/>
                  </w:tcBorders>
                  <w:vAlign w:val="center"/>
                </w:tcPr>
                <w:p w14:paraId="456A8508">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tcBorders>
                    <w:tl2br w:val="nil"/>
                    <w:tr2bl w:val="nil"/>
                  </w:tcBorders>
                  <w:vAlign w:val="center"/>
                </w:tcPr>
                <w:p w14:paraId="1CCE67F9">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用于复合工序</w:t>
                  </w:r>
                </w:p>
              </w:tc>
            </w:tr>
            <w:tr w14:paraId="7235C4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5714AEDA">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2111" w:type="dxa"/>
                  <w:tcBorders>
                    <w:tl2br w:val="nil"/>
                    <w:tr2bl w:val="nil"/>
                  </w:tcBorders>
                  <w:vAlign w:val="center"/>
                </w:tcPr>
                <w:p w14:paraId="68BF694D">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油墨清洗剂</w:t>
                  </w:r>
                </w:p>
              </w:tc>
              <w:tc>
                <w:tcPr>
                  <w:tcW w:w="1983" w:type="dxa"/>
                  <w:tcBorders>
                    <w:tl2br w:val="nil"/>
                    <w:tr2bl w:val="nil"/>
                  </w:tcBorders>
                  <w:vAlign w:val="center"/>
                </w:tcPr>
                <w:p w14:paraId="727D12E4">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0.5</w:t>
                  </w:r>
                </w:p>
              </w:tc>
              <w:tc>
                <w:tcPr>
                  <w:tcW w:w="1359" w:type="dxa"/>
                  <w:tcBorders>
                    <w:tl2br w:val="nil"/>
                    <w:tr2bl w:val="nil"/>
                  </w:tcBorders>
                  <w:vAlign w:val="center"/>
                </w:tcPr>
                <w:p w14:paraId="2286DE5F">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tcBorders>
                    <w:tl2br w:val="nil"/>
                    <w:tr2bl w:val="nil"/>
                  </w:tcBorders>
                  <w:vAlign w:val="center"/>
                </w:tcPr>
                <w:p w14:paraId="2D9C763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用于印版清洁；抹布蘸取少量油墨清洗剂对设备进行擦拭。</w:t>
                  </w:r>
                </w:p>
              </w:tc>
            </w:tr>
            <w:tr w14:paraId="6A50C4A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1EDCCBF4">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w:t>
                  </w:r>
                </w:p>
              </w:tc>
              <w:tc>
                <w:tcPr>
                  <w:tcW w:w="2111" w:type="dxa"/>
                  <w:tcBorders>
                    <w:tl2br w:val="nil"/>
                    <w:tr2bl w:val="nil"/>
                  </w:tcBorders>
                  <w:vAlign w:val="center"/>
                </w:tcPr>
                <w:p w14:paraId="35B2BD2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印刷版辊</w:t>
                  </w:r>
                </w:p>
              </w:tc>
              <w:tc>
                <w:tcPr>
                  <w:tcW w:w="1983" w:type="dxa"/>
                  <w:tcBorders>
                    <w:tl2br w:val="nil"/>
                    <w:tr2bl w:val="nil"/>
                  </w:tcBorders>
                  <w:vAlign w:val="center"/>
                </w:tcPr>
                <w:p w14:paraId="3F73F7AD">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1359" w:type="dxa"/>
                  <w:tcBorders>
                    <w:tl2br w:val="nil"/>
                    <w:tr2bl w:val="nil"/>
                  </w:tcBorders>
                  <w:vAlign w:val="center"/>
                </w:tcPr>
                <w:p w14:paraId="29CCA8EF">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外购</w:t>
                  </w:r>
                </w:p>
              </w:tc>
              <w:tc>
                <w:tcPr>
                  <w:tcW w:w="2135" w:type="dxa"/>
                  <w:tcBorders>
                    <w:tl2br w:val="nil"/>
                    <w:tr2bl w:val="nil"/>
                  </w:tcBorders>
                  <w:vAlign w:val="center"/>
                </w:tcPr>
                <w:p w14:paraId="5B7BAE65">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r>
            <w:tr w14:paraId="39E6EC7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34F48B09">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2111" w:type="dxa"/>
                  <w:tcBorders>
                    <w:tl2br w:val="nil"/>
                    <w:tr2bl w:val="nil"/>
                  </w:tcBorders>
                  <w:vAlign w:val="center"/>
                </w:tcPr>
                <w:p w14:paraId="4E0CCCE4">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w:t>
                  </w:r>
                </w:p>
              </w:tc>
              <w:tc>
                <w:tcPr>
                  <w:tcW w:w="1983" w:type="dxa"/>
                  <w:tcBorders>
                    <w:tl2br w:val="nil"/>
                    <w:tr2bl w:val="nil"/>
                  </w:tcBorders>
                  <w:vAlign w:val="center"/>
                </w:tcPr>
                <w:p w14:paraId="67FAD076">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1189.8m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/a（近期）；</w:t>
                  </w:r>
                  <w:r>
                    <w:rPr>
                      <w:rFonts w:hint="default" w:ascii="Times New Roman" w:hAnsi="Times New Roman" w:eastAsia="宋体" w:cs="Times New Roman"/>
                      <w:color w:val="000000" w:themeColor="text1"/>
                      <w:lang w:val="en-US" w:eastAsia="zh-CN"/>
                      <w14:textFill>
                        <w14:solidFill>
                          <w14:schemeClr w14:val="tx1"/>
                        </w14:solidFill>
                      </w14:textFill>
                    </w:rPr>
                    <w:br w:type="textWrapping"/>
                  </w:r>
                  <w:r>
                    <w:rPr>
                      <w:rFonts w:hint="default" w:ascii="Times New Roman" w:hAnsi="Times New Roman" w:eastAsia="宋体" w:cs="Times New Roman"/>
                      <w:color w:val="000000" w:themeColor="text1"/>
                      <w:lang w:val="en-US" w:eastAsia="zh-CN"/>
                      <w14:textFill>
                        <w14:solidFill>
                          <w14:schemeClr w14:val="tx1"/>
                        </w14:solidFill>
                      </w14:textFill>
                    </w:rPr>
                    <w:t>1629.9m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/a（远期）。</w:t>
                  </w:r>
                </w:p>
              </w:tc>
              <w:tc>
                <w:tcPr>
                  <w:tcW w:w="1359" w:type="dxa"/>
                  <w:tcBorders>
                    <w:tl2br w:val="nil"/>
                    <w:tr2bl w:val="nil"/>
                  </w:tcBorders>
                  <w:vAlign w:val="center"/>
                </w:tcPr>
                <w:p w14:paraId="5FD29970">
                  <w:pPr>
                    <w:pStyle w:val="124"/>
                    <w:pageBreakBefore w:val="0"/>
                    <w:kinsoku/>
                    <w:overflowPunct/>
                    <w:topLinePunct w:val="0"/>
                    <w:bidi w:val="0"/>
                    <w:spacing w:before="0" w:after="0"/>
                    <w:ind w:left="0" w:leftChars="0" w:right="0" w:rightChars="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市政管网</w:t>
                  </w:r>
                </w:p>
              </w:tc>
              <w:tc>
                <w:tcPr>
                  <w:tcW w:w="2135" w:type="dxa"/>
                  <w:tcBorders>
                    <w:tl2br w:val="nil"/>
                    <w:tr2bl w:val="nil"/>
                  </w:tcBorders>
                  <w:vAlign w:val="center"/>
                </w:tcPr>
                <w:p w14:paraId="6C38D1CD">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r>
            <w:tr w14:paraId="4C32F2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32F4DFB0">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w:t>
                  </w:r>
                </w:p>
              </w:tc>
              <w:tc>
                <w:tcPr>
                  <w:tcW w:w="2111" w:type="dxa"/>
                  <w:tcBorders>
                    <w:tl2br w:val="nil"/>
                    <w:tr2bl w:val="nil"/>
                  </w:tcBorders>
                  <w:vAlign w:val="center"/>
                </w:tcPr>
                <w:p w14:paraId="5D7145B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电</w:t>
                  </w:r>
                </w:p>
              </w:tc>
              <w:tc>
                <w:tcPr>
                  <w:tcW w:w="1983" w:type="dxa"/>
                  <w:tcBorders>
                    <w:tl2br w:val="nil"/>
                    <w:tr2bl w:val="nil"/>
                  </w:tcBorders>
                  <w:vAlign w:val="center"/>
                </w:tcPr>
                <w:p w14:paraId="7ED2BB12">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100万</w:t>
                  </w:r>
                  <w:r>
                    <w:rPr>
                      <w:rFonts w:hint="default" w:ascii="Times New Roman" w:hAnsi="Times New Roman" w:eastAsia="宋体" w:cs="Times New Roman"/>
                      <w:color w:val="000000" w:themeColor="text1"/>
                      <w:sz w:val="18"/>
                      <w:szCs w:val="18"/>
                      <w14:textFill>
                        <w14:solidFill>
                          <w14:schemeClr w14:val="tx1"/>
                        </w14:solidFill>
                      </w14:textFill>
                    </w:rPr>
                    <w:t>kW·h/a</w:t>
                  </w:r>
                </w:p>
              </w:tc>
              <w:tc>
                <w:tcPr>
                  <w:tcW w:w="1359" w:type="dxa"/>
                  <w:tcBorders>
                    <w:tl2br w:val="nil"/>
                    <w:tr2bl w:val="nil"/>
                  </w:tcBorders>
                  <w:vAlign w:val="center"/>
                </w:tcPr>
                <w:p w14:paraId="6D667C62">
                  <w:pPr>
                    <w:pStyle w:val="124"/>
                    <w:pageBreakBefore w:val="0"/>
                    <w:kinsoku/>
                    <w:overflowPunct/>
                    <w:topLinePunct w:val="0"/>
                    <w:bidi w:val="0"/>
                    <w:spacing w:before="0" w:after="0"/>
                    <w:ind w:left="0" w:leftChars="0" w:right="0" w:rightChars="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市政电网</w:t>
                  </w:r>
                </w:p>
              </w:tc>
              <w:tc>
                <w:tcPr>
                  <w:tcW w:w="2135" w:type="dxa"/>
                  <w:tcBorders>
                    <w:tl2br w:val="nil"/>
                    <w:tr2bl w:val="nil"/>
                  </w:tcBorders>
                  <w:vAlign w:val="center"/>
                </w:tcPr>
                <w:p w14:paraId="0FB01C7D">
                  <w:pPr>
                    <w:pStyle w:val="124"/>
                    <w:pageBreakBefore w:val="0"/>
                    <w:kinsoku/>
                    <w:overflowPunct/>
                    <w:topLinePunct w:val="0"/>
                    <w:bidi w:val="0"/>
                    <w:spacing w:before="0" w:after="0"/>
                    <w:ind w:left="0" w:leftChars="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r>
            <w:tr w14:paraId="48476D0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468680ED">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w:t>
                  </w:r>
                </w:p>
              </w:tc>
              <w:tc>
                <w:tcPr>
                  <w:tcW w:w="2111" w:type="dxa"/>
                  <w:tcBorders>
                    <w:tl2br w:val="nil"/>
                    <w:tr2bl w:val="nil"/>
                  </w:tcBorders>
                  <w:vAlign w:val="center"/>
                </w:tcPr>
                <w:p w14:paraId="2AD6F05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天然气</w:t>
                  </w:r>
                </w:p>
              </w:tc>
              <w:tc>
                <w:tcPr>
                  <w:tcW w:w="1983" w:type="dxa"/>
                  <w:tcBorders>
                    <w:tl2br w:val="nil"/>
                    <w:tr2bl w:val="nil"/>
                  </w:tcBorders>
                  <w:vAlign w:val="center"/>
                </w:tcPr>
                <w:p w14:paraId="05B02C11">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435312</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/a</w:t>
                  </w:r>
                </w:p>
              </w:tc>
              <w:tc>
                <w:tcPr>
                  <w:tcW w:w="1359" w:type="dxa"/>
                  <w:tcBorders>
                    <w:tl2br w:val="nil"/>
                    <w:tr2bl w:val="nil"/>
                  </w:tcBorders>
                  <w:vAlign w:val="center"/>
                </w:tcPr>
                <w:p w14:paraId="5E293C37">
                  <w:pPr>
                    <w:pStyle w:val="124"/>
                    <w:pageBreakBefore w:val="0"/>
                    <w:kinsoku/>
                    <w:overflowPunct/>
                    <w:topLinePunct w:val="0"/>
                    <w:bidi w:val="0"/>
                    <w:spacing w:before="0" w:after="0"/>
                    <w:ind w:left="0" w:leftChars="0" w:right="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市政天然气管网；</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外购天然气瓶</w:t>
                  </w:r>
                </w:p>
              </w:tc>
              <w:tc>
                <w:tcPr>
                  <w:tcW w:w="2135" w:type="dxa"/>
                  <w:tcBorders>
                    <w:tl2br w:val="nil"/>
                    <w:tr2bl w:val="nil"/>
                  </w:tcBorders>
                  <w:vAlign w:val="center"/>
                </w:tcPr>
                <w:p w14:paraId="43970799">
                  <w:pPr>
                    <w:pStyle w:val="124"/>
                    <w:pageBreakBefore w:val="0"/>
                    <w:kinsoku/>
                    <w:overflowPunct/>
                    <w:topLinePunct w:val="0"/>
                    <w:bidi w:val="0"/>
                    <w:spacing w:before="0" w:after="0"/>
                    <w:ind w:left="0" w:leftChars="0" w:right="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建设单位</w:t>
                  </w:r>
                  <w:r>
                    <w:rPr>
                      <w:rFonts w:hint="eastAsia" w:cs="Times New Roman"/>
                      <w:bCs/>
                      <w:color w:val="000000" w:themeColor="text1"/>
                      <w:kern w:val="2"/>
                      <w:sz w:val="21"/>
                      <w:szCs w:val="21"/>
                      <w:lang w:val="en-US" w:eastAsia="zh-CN" w:bidi="ar-SA"/>
                      <w14:textFill>
                        <w14:solidFill>
                          <w14:schemeClr w14:val="tx1"/>
                        </w14:solidFill>
                      </w14:textFill>
                    </w:rPr>
                    <w:t>实际运行过程中</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考虑成本因素，将采取不同天然气外购方式</w:t>
                  </w:r>
                </w:p>
              </w:tc>
            </w:tr>
          </w:tbl>
          <w:p w14:paraId="4A26179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20" w:firstLineChars="20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备注：根据玉溪市政府信息公开网江川区住房和城乡建设局公示信息（https://www.ynjc.gov.cn/jcqzfxxgk/gsgqfwlyggqsydwygxx/20240820/1549497.html），</w:t>
            </w:r>
            <w:r>
              <w:rPr>
                <w:rFonts w:hint="eastAsia"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玉溪深燃巨鹏天然气有限公司，主要从事天然气综合利用工程，城市管道燃气工程，市政管道天然气设施维护及汽车加气站。截至</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2023年</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已完成市政中压管网29余公里，基本已覆盖龙泉工业园区及江川城区范围内的5000余户居民用户及100余户工商业用户</w:t>
            </w:r>
            <w:r>
              <w:rPr>
                <w:rFonts w:hint="eastAsia"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，本项目位于龙泉片区内，位于天然气管网覆盖范围。</w:t>
            </w:r>
          </w:p>
          <w:p w14:paraId="5CB464D5">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油墨用量核算</w:t>
            </w:r>
          </w:p>
          <w:p w14:paraId="55CCDDA1">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2-4 油墨用量</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015"/>
              <w:gridCol w:w="853"/>
              <w:gridCol w:w="796"/>
              <w:gridCol w:w="854"/>
              <w:gridCol w:w="858"/>
              <w:gridCol w:w="906"/>
              <w:gridCol w:w="725"/>
              <w:gridCol w:w="726"/>
              <w:gridCol w:w="802"/>
            </w:tblGrid>
            <w:tr w14:paraId="4AE4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14:paraId="1F610F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产品</w:t>
                  </w:r>
                </w:p>
              </w:tc>
              <w:tc>
                <w:tcPr>
                  <w:tcW w:w="1015" w:type="dxa"/>
                  <w:vAlign w:val="center"/>
                </w:tcPr>
                <w:p w14:paraId="1F89E5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规格</w:t>
                  </w:r>
                </w:p>
              </w:tc>
              <w:tc>
                <w:tcPr>
                  <w:tcW w:w="853" w:type="dxa"/>
                  <w:vAlign w:val="center"/>
                </w:tcPr>
                <w:p w14:paraId="715568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年产量（</w:t>
                  </w: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万个</w:t>
                  </w: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w:t>
                  </w:r>
                </w:p>
              </w:tc>
              <w:tc>
                <w:tcPr>
                  <w:tcW w:w="796" w:type="dxa"/>
                  <w:vAlign w:val="center"/>
                </w:tcPr>
                <w:p w14:paraId="5E2EE48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总面积</w:t>
                  </w: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m</w:t>
                  </w:r>
                  <w:r>
                    <w:rPr>
                      <w:rFonts w:hint="default" w:ascii="Times New Roman" w:hAnsi="Times New Roman" w:eastAsia="宋体" w:cs="Times New Roman"/>
                      <w:b/>
                      <w:bCs/>
                      <w:color w:val="000000" w:themeColor="text1"/>
                      <w:kern w:val="0"/>
                      <w:sz w:val="21"/>
                      <w:szCs w:val="21"/>
                      <w:vertAlign w:val="superscript"/>
                      <w:lang w:val="en-US" w:eastAsia="zh-CN"/>
                      <w14:textFill>
                        <w14:solidFill>
                          <w14:schemeClr w14:val="tx1"/>
                        </w14:solidFill>
                      </w14:textFill>
                    </w:rPr>
                    <w:t>2</w:t>
                  </w:r>
                </w:p>
              </w:tc>
              <w:tc>
                <w:tcPr>
                  <w:tcW w:w="854" w:type="dxa"/>
                  <w:vAlign w:val="center"/>
                </w:tcPr>
                <w:p w14:paraId="02ECAF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上墨量μ</w:t>
                  </w: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m</w:t>
                  </w:r>
                </w:p>
              </w:tc>
              <w:tc>
                <w:tcPr>
                  <w:tcW w:w="858" w:type="dxa"/>
                  <w:vAlign w:val="center"/>
                </w:tcPr>
                <w:p w14:paraId="2A9187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密度</w:t>
                  </w:r>
                </w:p>
                <w:p w14:paraId="68CD0215">
                  <w:pPr>
                    <w:pStyle w:val="44"/>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g/cm</w:t>
                  </w:r>
                  <w:r>
                    <w:rPr>
                      <w:rFonts w:hint="default" w:ascii="Times New Roman" w:hAnsi="Times New Roman" w:eastAsia="宋体" w:cs="Times New Roman"/>
                      <w:b/>
                      <w:bCs/>
                      <w:color w:val="000000" w:themeColor="text1"/>
                      <w:kern w:val="0"/>
                      <w:sz w:val="21"/>
                      <w:szCs w:val="21"/>
                      <w:vertAlign w:val="superscript"/>
                      <w:lang w:val="en-US" w:eastAsia="zh-CN"/>
                      <w14:textFill>
                        <w14:solidFill>
                          <w14:schemeClr w14:val="tx1"/>
                        </w14:solidFill>
                      </w14:textFill>
                    </w:rPr>
                    <w:t>3</w:t>
                  </w:r>
                </w:p>
              </w:tc>
              <w:tc>
                <w:tcPr>
                  <w:tcW w:w="906" w:type="dxa"/>
                  <w:vAlign w:val="center"/>
                </w:tcPr>
                <w:p w14:paraId="1DE1AC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印刷面积</w:t>
                  </w:r>
                </w:p>
              </w:tc>
              <w:tc>
                <w:tcPr>
                  <w:tcW w:w="725" w:type="dxa"/>
                  <w:vAlign w:val="center"/>
                </w:tcPr>
                <w:p w14:paraId="7833C8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含固率</w:t>
                  </w:r>
                </w:p>
              </w:tc>
              <w:tc>
                <w:tcPr>
                  <w:tcW w:w="726" w:type="dxa"/>
                  <w:vAlign w:val="center"/>
                </w:tcPr>
                <w:p w14:paraId="430E37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上墨率</w:t>
                  </w:r>
                </w:p>
              </w:tc>
              <w:tc>
                <w:tcPr>
                  <w:tcW w:w="802" w:type="dxa"/>
                  <w:vAlign w:val="center"/>
                </w:tcPr>
                <w:p w14:paraId="29298C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t>用量</w:t>
                  </w:r>
                </w:p>
              </w:tc>
            </w:tr>
            <w:tr w14:paraId="57FB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restart"/>
                  <w:vAlign w:val="center"/>
                </w:tcPr>
                <w:p w14:paraId="5450EA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塑料袋</w:t>
                  </w:r>
                </w:p>
              </w:tc>
              <w:tc>
                <w:tcPr>
                  <w:tcW w:w="1015" w:type="dxa"/>
                  <w:vAlign w:val="center"/>
                </w:tcPr>
                <w:p w14:paraId="3882FE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0.4*0.4m</w:t>
                  </w:r>
                </w:p>
              </w:tc>
              <w:tc>
                <w:tcPr>
                  <w:tcW w:w="853" w:type="dxa"/>
                  <w:vAlign w:val="center"/>
                </w:tcPr>
                <w:p w14:paraId="3D2B30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1700</w:t>
                  </w:r>
                </w:p>
              </w:tc>
              <w:tc>
                <w:tcPr>
                  <w:tcW w:w="796" w:type="dxa"/>
                  <w:vAlign w:val="center"/>
                </w:tcPr>
                <w:p w14:paraId="57DC16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272万</w:t>
                  </w:r>
                </w:p>
              </w:tc>
              <w:tc>
                <w:tcPr>
                  <w:tcW w:w="854" w:type="dxa"/>
                  <w:vAlign w:val="center"/>
                </w:tcPr>
                <w:p w14:paraId="1A3033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w:t>
                  </w:r>
                </w:p>
              </w:tc>
              <w:tc>
                <w:tcPr>
                  <w:tcW w:w="858" w:type="dxa"/>
                  <w:vAlign w:val="center"/>
                </w:tcPr>
                <w:p w14:paraId="212EE9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0.9</w:t>
                  </w:r>
                </w:p>
              </w:tc>
              <w:tc>
                <w:tcPr>
                  <w:tcW w:w="906" w:type="dxa"/>
                  <w:vAlign w:val="center"/>
                </w:tcPr>
                <w:p w14:paraId="2686E2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0~10%</w:t>
                  </w:r>
                </w:p>
              </w:tc>
              <w:tc>
                <w:tcPr>
                  <w:tcW w:w="725" w:type="dxa"/>
                  <w:vAlign w:val="center"/>
                </w:tcPr>
                <w:p w14:paraId="2AFCF7C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37%</w:t>
                  </w:r>
                </w:p>
              </w:tc>
              <w:tc>
                <w:tcPr>
                  <w:tcW w:w="726" w:type="dxa"/>
                  <w:vAlign w:val="center"/>
                </w:tcPr>
                <w:p w14:paraId="31AF2E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98%</w:t>
                  </w:r>
                </w:p>
              </w:tc>
              <w:tc>
                <w:tcPr>
                  <w:tcW w:w="802" w:type="dxa"/>
                  <w:vAlign w:val="center"/>
                </w:tcPr>
                <w:p w14:paraId="3E5E140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1.350</w:t>
                  </w:r>
                </w:p>
              </w:tc>
            </w:tr>
            <w:tr w14:paraId="5486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continue"/>
                  <w:vAlign w:val="center"/>
                </w:tcPr>
                <w:p w14:paraId="345681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p>
              </w:tc>
              <w:tc>
                <w:tcPr>
                  <w:tcW w:w="1015" w:type="dxa"/>
                  <w:vAlign w:val="center"/>
                </w:tcPr>
                <w:p w14:paraId="5D2D82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1*1m</w:t>
                  </w:r>
                </w:p>
              </w:tc>
              <w:tc>
                <w:tcPr>
                  <w:tcW w:w="853" w:type="dxa"/>
                  <w:vAlign w:val="center"/>
                </w:tcPr>
                <w:p w14:paraId="1EDFCD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100</w:t>
                  </w:r>
                </w:p>
              </w:tc>
              <w:tc>
                <w:tcPr>
                  <w:tcW w:w="796" w:type="dxa"/>
                  <w:vAlign w:val="center"/>
                </w:tcPr>
                <w:p w14:paraId="22C2EC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100万</w:t>
                  </w:r>
                </w:p>
              </w:tc>
              <w:tc>
                <w:tcPr>
                  <w:tcW w:w="854" w:type="dxa"/>
                  <w:vAlign w:val="center"/>
                </w:tcPr>
                <w:p w14:paraId="3D2456C4">
                  <w:pPr>
                    <w:pStyle w:val="44"/>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58" w:type="dxa"/>
                  <w:vAlign w:val="center"/>
                </w:tcPr>
                <w:p w14:paraId="250EF6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0.9</w:t>
                  </w:r>
                </w:p>
              </w:tc>
              <w:tc>
                <w:tcPr>
                  <w:tcW w:w="906" w:type="dxa"/>
                  <w:vAlign w:val="center"/>
                </w:tcPr>
                <w:p w14:paraId="4F33A2A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0~10%</w:t>
                  </w:r>
                </w:p>
              </w:tc>
              <w:tc>
                <w:tcPr>
                  <w:tcW w:w="725" w:type="dxa"/>
                  <w:vAlign w:val="center"/>
                </w:tcPr>
                <w:p w14:paraId="28EC41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37%</w:t>
                  </w:r>
                </w:p>
              </w:tc>
              <w:tc>
                <w:tcPr>
                  <w:tcW w:w="726" w:type="dxa"/>
                  <w:vAlign w:val="center"/>
                </w:tcPr>
                <w:p w14:paraId="5D43CF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98%</w:t>
                  </w:r>
                </w:p>
              </w:tc>
              <w:tc>
                <w:tcPr>
                  <w:tcW w:w="802" w:type="dxa"/>
                  <w:vAlign w:val="center"/>
                </w:tcPr>
                <w:p w14:paraId="47F447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0.745</w:t>
                  </w:r>
                </w:p>
              </w:tc>
            </w:tr>
            <w:tr w14:paraId="1B1B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74" w:type="dxa"/>
                  <w:vMerge w:val="continue"/>
                  <w:vAlign w:val="center"/>
                </w:tcPr>
                <w:p w14:paraId="45B968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p>
              </w:tc>
              <w:tc>
                <w:tcPr>
                  <w:tcW w:w="1015" w:type="dxa"/>
                  <w:vAlign w:val="center"/>
                </w:tcPr>
                <w:p w14:paraId="04B1BF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3*3m</w:t>
                  </w:r>
                </w:p>
              </w:tc>
              <w:tc>
                <w:tcPr>
                  <w:tcW w:w="853" w:type="dxa"/>
                  <w:vAlign w:val="center"/>
                </w:tcPr>
                <w:p w14:paraId="7A9C03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50</w:t>
                  </w:r>
                </w:p>
              </w:tc>
              <w:tc>
                <w:tcPr>
                  <w:tcW w:w="796" w:type="dxa"/>
                  <w:vAlign w:val="center"/>
                </w:tcPr>
                <w:p w14:paraId="72EF51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450万</w:t>
                  </w:r>
                </w:p>
              </w:tc>
              <w:tc>
                <w:tcPr>
                  <w:tcW w:w="854" w:type="dxa"/>
                  <w:vAlign w:val="center"/>
                </w:tcPr>
                <w:p w14:paraId="4DEC4BB2">
                  <w:pPr>
                    <w:pStyle w:val="44"/>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58" w:type="dxa"/>
                  <w:vAlign w:val="center"/>
                </w:tcPr>
                <w:p w14:paraId="055E10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0.9</w:t>
                  </w:r>
                </w:p>
              </w:tc>
              <w:tc>
                <w:tcPr>
                  <w:tcW w:w="906" w:type="dxa"/>
                  <w:vAlign w:val="center"/>
                </w:tcPr>
                <w:p w14:paraId="3C84A0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0~10%</w:t>
                  </w:r>
                </w:p>
              </w:tc>
              <w:tc>
                <w:tcPr>
                  <w:tcW w:w="725" w:type="dxa"/>
                  <w:vAlign w:val="center"/>
                </w:tcPr>
                <w:p w14:paraId="6229A4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37%</w:t>
                  </w:r>
                </w:p>
              </w:tc>
              <w:tc>
                <w:tcPr>
                  <w:tcW w:w="726" w:type="dxa"/>
                  <w:vAlign w:val="center"/>
                </w:tcPr>
                <w:p w14:paraId="1A29CE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98%</w:t>
                  </w:r>
                </w:p>
              </w:tc>
              <w:tc>
                <w:tcPr>
                  <w:tcW w:w="802" w:type="dxa"/>
                  <w:vAlign w:val="center"/>
                </w:tcPr>
                <w:p w14:paraId="24923E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4.467</w:t>
                  </w:r>
                </w:p>
              </w:tc>
            </w:tr>
            <w:tr w14:paraId="72E2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74" w:type="dxa"/>
                  <w:vAlign w:val="center"/>
                </w:tcPr>
                <w:p w14:paraId="418F22F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新能源包装</w:t>
                  </w:r>
                </w:p>
              </w:tc>
              <w:tc>
                <w:tcPr>
                  <w:tcW w:w="1015" w:type="dxa"/>
                  <w:vAlign w:val="center"/>
                </w:tcPr>
                <w:p w14:paraId="565C360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1*1m</w:t>
                  </w:r>
                </w:p>
              </w:tc>
              <w:tc>
                <w:tcPr>
                  <w:tcW w:w="853" w:type="dxa"/>
                  <w:vAlign w:val="center"/>
                </w:tcPr>
                <w:p w14:paraId="2DDE43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150</w:t>
                  </w:r>
                </w:p>
              </w:tc>
              <w:tc>
                <w:tcPr>
                  <w:tcW w:w="796" w:type="dxa"/>
                  <w:vAlign w:val="center"/>
                </w:tcPr>
                <w:p w14:paraId="246AD0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150万</w:t>
                  </w:r>
                </w:p>
              </w:tc>
              <w:tc>
                <w:tcPr>
                  <w:tcW w:w="854" w:type="dxa"/>
                  <w:vAlign w:val="center"/>
                </w:tcPr>
                <w:p w14:paraId="305819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w:t>
                  </w:r>
                </w:p>
              </w:tc>
              <w:tc>
                <w:tcPr>
                  <w:tcW w:w="858" w:type="dxa"/>
                  <w:vAlign w:val="center"/>
                </w:tcPr>
                <w:p w14:paraId="202940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0.9</w:t>
                  </w:r>
                </w:p>
              </w:tc>
              <w:tc>
                <w:tcPr>
                  <w:tcW w:w="906" w:type="dxa"/>
                  <w:vAlign w:val="center"/>
                </w:tcPr>
                <w:p w14:paraId="67403C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0~10%</w:t>
                  </w:r>
                </w:p>
              </w:tc>
              <w:tc>
                <w:tcPr>
                  <w:tcW w:w="725" w:type="dxa"/>
                  <w:vAlign w:val="center"/>
                </w:tcPr>
                <w:p w14:paraId="6A3B6E9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37%</w:t>
                  </w:r>
                </w:p>
              </w:tc>
              <w:tc>
                <w:tcPr>
                  <w:tcW w:w="726" w:type="dxa"/>
                  <w:vAlign w:val="center"/>
                </w:tcPr>
                <w:p w14:paraId="6D8792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98%</w:t>
                  </w:r>
                </w:p>
              </w:tc>
              <w:tc>
                <w:tcPr>
                  <w:tcW w:w="802" w:type="dxa"/>
                  <w:vAlign w:val="center"/>
                </w:tcPr>
                <w:p w14:paraId="16CA28A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1.117</w:t>
                  </w:r>
                </w:p>
              </w:tc>
            </w:tr>
            <w:tr w14:paraId="3D21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14:paraId="6ED7F4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总计</w:t>
                  </w:r>
                </w:p>
              </w:tc>
              <w:tc>
                <w:tcPr>
                  <w:tcW w:w="6733" w:type="dxa"/>
                  <w:gridSpan w:val="8"/>
                  <w:vAlign w:val="center"/>
                </w:tcPr>
                <w:p w14:paraId="68BD016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802" w:type="dxa"/>
                  <w:vAlign w:val="center"/>
                </w:tcPr>
                <w:p w14:paraId="40C929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7.679</w:t>
                  </w:r>
                </w:p>
              </w:tc>
            </w:tr>
          </w:tbl>
          <w:p w14:paraId="47CE45DE">
            <w:pPr>
              <w:keepNext w:val="0"/>
              <w:keepLines w:val="0"/>
              <w:pageBreakBefore w:val="0"/>
              <w:widowControl/>
              <w:suppressLineNumbers w:val="0"/>
              <w:kinsoku/>
              <w:wordWrap/>
              <w:overflowPunct/>
              <w:topLinePunct w:val="0"/>
              <w:autoSpaceDE/>
              <w:autoSpaceDN/>
              <w:bidi w:val="0"/>
              <w:adjustRightInd/>
              <w:snapToGrid/>
              <w:ind w:firstLine="422"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备注：</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①</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根据建设单位提供浙江瑞康油墨有限公司凹版油墨《化学品安全技术说明书MSDS》中成分组成，挥发性有机化合物（乙酸正丙酯、异丙醇、乙酸乙酯等）含量为63%，填充料为17%，颜料粉为20%，即含固率37%；相对密度（水=1）为0.9g/c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14:paraId="3840ABA8">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②根据建设单位提供资料，产品上墨量根据规格有所不同，上</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墨面积约0~10%。由于印刷过程中，墨槽中会残余磨渣，该部分会被作为固废清理，因此上墨率按照 98%计算。 </w:t>
            </w:r>
          </w:p>
          <w:p w14:paraId="1B019644">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③理论油墨用量=（印刷面积×实际年产能×上墨量×油墨密度）/（上墨率×含固率）。</w:t>
            </w:r>
          </w:p>
          <w:p w14:paraId="5CAE17F3">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lang w:eastAsia="zh-CN"/>
                <w14:textFill>
                  <w14:solidFill>
                    <w14:schemeClr w14:val="tx1"/>
                  </w14:solidFill>
                </w14:textFill>
              </w:rPr>
              <w:t>）无溶剂聚氨酯胶粘剂用量</w:t>
            </w:r>
          </w:p>
          <w:p w14:paraId="7302A8D4">
            <w:pPr>
              <w:pStyle w:val="46"/>
              <w:pageBreakBefore w:val="0"/>
              <w:kinsoku/>
              <w:overflowPunct/>
              <w:topLinePunct w:val="0"/>
              <w:bidi w:val="0"/>
              <w:spacing w:before="0"/>
              <w:ind w:left="0" w:leftChars="0" w:right="0"/>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2-5无溶剂聚氨酯胶粘剂用量</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643"/>
              <w:gridCol w:w="1379"/>
              <w:gridCol w:w="1288"/>
              <w:gridCol w:w="1382"/>
              <w:gridCol w:w="1298"/>
            </w:tblGrid>
            <w:tr w14:paraId="6478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7DFA61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产品</w:t>
                  </w:r>
                </w:p>
              </w:tc>
              <w:tc>
                <w:tcPr>
                  <w:tcW w:w="977" w:type="pct"/>
                  <w:vAlign w:val="center"/>
                </w:tcPr>
                <w:p w14:paraId="1D762E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规格</w:t>
                  </w:r>
                </w:p>
              </w:tc>
              <w:tc>
                <w:tcPr>
                  <w:tcW w:w="820" w:type="pct"/>
                  <w:vAlign w:val="center"/>
                </w:tcPr>
                <w:p w14:paraId="34D963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年产量（</w:t>
                  </w: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万个</w:t>
                  </w: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w:t>
                  </w:r>
                </w:p>
              </w:tc>
              <w:tc>
                <w:tcPr>
                  <w:tcW w:w="766" w:type="pct"/>
                  <w:vAlign w:val="center"/>
                </w:tcPr>
                <w:p w14:paraId="1D0531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总面积（</w:t>
                  </w: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m</w:t>
                  </w:r>
                  <w:r>
                    <w:rPr>
                      <w:rFonts w:hint="default" w:ascii="Times New Roman" w:hAnsi="Times New Roman" w:eastAsia="宋体" w:cs="Times New Roman"/>
                      <w:b/>
                      <w:bCs/>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vertAlign w:val="baseline"/>
                      <w:lang w:eastAsia="zh-CN"/>
                      <w14:textFill>
                        <w14:solidFill>
                          <w14:schemeClr w14:val="tx1"/>
                        </w14:solidFill>
                      </w14:textFill>
                    </w:rPr>
                    <w:t>）</w:t>
                  </w:r>
                </w:p>
              </w:tc>
              <w:tc>
                <w:tcPr>
                  <w:tcW w:w="822" w:type="pct"/>
                  <w:vAlign w:val="center"/>
                </w:tcPr>
                <w:p w14:paraId="05F435A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上胶量（g/m</w:t>
                  </w:r>
                  <w:r>
                    <w:rPr>
                      <w:rFonts w:hint="default" w:ascii="Times New Roman" w:hAnsi="Times New Roman" w:eastAsia="宋体" w:cs="Times New Roman"/>
                      <w:b/>
                      <w:bCs/>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w:t>
                  </w:r>
                </w:p>
              </w:tc>
              <w:tc>
                <w:tcPr>
                  <w:tcW w:w="772" w:type="pct"/>
                  <w:vAlign w:val="center"/>
                </w:tcPr>
                <w:p w14:paraId="3D8172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t>用量（</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t/a</w:t>
                  </w:r>
                  <w: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t>）</w:t>
                  </w:r>
                </w:p>
              </w:tc>
            </w:tr>
            <w:tr w14:paraId="2932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23842E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塑料袋</w:t>
                  </w:r>
                </w:p>
              </w:tc>
              <w:tc>
                <w:tcPr>
                  <w:tcW w:w="977" w:type="pct"/>
                  <w:vAlign w:val="center"/>
                </w:tcPr>
                <w:p w14:paraId="512F927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0.4*0.4m</w:t>
                  </w:r>
                </w:p>
              </w:tc>
              <w:tc>
                <w:tcPr>
                  <w:tcW w:w="820" w:type="pct"/>
                  <w:vAlign w:val="center"/>
                </w:tcPr>
                <w:p w14:paraId="29D7A78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1700</w:t>
                  </w:r>
                </w:p>
              </w:tc>
              <w:tc>
                <w:tcPr>
                  <w:tcW w:w="766" w:type="pct"/>
                  <w:vAlign w:val="center"/>
                </w:tcPr>
                <w:p w14:paraId="1F534B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272万</w:t>
                  </w:r>
                </w:p>
              </w:tc>
              <w:tc>
                <w:tcPr>
                  <w:tcW w:w="822" w:type="pct"/>
                  <w:vAlign w:val="center"/>
                </w:tcPr>
                <w:p w14:paraId="200786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772" w:type="pct"/>
                  <w:vAlign w:val="center"/>
                </w:tcPr>
                <w:p w14:paraId="07D66A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0.272</w:t>
                  </w:r>
                </w:p>
              </w:tc>
            </w:tr>
            <w:tr w14:paraId="25D8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039D812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p>
              </w:tc>
              <w:tc>
                <w:tcPr>
                  <w:tcW w:w="977" w:type="pct"/>
                  <w:vAlign w:val="center"/>
                </w:tcPr>
                <w:p w14:paraId="30E123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1*1m</w:t>
                  </w:r>
                </w:p>
              </w:tc>
              <w:tc>
                <w:tcPr>
                  <w:tcW w:w="820" w:type="pct"/>
                  <w:vAlign w:val="center"/>
                </w:tcPr>
                <w:p w14:paraId="6935AC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100</w:t>
                  </w:r>
                </w:p>
              </w:tc>
              <w:tc>
                <w:tcPr>
                  <w:tcW w:w="766" w:type="pct"/>
                  <w:vAlign w:val="center"/>
                </w:tcPr>
                <w:p w14:paraId="66AEF1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100万</w:t>
                  </w:r>
                </w:p>
              </w:tc>
              <w:tc>
                <w:tcPr>
                  <w:tcW w:w="822" w:type="pct"/>
                  <w:vAlign w:val="center"/>
                </w:tcPr>
                <w:p w14:paraId="4F2F3955">
                  <w:pPr>
                    <w:pStyle w:val="44"/>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p>
              </w:tc>
              <w:tc>
                <w:tcPr>
                  <w:tcW w:w="772" w:type="pct"/>
                  <w:vAlign w:val="center"/>
                </w:tcPr>
                <w:p w14:paraId="621CB9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0.2</w:t>
                  </w:r>
                </w:p>
              </w:tc>
            </w:tr>
            <w:tr w14:paraId="64D4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41" w:type="pct"/>
                  <w:vMerge w:val="continue"/>
                  <w:vAlign w:val="center"/>
                </w:tcPr>
                <w:p w14:paraId="0E62FD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p>
              </w:tc>
              <w:tc>
                <w:tcPr>
                  <w:tcW w:w="977" w:type="pct"/>
                  <w:vAlign w:val="center"/>
                </w:tcPr>
                <w:p w14:paraId="6DE3E0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3*3m</w:t>
                  </w:r>
                </w:p>
              </w:tc>
              <w:tc>
                <w:tcPr>
                  <w:tcW w:w="820" w:type="pct"/>
                  <w:vAlign w:val="center"/>
                </w:tcPr>
                <w:p w14:paraId="691554F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50</w:t>
                  </w:r>
                </w:p>
              </w:tc>
              <w:tc>
                <w:tcPr>
                  <w:tcW w:w="766" w:type="pct"/>
                  <w:vAlign w:val="center"/>
                </w:tcPr>
                <w:p w14:paraId="51ACC8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450万</w:t>
                  </w:r>
                </w:p>
              </w:tc>
              <w:tc>
                <w:tcPr>
                  <w:tcW w:w="822" w:type="pct"/>
                  <w:vAlign w:val="center"/>
                </w:tcPr>
                <w:p w14:paraId="3502A8C2">
                  <w:pPr>
                    <w:pStyle w:val="44"/>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w:t>
                  </w:r>
                </w:p>
              </w:tc>
              <w:tc>
                <w:tcPr>
                  <w:tcW w:w="772" w:type="pct"/>
                  <w:vAlign w:val="center"/>
                </w:tcPr>
                <w:p w14:paraId="112A2E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1.35</w:t>
                  </w:r>
                </w:p>
              </w:tc>
            </w:tr>
            <w:tr w14:paraId="3C75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41" w:type="pct"/>
                  <w:vAlign w:val="center"/>
                </w:tcPr>
                <w:p w14:paraId="2FC62C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新能源包装</w:t>
                  </w:r>
                </w:p>
              </w:tc>
              <w:tc>
                <w:tcPr>
                  <w:tcW w:w="977" w:type="pct"/>
                  <w:vAlign w:val="center"/>
                </w:tcPr>
                <w:p w14:paraId="2BA2EF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1*1m</w:t>
                  </w:r>
                </w:p>
              </w:tc>
              <w:tc>
                <w:tcPr>
                  <w:tcW w:w="820" w:type="pct"/>
                  <w:vAlign w:val="center"/>
                </w:tcPr>
                <w:p w14:paraId="34FFB2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150</w:t>
                  </w:r>
                </w:p>
              </w:tc>
              <w:tc>
                <w:tcPr>
                  <w:tcW w:w="766" w:type="pct"/>
                  <w:vAlign w:val="center"/>
                </w:tcPr>
                <w:p w14:paraId="0A6559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150万</w:t>
                  </w:r>
                </w:p>
              </w:tc>
              <w:tc>
                <w:tcPr>
                  <w:tcW w:w="822" w:type="pct"/>
                  <w:vAlign w:val="center"/>
                </w:tcPr>
                <w:p w14:paraId="76D5C2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0.2</w:t>
                  </w:r>
                </w:p>
              </w:tc>
              <w:tc>
                <w:tcPr>
                  <w:tcW w:w="772" w:type="pct"/>
                  <w:vAlign w:val="center"/>
                </w:tcPr>
                <w:p w14:paraId="2304AB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0.3</w:t>
                  </w:r>
                </w:p>
              </w:tc>
            </w:tr>
            <w:tr w14:paraId="48A1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841" w:type="pct"/>
                  <w:vAlign w:val="center"/>
                </w:tcPr>
                <w:p w14:paraId="4244E4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eastAsia="zh-CN"/>
                      <w14:textFill>
                        <w14:solidFill>
                          <w14:schemeClr w14:val="tx1"/>
                        </w14:solidFill>
                      </w14:textFill>
                    </w:rPr>
                    <w:t>合计</w:t>
                  </w:r>
                </w:p>
              </w:tc>
              <w:tc>
                <w:tcPr>
                  <w:tcW w:w="977" w:type="pct"/>
                  <w:vAlign w:val="center"/>
                </w:tcPr>
                <w:p w14:paraId="7E7A9C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820" w:type="pct"/>
                  <w:vAlign w:val="center"/>
                </w:tcPr>
                <w:p w14:paraId="417E68C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766" w:type="pct"/>
                  <w:vAlign w:val="center"/>
                </w:tcPr>
                <w:p w14:paraId="4D02A51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822" w:type="pct"/>
                  <w:vAlign w:val="center"/>
                </w:tcPr>
                <w:p w14:paraId="35F693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772" w:type="pct"/>
                  <w:vAlign w:val="center"/>
                </w:tcPr>
                <w:p w14:paraId="1ECAAB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2.122</w:t>
                  </w:r>
                </w:p>
              </w:tc>
            </w:tr>
          </w:tbl>
          <w:p w14:paraId="03562679">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）原辅料理化性质</w:t>
            </w:r>
          </w:p>
          <w:p w14:paraId="69D7377F">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本项目主要原辅材料及产品理化特性见下表。</w:t>
            </w:r>
          </w:p>
          <w:p w14:paraId="6A0CD9B7">
            <w:pPr>
              <w:pStyle w:val="130"/>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表2-</w:t>
            </w:r>
            <w:r>
              <w:rPr>
                <w:rFonts w:hint="default" w:ascii="Times New Roman" w:hAnsi="Times New Roman" w:eastAsia="宋体"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项目涉及主要原辅材料及产品理化性质</w:t>
            </w:r>
          </w:p>
          <w:tbl>
            <w:tblPr>
              <w:tblStyle w:val="32"/>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4"/>
              <w:gridCol w:w="1275"/>
              <w:gridCol w:w="6270"/>
            </w:tblGrid>
            <w:tr w14:paraId="68052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54B4EE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序号</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B69896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名称</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F6A0A4F">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理化性质</w:t>
                  </w:r>
                </w:p>
              </w:tc>
            </w:tr>
            <w:tr w14:paraId="416EA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C2A90F2">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17385A6">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OPP膜</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F82E240">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OPP 膜的主要化学成分为聚丙烯，其分子结构稳定，具有较高的化学惰性和耐腐蚀性，能够抵抗一定浓度的酸、碱和溶剂等腐蚀作用，表面光滑，结晶度高，具有较好的机械强度、耐撕裂性和耐磨性等物理性能，能够抵抗外部物理因素的影响，不易破损或变形。</w:t>
                  </w:r>
                </w:p>
              </w:tc>
            </w:tr>
            <w:tr w14:paraId="7189F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ABF231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DA27286">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PET膜</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3050756">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PET全称聚对苯二甲酸</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乙二醇酯，</w:t>
                  </w:r>
                  <w:r>
                    <w:rPr>
                      <w:rFonts w:hint="default" w:ascii="Times New Roman" w:hAnsi="Times New Roman" w:eastAsia="宋体" w:cs="Times New Roman"/>
                      <w:color w:val="000000" w:themeColor="text1"/>
                      <w:lang w:val="en-US" w:eastAsia="zh-CN"/>
                      <w14:textFill>
                        <w14:solidFill>
                          <w14:schemeClr w14:val="tx1"/>
                        </w14:solidFill>
                      </w14:textFill>
                    </w:rPr>
                    <w:t>又俗称涤纶树脂。它是对苯二甲酸与乙二醇的缩聚物，与PBT一起统称为热塑性聚酯，或饱和聚酯。</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具有优良的光学性能，表面平整、</w:t>
                  </w:r>
                  <w:r>
                    <w:rPr>
                      <w:rFonts w:hint="default" w:ascii="Times New Roman" w:hAnsi="Times New Roman" w:eastAsia="宋体" w:cs="Times New Roman"/>
                      <w:color w:val="000000" w:themeColor="text1"/>
                      <w:lang w:val="en-US" w:eastAsia="zh-CN"/>
                      <w14:textFill>
                        <w14:solidFill>
                          <w14:schemeClr w14:val="tx1"/>
                        </w14:solidFill>
                      </w14:textFill>
                    </w:rPr>
                    <w:t>光洁，热稳定性好，收缩率小、耐光老化，具有良好的气密性和保香性。</w:t>
                  </w:r>
                </w:p>
              </w:tc>
            </w:tr>
            <w:tr w14:paraId="78839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7C511A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134DC73">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CPP膜</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F289FEF">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CPP 薄膜即流延聚丙烯薄膜，水气和异味阻隔性优良，可作为复合材料基膜，作为食品和商品包装及外包装，具有优良的演示性，可使产品在包装下仍清晰可见</w:t>
                  </w:r>
                </w:p>
              </w:tc>
            </w:tr>
            <w:tr w14:paraId="070C5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443C9A4">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32A9BBD">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PE膜</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DCB8173">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PE薄膜，即聚乙烯薄膜，是指用 PE 颗粒生产的薄膜。PE 膜具有防潮性，透湿性小</w:t>
                  </w:r>
                </w:p>
              </w:tc>
            </w:tr>
            <w:tr w14:paraId="3D37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993FFD4">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444C643">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尼龙膜</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E63DA89">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聚酰胺俗称尼龙（Nylon），英文名称 Polyamide（简称PA），是分子主链上含有重复酰胺基团—[NHCO]—的热塑性树脂总称，包括脂肪族PA，脂肪—芳香族PA和芳香族PA。</w:t>
                  </w:r>
                </w:p>
              </w:tc>
            </w:tr>
            <w:tr w14:paraId="18E0E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EF8DBF4">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30EE017">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铝箔</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1190AAC">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铝箔纸，亦称铝箔，俗称锡箔纸等，是一种用金属铝制造而成，主要用于厨房煮食、盛载食物，或用来制作一些可以简单清洁的物料。食品用的铝箔纸双面皆可包裹食物，通常以光亮面包裹以提升热传导效果。铝是活泼金属，在干燥空气中铝的表面立即形成厚约 50 埃的致密氧化膜，使铝不会进一步氧化并能耐水；但铝的粉末与空气混合极易燃烧，熔融的铝（熔点 660℃）能与水猛烈反应，高温下能将许多金属氧化物还原为相应的金属；铝是两性金属。</w:t>
                  </w:r>
                </w:p>
              </w:tc>
            </w:tr>
            <w:tr w14:paraId="2FB20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15219B8">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AC4401F">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0BE63FC">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根据企业提供溶剂型油墨 MSDS，油墨中 VOCs 含量为 63%（根据MSDS报告，成分主要为甲基环乙烷、乙酸正丙酯、异丙醇、乙酸乙酯、乙酸正丁酯、正丁醇）。根据《油墨中可挥发性有机化合物（VOCs）含量的限值》（GB38507-2020）规定的限值要求溶剂型凹印油墨挥发性有机化合物（VOCs）限值≤75%。</w:t>
                  </w:r>
                </w:p>
              </w:tc>
            </w:tr>
            <w:tr w14:paraId="379A7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5C0398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DC1F7E2">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稀释剂</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3AA8E65">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稀释剂，是稀释油墨或</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"https://baike.baidu.com/item/%E6%B6%82%E6%96%99/2503539?fromModule=lemma_inlink" \t "https://baike.baidu.com/item/%E5%BC%80%E6%B2%B9%E6%B0%B4/_blank"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涂料</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的一种溶剂。是调整油墨粘度，提高印刷适用性，除此之外,还能冲淡着色力，增加印刷面积,显著降低成本。</w:t>
                  </w:r>
                </w:p>
                <w:p w14:paraId="2A7191BB">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乙酸正丙酯：乙酸正丙酯又名</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乙酸丙酯</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醋酸丙酯</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，天然存在于草莓、香蕉和番茄中。可以通过乙酸与 1-丙醇经酯化反应得到的产物，具有酯的典型性质。常温下为无色透明液体，与乙醇、乙醚互溶，有特殊的水果香味。</w:t>
                  </w:r>
                </w:p>
              </w:tc>
            </w:tr>
            <w:tr w14:paraId="5505F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97B2123">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89F736D">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无溶剂聚氨酯胶粘剂</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04BA9EF">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"https://baike.baidu.com/item/%E8%81%9A%E6%B0%A8%E9%85%AF/2444330?fromModule=lemma_inlink" \t "https://baike.baidu.com/item/%E8%81%9A%E6%B0%A8%E9%85%AF%E8%83%B6%E7%B2%98%E5%89%82/_blank"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聚氨酯</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胶粘剂是指在分子链中含有</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"https://baike.baidu.com/item/%E6%B0%A8%E5%9F%BA%E7%94%B2%E9%85%B8%E9%85%AF/1858193?fromModule=lemma_inlink" \t "https://baike.baidu.com/item/%E8%81%9A%E6%B0%A8%E9%85%AF%E8%83%B6%E7%B2%98%E5%89%82/_blank"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氨基甲酸酯</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基团（－NHCOO－）或</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"https://baike.baidu.com/item/%E5%BC%82%E6%B0%B0%E9%85%B8/8208485?fromModule=lemma_inlink" \t "https://baike.baidu.com/item/%E8%81%9A%E6%B0%A8%E9%85%AF%E8%83%B6%E7%B2%98%E5%89%82/_blank"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异氰酸</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"https://baike.baidu.com/item/%E9%85%AF%E5%9F%BA/7606604?fromModule=lemma_inlink" \t "https://baike.baidu.com/item/%E8%81%9A%E6%B0%A8%E9%85%AF%E8%83%B6%E7%B2%98%E5%89%82/_blank"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酯基</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"https://baike.baidu.com/item/NCO/12006438?fromModule=lemma_inlink" \t "https://baike.baidu.com/item/%E8%81%9A%E6%B0%A8%E9%85%AF%E8%83%B6%E7%B2%98%E5%89%82/_blank"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NCO</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）的胶粘剂。</w:t>
                  </w:r>
                </w:p>
                <w:p w14:paraId="1DB61D1F">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聚氨酯胶粘粘剂具备优异的橡胶特性，能适应不同</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"https://baike.baidu.com/item/%E7%83%AD%E8%86%A8%E8%83%80%E7%B3%BB%E6%95%B0/1118945?fromModule=lemma_inlink" \t "https://baike.baidu.com/item/%E8%81%9A%E6%B0%A8%E9%85%AF%E8%83%B6%E7%B2%98%E5%89%82/_blank"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热膨胀系数</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基材的粘合，它在基材之间形成具有软-硬</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"https://baike.baidu.com/item/%E8%BF%87%E6%B8%A1%E5%B1%82/5001761?fromModule=lemma_inlink" \t "https://baike.baidu.com/item/%E8%81%9A%E6%B0%A8%E9%85%AF%E8%83%B6%E7%B2%98%E5%89%82/_blank"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过渡层</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，不仅粘接力强，同时还具有优异的缓冲、减震功能。</w:t>
                  </w:r>
                </w:p>
                <w:p w14:paraId="523EDAD2">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根据MSDS，本项目无溶剂型胶水分为NCO组分与OH组分，异氰酸酯、聚醚、组分聚醚、蓖麻油均为不易挥发物。</w:t>
                  </w:r>
                </w:p>
              </w:tc>
            </w:tr>
            <w:tr w14:paraId="7EEE7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74D1BA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72C2166">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油墨清洗剂</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629D092">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项目印版擦拭采用抹布沾染少量油墨清洗剂进行，根据MSDS，橡胶防老剂为C12- 20异链烷烃（5%），异构烷烃为石油精（80%），烃稳定剂为石油加氢轻馏分（7.5%），烃消泡剂为轻芳烃溶剂油（7.5%）。</w:t>
                  </w:r>
                </w:p>
              </w:tc>
            </w:tr>
            <w:tr w14:paraId="2A41F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D80B984">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w:t>
                  </w:r>
                </w:p>
              </w:tc>
              <w:tc>
                <w:tcPr>
                  <w:tcW w:w="75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89A35EA">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印刷版辊</w:t>
                  </w:r>
                </w:p>
              </w:tc>
              <w:tc>
                <w:tcPr>
                  <w:tcW w:w="373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8DE9DEB">
                  <w:pPr>
                    <w:pStyle w:val="124"/>
                    <w:keepNext w:val="0"/>
                    <w:keepLines w:val="0"/>
                    <w:pageBreakBefore w:val="0"/>
                    <w:widowControl/>
                    <w:kinsoku/>
                    <w:wordWrap/>
                    <w:overflowPunct/>
                    <w:topLinePunct w:val="0"/>
                    <w:autoSpaceDE/>
                    <w:autoSpaceDN/>
                    <w:bidi w:val="0"/>
                    <w:adjustRightInd/>
                    <w:snapToGrid/>
                    <w:spacing w:before="0" w:after="0"/>
                    <w:ind w:left="0" w:leftChars="0" w:right="0" w:rightChars="0" w:firstLine="42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印刷版辊是印刷机的核心配件，主要用于转移油墨和润版液，其表面微孔结构直接影响印刷质量。</w:t>
                  </w:r>
                </w:p>
              </w:tc>
            </w:tr>
          </w:tbl>
          <w:p w14:paraId="3EE36444">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5、项目物料平衡分析</w:t>
            </w:r>
          </w:p>
          <w:p w14:paraId="16E6C37F">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项目全厂物料平衡如下表。</w:t>
            </w:r>
          </w:p>
          <w:p w14:paraId="64049558">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表2-</w:t>
            </w:r>
            <w:r>
              <w:rPr>
                <w:rFonts w:hint="default" w:ascii="Times New Roman" w:hAnsi="Times New Roman" w:eastAsia="宋体"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 xml:space="preserve">  项目全厂物料平衡表</w:t>
            </w:r>
          </w:p>
          <w:tbl>
            <w:tblPr>
              <w:tblStyle w:val="32"/>
              <w:tblW w:w="4992"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89"/>
              <w:gridCol w:w="1549"/>
              <w:gridCol w:w="2555"/>
              <w:gridCol w:w="2098"/>
            </w:tblGrid>
            <w:tr w14:paraId="128CE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27" w:type="pct"/>
                  <w:gridSpan w:val="2"/>
                  <w:tcBorders>
                    <w:top w:val="single" w:color="auto" w:sz="4" w:space="0"/>
                    <w:left w:val="single" w:color="auto" w:sz="4" w:space="0"/>
                    <w:bottom w:val="single" w:color="auto" w:sz="4" w:space="0"/>
                    <w:right w:val="single" w:color="auto" w:sz="4" w:space="0"/>
                  </w:tcBorders>
                  <w:vAlign w:val="center"/>
                </w:tcPr>
                <w:p w14:paraId="6DB6BF37">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投入</w:t>
                  </w:r>
                </w:p>
              </w:tc>
              <w:tc>
                <w:tcPr>
                  <w:tcW w:w="2772" w:type="pct"/>
                  <w:gridSpan w:val="2"/>
                  <w:tcBorders>
                    <w:top w:val="single" w:color="auto" w:sz="4" w:space="0"/>
                    <w:left w:val="single" w:color="auto" w:sz="4" w:space="0"/>
                    <w:bottom w:val="single" w:color="auto" w:sz="4" w:space="0"/>
                    <w:right w:val="single" w:color="auto" w:sz="4" w:space="0"/>
                  </w:tcBorders>
                  <w:vAlign w:val="center"/>
                </w:tcPr>
                <w:p w14:paraId="62E45B22">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产出</w:t>
                  </w:r>
                </w:p>
              </w:tc>
            </w:tr>
            <w:tr w14:paraId="429D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304" w:type="pct"/>
                  <w:tcBorders>
                    <w:top w:val="single" w:color="auto" w:sz="4" w:space="0"/>
                    <w:left w:val="single" w:color="auto" w:sz="4" w:space="0"/>
                    <w:bottom w:val="single" w:color="auto" w:sz="4" w:space="0"/>
                    <w:right w:val="single" w:color="auto" w:sz="4" w:space="0"/>
                  </w:tcBorders>
                  <w:vAlign w:val="center"/>
                </w:tcPr>
                <w:p w14:paraId="6F85C056">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原辅材料</w:t>
                  </w:r>
                </w:p>
              </w:tc>
              <w:tc>
                <w:tcPr>
                  <w:tcW w:w="923" w:type="pct"/>
                  <w:tcBorders>
                    <w:top w:val="single" w:color="auto" w:sz="4" w:space="0"/>
                    <w:left w:val="single" w:color="auto" w:sz="4" w:space="0"/>
                    <w:bottom w:val="single" w:color="auto" w:sz="4" w:space="0"/>
                    <w:right w:val="single" w:color="auto" w:sz="4" w:space="0"/>
                  </w:tcBorders>
                  <w:vAlign w:val="center"/>
                </w:tcPr>
                <w:p w14:paraId="6DE01894">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用量（t/a）</w:t>
                  </w:r>
                </w:p>
              </w:tc>
              <w:tc>
                <w:tcPr>
                  <w:tcW w:w="1522" w:type="pct"/>
                  <w:tcBorders>
                    <w:top w:val="single" w:color="auto" w:sz="4" w:space="0"/>
                    <w:left w:val="single" w:color="auto" w:sz="4" w:space="0"/>
                    <w:bottom w:val="single" w:color="auto" w:sz="4" w:space="0"/>
                    <w:right w:val="single" w:color="auto" w:sz="4" w:space="0"/>
                  </w:tcBorders>
                  <w:vAlign w:val="center"/>
                </w:tcPr>
                <w:p w14:paraId="0C924717">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产品及其他</w:t>
                  </w:r>
                </w:p>
              </w:tc>
              <w:tc>
                <w:tcPr>
                  <w:tcW w:w="1250" w:type="pct"/>
                  <w:tcBorders>
                    <w:top w:val="single" w:color="auto" w:sz="4" w:space="0"/>
                    <w:left w:val="single" w:color="auto" w:sz="4" w:space="0"/>
                    <w:bottom w:val="single" w:color="auto" w:sz="4" w:space="0"/>
                    <w:right w:val="single" w:color="auto" w:sz="4" w:space="0"/>
                  </w:tcBorders>
                  <w:vAlign w:val="center"/>
                </w:tcPr>
                <w:p w14:paraId="1A6E8A17">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产量（t/a）</w:t>
                  </w:r>
                </w:p>
              </w:tc>
            </w:tr>
            <w:tr w14:paraId="2C77E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04" w:type="pct"/>
                  <w:tcBorders>
                    <w:top w:val="single" w:color="auto" w:sz="4" w:space="0"/>
                    <w:left w:val="single" w:color="auto" w:sz="4" w:space="0"/>
                    <w:bottom w:val="single" w:color="auto" w:sz="4" w:space="0"/>
                    <w:right w:val="single" w:color="auto" w:sz="4" w:space="0"/>
                  </w:tcBorders>
                  <w:vAlign w:val="center"/>
                </w:tcPr>
                <w:p w14:paraId="65B7A1DF">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OPP膜</w:t>
                  </w:r>
                </w:p>
              </w:tc>
              <w:tc>
                <w:tcPr>
                  <w:tcW w:w="923" w:type="pct"/>
                  <w:tcBorders>
                    <w:top w:val="single" w:color="auto" w:sz="4" w:space="0"/>
                    <w:left w:val="single" w:color="auto" w:sz="4" w:space="0"/>
                    <w:bottom w:val="single" w:color="auto" w:sz="4" w:space="0"/>
                    <w:right w:val="single" w:color="auto" w:sz="4" w:space="0"/>
                  </w:tcBorders>
                  <w:vAlign w:val="center"/>
                </w:tcPr>
                <w:p w14:paraId="4D7F8B47">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705</w:t>
                  </w:r>
                </w:p>
              </w:tc>
              <w:tc>
                <w:tcPr>
                  <w:tcW w:w="1522" w:type="pct"/>
                  <w:tcBorders>
                    <w:top w:val="single" w:color="auto" w:sz="4" w:space="0"/>
                    <w:left w:val="single" w:color="auto" w:sz="4" w:space="0"/>
                    <w:bottom w:val="single" w:color="auto" w:sz="4" w:space="0"/>
                    <w:right w:val="single" w:color="auto" w:sz="4" w:space="0"/>
                  </w:tcBorders>
                  <w:vAlign w:val="center"/>
                </w:tcPr>
                <w:p w14:paraId="0492B61D">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塑料袋</w:t>
                  </w:r>
                </w:p>
              </w:tc>
              <w:tc>
                <w:tcPr>
                  <w:tcW w:w="1250" w:type="pct"/>
                  <w:tcBorders>
                    <w:top w:val="single" w:color="auto" w:sz="4" w:space="0"/>
                    <w:left w:val="single" w:color="auto" w:sz="4" w:space="0"/>
                    <w:bottom w:val="single" w:color="auto" w:sz="4" w:space="0"/>
                    <w:right w:val="single" w:color="auto" w:sz="4" w:space="0"/>
                  </w:tcBorders>
                  <w:vAlign w:val="center"/>
                </w:tcPr>
                <w:p w14:paraId="2E914FAD">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1325</w:t>
                  </w:r>
                </w:p>
              </w:tc>
            </w:tr>
            <w:tr w14:paraId="324E1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04" w:type="pct"/>
                  <w:tcBorders>
                    <w:top w:val="single" w:color="auto" w:sz="4" w:space="0"/>
                    <w:left w:val="single" w:color="auto" w:sz="4" w:space="0"/>
                    <w:bottom w:val="single" w:color="auto" w:sz="4" w:space="0"/>
                    <w:right w:val="single" w:color="auto" w:sz="4" w:space="0"/>
                  </w:tcBorders>
                  <w:vAlign w:val="center"/>
                </w:tcPr>
                <w:p w14:paraId="34482762">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PET膜</w:t>
                  </w:r>
                </w:p>
              </w:tc>
              <w:tc>
                <w:tcPr>
                  <w:tcW w:w="923" w:type="pct"/>
                  <w:tcBorders>
                    <w:top w:val="single" w:color="auto" w:sz="4" w:space="0"/>
                    <w:left w:val="single" w:color="auto" w:sz="4" w:space="0"/>
                    <w:bottom w:val="single" w:color="auto" w:sz="4" w:space="0"/>
                    <w:right w:val="single" w:color="auto" w:sz="4" w:space="0"/>
                  </w:tcBorders>
                  <w:vAlign w:val="center"/>
                </w:tcPr>
                <w:p w14:paraId="615947E0">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1522" w:type="pct"/>
                  <w:tcBorders>
                    <w:top w:val="single" w:color="auto" w:sz="4" w:space="0"/>
                    <w:left w:val="single" w:color="auto" w:sz="4" w:space="0"/>
                    <w:bottom w:val="single" w:color="auto" w:sz="4" w:space="0"/>
                    <w:right w:val="single" w:color="auto" w:sz="4" w:space="0"/>
                  </w:tcBorders>
                  <w:vAlign w:val="center"/>
                </w:tcPr>
                <w:p w14:paraId="4F9FF552">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新能源包装</w:t>
                  </w:r>
                </w:p>
              </w:tc>
              <w:tc>
                <w:tcPr>
                  <w:tcW w:w="1250" w:type="pct"/>
                  <w:tcBorders>
                    <w:top w:val="single" w:color="auto" w:sz="4" w:space="0"/>
                    <w:left w:val="single" w:color="auto" w:sz="4" w:space="0"/>
                    <w:bottom w:val="single" w:color="auto" w:sz="4" w:space="0"/>
                    <w:right w:val="single" w:color="auto" w:sz="4" w:space="0"/>
                  </w:tcBorders>
                  <w:vAlign w:val="center"/>
                </w:tcPr>
                <w:p w14:paraId="0671CA92">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1500</w:t>
                  </w:r>
                </w:p>
              </w:tc>
            </w:tr>
            <w:tr w14:paraId="439E4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04" w:type="pct"/>
                  <w:tcBorders>
                    <w:top w:val="single" w:color="auto" w:sz="4" w:space="0"/>
                    <w:left w:val="single" w:color="auto" w:sz="4" w:space="0"/>
                    <w:bottom w:val="single" w:color="auto" w:sz="4" w:space="0"/>
                    <w:right w:val="single" w:color="auto" w:sz="4" w:space="0"/>
                  </w:tcBorders>
                  <w:vAlign w:val="center"/>
                </w:tcPr>
                <w:p w14:paraId="35E60B04">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CPP膜</w:t>
                  </w:r>
                </w:p>
              </w:tc>
              <w:tc>
                <w:tcPr>
                  <w:tcW w:w="923" w:type="pct"/>
                  <w:tcBorders>
                    <w:top w:val="single" w:color="auto" w:sz="4" w:space="0"/>
                    <w:left w:val="single" w:color="auto" w:sz="4" w:space="0"/>
                    <w:bottom w:val="single" w:color="auto" w:sz="4" w:space="0"/>
                    <w:right w:val="single" w:color="auto" w:sz="4" w:space="0"/>
                  </w:tcBorders>
                  <w:vAlign w:val="center"/>
                </w:tcPr>
                <w:p w14:paraId="12FC23BE">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1522" w:type="pct"/>
                  <w:tcBorders>
                    <w:top w:val="single" w:color="auto" w:sz="4" w:space="0"/>
                    <w:left w:val="single" w:color="auto" w:sz="4" w:space="0"/>
                    <w:bottom w:val="single" w:color="auto" w:sz="4" w:space="0"/>
                    <w:right w:val="single" w:color="auto" w:sz="4" w:space="0"/>
                  </w:tcBorders>
                  <w:vAlign w:val="center"/>
                </w:tcPr>
                <w:p w14:paraId="44FE43B3">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有机废气</w:t>
                  </w:r>
                </w:p>
              </w:tc>
              <w:tc>
                <w:tcPr>
                  <w:tcW w:w="1250" w:type="pct"/>
                  <w:tcBorders>
                    <w:top w:val="single" w:color="auto" w:sz="4" w:space="0"/>
                    <w:left w:val="single" w:color="auto" w:sz="4" w:space="0"/>
                    <w:bottom w:val="single" w:color="auto" w:sz="4" w:space="0"/>
                    <w:right w:val="single" w:color="auto" w:sz="4" w:space="0"/>
                  </w:tcBorders>
                  <w:vAlign w:val="center"/>
                </w:tcPr>
                <w:p w14:paraId="1E01783B">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6.3481</w:t>
                  </w:r>
                </w:p>
              </w:tc>
            </w:tr>
            <w:tr w14:paraId="3F18B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304" w:type="pct"/>
                  <w:tcBorders>
                    <w:top w:val="single" w:color="auto" w:sz="4" w:space="0"/>
                    <w:left w:val="single" w:color="auto" w:sz="4" w:space="0"/>
                    <w:bottom w:val="single" w:color="auto" w:sz="4" w:space="0"/>
                    <w:right w:val="single" w:color="auto" w:sz="4" w:space="0"/>
                  </w:tcBorders>
                  <w:vAlign w:val="center"/>
                </w:tcPr>
                <w:p w14:paraId="676D1D95">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PE膜</w:t>
                  </w:r>
                </w:p>
              </w:tc>
              <w:tc>
                <w:tcPr>
                  <w:tcW w:w="923" w:type="pct"/>
                  <w:tcBorders>
                    <w:top w:val="single" w:color="auto" w:sz="4" w:space="0"/>
                    <w:left w:val="single" w:color="auto" w:sz="4" w:space="0"/>
                    <w:bottom w:val="single" w:color="auto" w:sz="4" w:space="0"/>
                    <w:right w:val="single" w:color="auto" w:sz="4" w:space="0"/>
                  </w:tcBorders>
                  <w:vAlign w:val="center"/>
                </w:tcPr>
                <w:p w14:paraId="34845409">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1522" w:type="pct"/>
                  <w:tcBorders>
                    <w:top w:val="single" w:color="auto" w:sz="4" w:space="0"/>
                    <w:left w:val="single" w:color="auto" w:sz="4" w:space="0"/>
                    <w:bottom w:val="single" w:color="auto" w:sz="4" w:space="0"/>
                    <w:right w:val="single" w:color="auto" w:sz="4" w:space="0"/>
                  </w:tcBorders>
                  <w:vAlign w:val="center"/>
                </w:tcPr>
                <w:p w14:paraId="7547E78F">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废油墨渣</w:t>
                  </w:r>
                </w:p>
              </w:tc>
              <w:tc>
                <w:tcPr>
                  <w:tcW w:w="1250" w:type="pct"/>
                  <w:tcBorders>
                    <w:top w:val="single" w:color="auto" w:sz="4" w:space="0"/>
                    <w:left w:val="single" w:color="auto" w:sz="4" w:space="0"/>
                    <w:bottom w:val="single" w:color="auto" w:sz="4" w:space="0"/>
                    <w:right w:val="single" w:color="auto" w:sz="4" w:space="0"/>
                  </w:tcBorders>
                  <w:vAlign w:val="center"/>
                </w:tcPr>
                <w:p w14:paraId="692BD140">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0.06</w:t>
                  </w:r>
                </w:p>
              </w:tc>
            </w:tr>
            <w:tr w14:paraId="35B3C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04" w:type="pct"/>
                  <w:tcBorders>
                    <w:top w:val="single" w:color="auto" w:sz="4" w:space="0"/>
                    <w:left w:val="single" w:color="auto" w:sz="4" w:space="0"/>
                    <w:bottom w:val="single" w:color="auto" w:sz="4" w:space="0"/>
                    <w:right w:val="single" w:color="auto" w:sz="4" w:space="0"/>
                  </w:tcBorders>
                  <w:vAlign w:val="center"/>
                </w:tcPr>
                <w:p w14:paraId="2F1D619C">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尼龙膜</w:t>
                  </w:r>
                </w:p>
              </w:tc>
              <w:tc>
                <w:tcPr>
                  <w:tcW w:w="923" w:type="pct"/>
                  <w:tcBorders>
                    <w:top w:val="single" w:color="auto" w:sz="4" w:space="0"/>
                    <w:left w:val="single" w:color="auto" w:sz="4" w:space="0"/>
                    <w:bottom w:val="single" w:color="auto" w:sz="4" w:space="0"/>
                    <w:right w:val="single" w:color="auto" w:sz="4" w:space="0"/>
                  </w:tcBorders>
                  <w:vAlign w:val="center"/>
                </w:tcPr>
                <w:p w14:paraId="17A06AA4">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600</w:t>
                  </w:r>
                </w:p>
              </w:tc>
              <w:tc>
                <w:tcPr>
                  <w:tcW w:w="1522" w:type="pct"/>
                  <w:tcBorders>
                    <w:top w:val="single" w:color="auto" w:sz="4" w:space="0"/>
                    <w:left w:val="single" w:color="auto" w:sz="4" w:space="0"/>
                    <w:bottom w:val="single" w:color="auto" w:sz="4" w:space="0"/>
                    <w:right w:val="single" w:color="auto" w:sz="4" w:space="0"/>
                  </w:tcBorders>
                  <w:vAlign w:val="center"/>
                </w:tcPr>
                <w:p w14:paraId="714FAFB3">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边角料</w:t>
                  </w:r>
                </w:p>
              </w:tc>
              <w:tc>
                <w:tcPr>
                  <w:tcW w:w="1250" w:type="pct"/>
                  <w:tcBorders>
                    <w:top w:val="single" w:color="auto" w:sz="4" w:space="0"/>
                    <w:left w:val="single" w:color="auto" w:sz="4" w:space="0"/>
                    <w:bottom w:val="single" w:color="auto" w:sz="4" w:space="0"/>
                    <w:right w:val="single" w:color="auto" w:sz="4" w:space="0"/>
                  </w:tcBorders>
                  <w:vAlign w:val="center"/>
                </w:tcPr>
                <w:p w14:paraId="179D4A24">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27.6108</w:t>
                  </w:r>
                </w:p>
              </w:tc>
            </w:tr>
            <w:tr w14:paraId="65DA3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04" w:type="pct"/>
                  <w:tcBorders>
                    <w:top w:val="single" w:color="auto" w:sz="4" w:space="0"/>
                    <w:left w:val="single" w:color="auto" w:sz="4" w:space="0"/>
                    <w:bottom w:val="single" w:color="auto" w:sz="4" w:space="0"/>
                    <w:right w:val="single" w:color="auto" w:sz="4" w:space="0"/>
                  </w:tcBorders>
                  <w:vAlign w:val="center"/>
                </w:tcPr>
                <w:p w14:paraId="369654F8">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铝箔</w:t>
                  </w:r>
                </w:p>
              </w:tc>
              <w:tc>
                <w:tcPr>
                  <w:tcW w:w="923" w:type="pct"/>
                  <w:tcBorders>
                    <w:top w:val="single" w:color="auto" w:sz="4" w:space="0"/>
                    <w:left w:val="single" w:color="auto" w:sz="4" w:space="0"/>
                    <w:bottom w:val="single" w:color="auto" w:sz="4" w:space="0"/>
                    <w:right w:val="single" w:color="auto" w:sz="4" w:space="0"/>
                  </w:tcBorders>
                  <w:vAlign w:val="center"/>
                </w:tcPr>
                <w:p w14:paraId="45D54F9E">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1522" w:type="pct"/>
                  <w:tcBorders>
                    <w:top w:val="single" w:color="auto" w:sz="4" w:space="0"/>
                    <w:left w:val="single" w:color="auto" w:sz="4" w:space="0"/>
                    <w:bottom w:val="single" w:color="auto" w:sz="4" w:space="0"/>
                    <w:right w:val="single" w:color="auto" w:sz="4" w:space="0"/>
                  </w:tcBorders>
                  <w:vAlign w:val="center"/>
                </w:tcPr>
                <w:p w14:paraId="7A2C009C">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不合格品</w:t>
                  </w:r>
                </w:p>
              </w:tc>
              <w:tc>
                <w:tcPr>
                  <w:tcW w:w="1250" w:type="pct"/>
                  <w:tcBorders>
                    <w:top w:val="single" w:color="auto" w:sz="4" w:space="0"/>
                    <w:left w:val="single" w:color="auto" w:sz="4" w:space="0"/>
                    <w:bottom w:val="single" w:color="auto" w:sz="4" w:space="0"/>
                    <w:right w:val="single" w:color="auto" w:sz="4" w:space="0"/>
                  </w:tcBorders>
                  <w:vAlign w:val="center"/>
                </w:tcPr>
                <w:p w14:paraId="5FF8865C">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56.5</w:t>
                  </w:r>
                </w:p>
              </w:tc>
            </w:tr>
            <w:tr w14:paraId="63547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304" w:type="pct"/>
                  <w:tcBorders>
                    <w:top w:val="single" w:color="auto" w:sz="4" w:space="0"/>
                    <w:left w:val="single" w:color="auto" w:sz="4" w:space="0"/>
                    <w:bottom w:val="single" w:color="auto" w:sz="4" w:space="0"/>
                    <w:right w:val="single" w:color="auto" w:sz="4" w:space="0"/>
                  </w:tcBorders>
                  <w:vAlign w:val="center"/>
                </w:tcPr>
                <w:p w14:paraId="08C5F079">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油墨</w:t>
                  </w:r>
                </w:p>
              </w:tc>
              <w:tc>
                <w:tcPr>
                  <w:tcW w:w="923" w:type="pct"/>
                  <w:tcBorders>
                    <w:top w:val="single" w:color="auto" w:sz="4" w:space="0"/>
                    <w:left w:val="single" w:color="auto" w:sz="4" w:space="0"/>
                    <w:bottom w:val="single" w:color="auto" w:sz="4" w:space="0"/>
                    <w:right w:val="single" w:color="auto" w:sz="4" w:space="0"/>
                  </w:tcBorders>
                  <w:vAlign w:val="center"/>
                </w:tcPr>
                <w:p w14:paraId="1DF6B7E6">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7.679</w:t>
                  </w:r>
                </w:p>
              </w:tc>
              <w:tc>
                <w:tcPr>
                  <w:tcW w:w="1522" w:type="pct"/>
                  <w:tcBorders>
                    <w:top w:val="single" w:color="auto" w:sz="4" w:space="0"/>
                    <w:left w:val="single" w:color="auto" w:sz="4" w:space="0"/>
                    <w:bottom w:val="single" w:color="auto" w:sz="4" w:space="0"/>
                    <w:right w:val="single" w:color="auto" w:sz="4" w:space="0"/>
                  </w:tcBorders>
                  <w:vAlign w:val="center"/>
                </w:tcPr>
                <w:p w14:paraId="1BAEA13C">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废有机溶剂</w:t>
                  </w:r>
                </w:p>
              </w:tc>
              <w:tc>
                <w:tcPr>
                  <w:tcW w:w="1250" w:type="pct"/>
                  <w:tcBorders>
                    <w:top w:val="single" w:color="auto" w:sz="4" w:space="0"/>
                    <w:left w:val="single" w:color="auto" w:sz="4" w:space="0"/>
                    <w:bottom w:val="single" w:color="auto" w:sz="4" w:space="0"/>
                    <w:right w:val="single" w:color="auto" w:sz="4" w:space="0"/>
                  </w:tcBorders>
                  <w:vAlign w:val="center"/>
                </w:tcPr>
                <w:p w14:paraId="3781AEBA">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w:t>
                  </w:r>
                </w:p>
              </w:tc>
            </w:tr>
            <w:tr w14:paraId="3A6D7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304" w:type="pct"/>
                  <w:tcBorders>
                    <w:top w:val="single" w:color="auto" w:sz="4" w:space="0"/>
                    <w:left w:val="single" w:color="auto" w:sz="4" w:space="0"/>
                    <w:bottom w:val="single" w:color="auto" w:sz="4" w:space="0"/>
                    <w:right w:val="single" w:color="auto" w:sz="4" w:space="0"/>
                  </w:tcBorders>
                  <w:vAlign w:val="center"/>
                </w:tcPr>
                <w:p w14:paraId="4681DF2A">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稀释剂</w:t>
                  </w:r>
                </w:p>
              </w:tc>
              <w:tc>
                <w:tcPr>
                  <w:tcW w:w="923" w:type="pct"/>
                  <w:tcBorders>
                    <w:top w:val="single" w:color="auto" w:sz="4" w:space="0"/>
                    <w:left w:val="single" w:color="auto" w:sz="4" w:space="0"/>
                    <w:bottom w:val="single" w:color="auto" w:sz="4" w:space="0"/>
                    <w:right w:val="single" w:color="auto" w:sz="4" w:space="0"/>
                  </w:tcBorders>
                  <w:vAlign w:val="center"/>
                </w:tcPr>
                <w:p w14:paraId="62E22C72">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0.7679</w:t>
                  </w:r>
                </w:p>
              </w:tc>
              <w:tc>
                <w:tcPr>
                  <w:tcW w:w="1522" w:type="pct"/>
                  <w:tcBorders>
                    <w:top w:val="single" w:color="auto" w:sz="4" w:space="0"/>
                    <w:left w:val="single" w:color="auto" w:sz="4" w:space="0"/>
                    <w:bottom w:val="single" w:color="auto" w:sz="4" w:space="0"/>
                    <w:right w:val="single" w:color="auto" w:sz="4" w:space="0"/>
                  </w:tcBorders>
                  <w:vAlign w:val="center"/>
                </w:tcPr>
                <w:p w14:paraId="3A623ADF">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50" w:type="pct"/>
                  <w:tcBorders>
                    <w:top w:val="single" w:color="auto" w:sz="4" w:space="0"/>
                    <w:left w:val="single" w:color="auto" w:sz="4" w:space="0"/>
                    <w:bottom w:val="single" w:color="auto" w:sz="4" w:space="0"/>
                    <w:right w:val="single" w:color="auto" w:sz="4" w:space="0"/>
                  </w:tcBorders>
                  <w:vAlign w:val="center"/>
                </w:tcPr>
                <w:p w14:paraId="05C4F684">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34C5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304" w:type="pct"/>
                  <w:tcBorders>
                    <w:top w:val="single" w:color="auto" w:sz="4" w:space="0"/>
                    <w:left w:val="single" w:color="auto" w:sz="4" w:space="0"/>
                    <w:bottom w:val="single" w:color="auto" w:sz="4" w:space="0"/>
                    <w:right w:val="single" w:color="auto" w:sz="4" w:space="0"/>
                  </w:tcBorders>
                  <w:vAlign w:val="center"/>
                </w:tcPr>
                <w:p w14:paraId="42E6EFE5">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无溶剂聚氨酯胶粘剂</w:t>
                  </w:r>
                </w:p>
              </w:tc>
              <w:tc>
                <w:tcPr>
                  <w:tcW w:w="923" w:type="pct"/>
                  <w:tcBorders>
                    <w:top w:val="single" w:color="auto" w:sz="4" w:space="0"/>
                    <w:left w:val="single" w:color="auto" w:sz="4" w:space="0"/>
                    <w:bottom w:val="single" w:color="auto" w:sz="4" w:space="0"/>
                    <w:right w:val="single" w:color="auto" w:sz="4" w:space="0"/>
                  </w:tcBorders>
                  <w:vAlign w:val="center"/>
                </w:tcPr>
                <w:p w14:paraId="017E5EC4">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2.122</w:t>
                  </w:r>
                </w:p>
              </w:tc>
              <w:tc>
                <w:tcPr>
                  <w:tcW w:w="1522" w:type="pct"/>
                  <w:tcBorders>
                    <w:top w:val="single" w:color="auto" w:sz="4" w:space="0"/>
                    <w:left w:val="single" w:color="auto" w:sz="4" w:space="0"/>
                    <w:bottom w:val="single" w:color="auto" w:sz="4" w:space="0"/>
                    <w:right w:val="single" w:color="auto" w:sz="4" w:space="0"/>
                  </w:tcBorders>
                  <w:vAlign w:val="center"/>
                </w:tcPr>
                <w:p w14:paraId="625D40EA">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50" w:type="pct"/>
                  <w:tcBorders>
                    <w:top w:val="single" w:color="auto" w:sz="4" w:space="0"/>
                    <w:left w:val="single" w:color="auto" w:sz="4" w:space="0"/>
                    <w:bottom w:val="single" w:color="auto" w:sz="4" w:space="0"/>
                    <w:right w:val="single" w:color="auto" w:sz="4" w:space="0"/>
                  </w:tcBorders>
                  <w:vAlign w:val="center"/>
                </w:tcPr>
                <w:p w14:paraId="7C360840">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EBA8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304" w:type="pct"/>
                  <w:tcBorders>
                    <w:top w:val="single" w:color="auto" w:sz="4" w:space="0"/>
                    <w:left w:val="single" w:color="auto" w:sz="4" w:space="0"/>
                    <w:bottom w:val="single" w:color="auto" w:sz="4" w:space="0"/>
                    <w:right w:val="single" w:color="auto" w:sz="4" w:space="0"/>
                  </w:tcBorders>
                  <w:vAlign w:val="center"/>
                </w:tcPr>
                <w:p w14:paraId="3014B7FD">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923" w:type="pct"/>
                  <w:tcBorders>
                    <w:top w:val="single" w:color="auto" w:sz="4" w:space="0"/>
                    <w:left w:val="single" w:color="auto" w:sz="4" w:space="0"/>
                    <w:bottom w:val="single" w:color="auto" w:sz="4" w:space="0"/>
                    <w:right w:val="single" w:color="auto" w:sz="4" w:space="0"/>
                  </w:tcBorders>
                  <w:shd w:val="clear" w:color="auto" w:fill="auto"/>
                  <w:vAlign w:val="center"/>
                </w:tcPr>
                <w:p w14:paraId="4624E44A">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2915.5689</w:t>
                  </w:r>
                </w:p>
              </w:tc>
              <w:tc>
                <w:tcPr>
                  <w:tcW w:w="1522" w:type="pct"/>
                  <w:tcBorders>
                    <w:top w:val="single" w:color="auto" w:sz="4" w:space="0"/>
                    <w:left w:val="single" w:color="auto" w:sz="4" w:space="0"/>
                    <w:bottom w:val="single" w:color="auto" w:sz="4" w:space="0"/>
                    <w:right w:val="single" w:color="auto" w:sz="4" w:space="0"/>
                  </w:tcBorders>
                  <w:vAlign w:val="center"/>
                </w:tcPr>
                <w:p w14:paraId="7857FFBA">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14:paraId="607FB8DB">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2915.5689</w:t>
                  </w:r>
                </w:p>
              </w:tc>
            </w:tr>
          </w:tbl>
          <w:p w14:paraId="4F37737C">
            <w:pPr>
              <w:pStyle w:val="18"/>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6、主要设备</w:t>
            </w:r>
          </w:p>
          <w:p w14:paraId="3C8E8875">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本项目主要生产设备及设施详见表。</w:t>
            </w:r>
          </w:p>
          <w:p w14:paraId="21D588B5">
            <w:pPr>
              <w:pStyle w:val="18"/>
              <w:pageBreakBefore w:val="0"/>
              <w:kinsoku/>
              <w:overflowPunct/>
              <w:topLinePunct w:val="0"/>
              <w:bidi w:val="0"/>
              <w:snapToGrid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表2-</w:t>
            </w:r>
            <w:r>
              <w:rPr>
                <w:rFonts w:hint="default" w:ascii="Times New Roman" w:hAnsi="Times New Roman" w:eastAsia="宋体" w:cs="Times New Roman"/>
                <w:b/>
                <w:bCs/>
                <w:color w:val="000000" w:themeColor="text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Cs w:val="21"/>
                <w14:textFill>
                  <w14:solidFill>
                    <w14:schemeClr w14:val="tx1"/>
                  </w14:solidFill>
                </w14:textFill>
              </w:rPr>
              <w:t xml:space="preserve">  项目主要生产设备及设施一览表</w:t>
            </w:r>
          </w:p>
          <w:tbl>
            <w:tblPr>
              <w:tblStyle w:val="32"/>
              <w:tblW w:w="4991"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624"/>
              <w:gridCol w:w="2141"/>
              <w:gridCol w:w="1491"/>
              <w:gridCol w:w="894"/>
              <w:gridCol w:w="2447"/>
            </w:tblGrid>
            <w:tr w14:paraId="19126DE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tcBorders>
                    <w:tl2br w:val="nil"/>
                    <w:tr2bl w:val="nil"/>
                  </w:tcBorders>
                  <w:noWrap w:val="0"/>
                  <w:vAlign w:val="center"/>
                </w:tcPr>
                <w:p w14:paraId="5DDA5261">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生产线</w:t>
                  </w:r>
                </w:p>
              </w:tc>
              <w:tc>
                <w:tcPr>
                  <w:tcW w:w="371" w:type="pct"/>
                  <w:tcBorders>
                    <w:tl2br w:val="nil"/>
                    <w:tr2bl w:val="nil"/>
                  </w:tcBorders>
                  <w:noWrap w:val="0"/>
                  <w:vAlign w:val="center"/>
                </w:tcPr>
                <w:p w14:paraId="0B3D4EB8">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274" w:type="pct"/>
                  <w:tcBorders>
                    <w:tl2br w:val="nil"/>
                    <w:tr2bl w:val="nil"/>
                  </w:tcBorders>
                  <w:noWrap w:val="0"/>
                  <w:vAlign w:val="center"/>
                </w:tcPr>
                <w:p w14:paraId="206A7614">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设备名称</w:t>
                  </w:r>
                </w:p>
              </w:tc>
              <w:tc>
                <w:tcPr>
                  <w:tcW w:w="887" w:type="pct"/>
                  <w:tcBorders>
                    <w:tl2br w:val="nil"/>
                    <w:tr2bl w:val="nil"/>
                  </w:tcBorders>
                  <w:noWrap w:val="0"/>
                  <w:vAlign w:val="center"/>
                </w:tcPr>
                <w:p w14:paraId="23FF73CB">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型号</w:t>
                  </w:r>
                </w:p>
              </w:tc>
              <w:tc>
                <w:tcPr>
                  <w:tcW w:w="532" w:type="pct"/>
                  <w:tcBorders>
                    <w:tl2br w:val="nil"/>
                    <w:tr2bl w:val="nil"/>
                  </w:tcBorders>
                  <w:noWrap w:val="0"/>
                  <w:vAlign w:val="center"/>
                </w:tcPr>
                <w:p w14:paraId="76CC655E">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数量</w:t>
                  </w:r>
                </w:p>
              </w:tc>
              <w:tc>
                <w:tcPr>
                  <w:tcW w:w="1456" w:type="pct"/>
                  <w:tcBorders>
                    <w:tl2br w:val="nil"/>
                    <w:tr2bl w:val="nil"/>
                  </w:tcBorders>
                  <w:noWrap w:val="0"/>
                  <w:vAlign w:val="center"/>
                </w:tcPr>
                <w:p w14:paraId="54510733">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14:paraId="16D6D9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restart"/>
                  <w:tcBorders>
                    <w:tl2br w:val="nil"/>
                    <w:tr2bl w:val="nil"/>
                  </w:tcBorders>
                  <w:noWrap w:val="0"/>
                  <w:vAlign w:val="center"/>
                </w:tcPr>
                <w:p w14:paraId="148B1A5B">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塑料袋生产线</w:t>
                  </w:r>
                </w:p>
              </w:tc>
              <w:tc>
                <w:tcPr>
                  <w:tcW w:w="371" w:type="pct"/>
                  <w:tcBorders>
                    <w:tl2br w:val="nil"/>
                    <w:tr2bl w:val="nil"/>
                  </w:tcBorders>
                  <w:noWrap w:val="0"/>
                  <w:vAlign w:val="center"/>
                </w:tcPr>
                <w:p w14:paraId="2C4F8C08">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274" w:type="pct"/>
                  <w:tcBorders>
                    <w:tl2br w:val="nil"/>
                    <w:tr2bl w:val="nil"/>
                  </w:tcBorders>
                  <w:noWrap w:val="0"/>
                  <w:vAlign w:val="center"/>
                </w:tcPr>
                <w:p w14:paraId="54879F3B">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印刷机</w:t>
                  </w:r>
                </w:p>
              </w:tc>
              <w:tc>
                <w:tcPr>
                  <w:tcW w:w="887" w:type="pct"/>
                  <w:tcBorders>
                    <w:tl2br w:val="nil"/>
                    <w:tr2bl w:val="nil"/>
                  </w:tcBorders>
                  <w:noWrap w:val="0"/>
                  <w:vAlign w:val="center"/>
                </w:tcPr>
                <w:p w14:paraId="7D28121B">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陕西北人</w:t>
                  </w:r>
                </w:p>
              </w:tc>
              <w:tc>
                <w:tcPr>
                  <w:tcW w:w="532" w:type="pct"/>
                  <w:tcBorders>
                    <w:tl2br w:val="nil"/>
                    <w:tr2bl w:val="nil"/>
                  </w:tcBorders>
                  <w:noWrap w:val="0"/>
                  <w:vAlign w:val="center"/>
                </w:tcPr>
                <w:p w14:paraId="2B37A098">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1456" w:type="pct"/>
                  <w:tcBorders>
                    <w:tl2br w:val="nil"/>
                    <w:tr2bl w:val="nil"/>
                  </w:tcBorders>
                  <w:noWrap w:val="0"/>
                  <w:vAlign w:val="center"/>
                </w:tcPr>
                <w:p w14:paraId="739CFE1B">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凹版印刷</w:t>
                  </w:r>
                </w:p>
              </w:tc>
            </w:tr>
            <w:tr w14:paraId="1E59EB0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7" w:type="pct"/>
                  <w:vMerge w:val="continue"/>
                  <w:tcBorders>
                    <w:tl2br w:val="nil"/>
                    <w:tr2bl w:val="nil"/>
                  </w:tcBorders>
                  <w:noWrap w:val="0"/>
                  <w:vAlign w:val="center"/>
                </w:tcPr>
                <w:p w14:paraId="7F057F82">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71" w:type="pct"/>
                  <w:tcBorders>
                    <w:tl2br w:val="nil"/>
                    <w:tr2bl w:val="nil"/>
                  </w:tcBorders>
                  <w:noWrap w:val="0"/>
                  <w:vAlign w:val="center"/>
                </w:tcPr>
                <w:p w14:paraId="030C1FEA">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274" w:type="pct"/>
                  <w:tcBorders>
                    <w:tl2br w:val="nil"/>
                    <w:tr2bl w:val="nil"/>
                  </w:tcBorders>
                  <w:noWrap w:val="0"/>
                  <w:vAlign w:val="center"/>
                </w:tcPr>
                <w:p w14:paraId="14DBDF29">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干式复合机</w:t>
                  </w:r>
                </w:p>
              </w:tc>
              <w:tc>
                <w:tcPr>
                  <w:tcW w:w="887" w:type="pct"/>
                  <w:tcBorders>
                    <w:tl2br w:val="nil"/>
                    <w:tr2bl w:val="nil"/>
                  </w:tcBorders>
                  <w:noWrap w:val="0"/>
                  <w:vAlign w:val="center"/>
                </w:tcPr>
                <w:p w14:paraId="018D5592">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71B83ED3">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456" w:type="pct"/>
                  <w:tcBorders>
                    <w:tl2br w:val="nil"/>
                    <w:tr2bl w:val="nil"/>
                  </w:tcBorders>
                  <w:noWrap w:val="0"/>
                  <w:vAlign w:val="center"/>
                </w:tcPr>
                <w:p w14:paraId="365589EC">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A415F9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noWrap w:val="0"/>
                  <w:vAlign w:val="center"/>
                </w:tcPr>
                <w:p w14:paraId="3FCA142F">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71" w:type="pct"/>
                  <w:tcBorders>
                    <w:tl2br w:val="nil"/>
                    <w:tr2bl w:val="nil"/>
                  </w:tcBorders>
                  <w:noWrap w:val="0"/>
                  <w:vAlign w:val="center"/>
                </w:tcPr>
                <w:p w14:paraId="3194533D">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274" w:type="pct"/>
                  <w:tcBorders>
                    <w:tl2br w:val="nil"/>
                    <w:tr2bl w:val="nil"/>
                  </w:tcBorders>
                  <w:noWrap w:val="0"/>
                  <w:vAlign w:val="center"/>
                </w:tcPr>
                <w:p w14:paraId="0C823260">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无溶剂复合机</w:t>
                  </w:r>
                </w:p>
              </w:tc>
              <w:tc>
                <w:tcPr>
                  <w:tcW w:w="887" w:type="pct"/>
                  <w:tcBorders>
                    <w:tl2br w:val="nil"/>
                    <w:tr2bl w:val="nil"/>
                  </w:tcBorders>
                  <w:noWrap w:val="0"/>
                  <w:vAlign w:val="center"/>
                </w:tcPr>
                <w:p w14:paraId="6CDC35E2">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38A36EB4">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1456" w:type="pct"/>
                  <w:tcBorders>
                    <w:tl2br w:val="nil"/>
                    <w:tr2bl w:val="nil"/>
                  </w:tcBorders>
                  <w:noWrap w:val="0"/>
                  <w:vAlign w:val="center"/>
                </w:tcPr>
                <w:p w14:paraId="617AE0A0">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2EF581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noWrap w:val="0"/>
                  <w:vAlign w:val="center"/>
                </w:tcPr>
                <w:p w14:paraId="4FB7DDC3">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71" w:type="pct"/>
                  <w:tcBorders>
                    <w:tl2br w:val="nil"/>
                    <w:tr2bl w:val="nil"/>
                  </w:tcBorders>
                  <w:noWrap w:val="0"/>
                  <w:vAlign w:val="center"/>
                </w:tcPr>
                <w:p w14:paraId="0DB85002">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274" w:type="pct"/>
                  <w:tcBorders>
                    <w:tl2br w:val="nil"/>
                    <w:tr2bl w:val="nil"/>
                  </w:tcBorders>
                  <w:noWrap w:val="0"/>
                  <w:vAlign w:val="center"/>
                </w:tcPr>
                <w:p w14:paraId="51310C40">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分切机</w:t>
                  </w:r>
                </w:p>
              </w:tc>
              <w:tc>
                <w:tcPr>
                  <w:tcW w:w="887" w:type="pct"/>
                  <w:tcBorders>
                    <w:tl2br w:val="nil"/>
                    <w:tr2bl w:val="nil"/>
                  </w:tcBorders>
                  <w:noWrap w:val="0"/>
                  <w:vAlign w:val="center"/>
                </w:tcPr>
                <w:p w14:paraId="0127415F">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71EFCF9F">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1456" w:type="pct"/>
                  <w:tcBorders>
                    <w:tl2br w:val="nil"/>
                    <w:tr2bl w:val="nil"/>
                  </w:tcBorders>
                  <w:noWrap w:val="0"/>
                  <w:vAlign w:val="center"/>
                </w:tcPr>
                <w:p w14:paraId="01FEF8C0">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E23295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noWrap w:val="0"/>
                  <w:vAlign w:val="center"/>
                </w:tcPr>
                <w:p w14:paraId="1FB2DA95">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71" w:type="pct"/>
                  <w:tcBorders>
                    <w:tl2br w:val="nil"/>
                    <w:tr2bl w:val="nil"/>
                  </w:tcBorders>
                  <w:noWrap w:val="0"/>
                  <w:vAlign w:val="center"/>
                </w:tcPr>
                <w:p w14:paraId="6BEC5F40">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274" w:type="pct"/>
                  <w:tcBorders>
                    <w:tl2br w:val="nil"/>
                    <w:tr2bl w:val="nil"/>
                  </w:tcBorders>
                  <w:noWrap w:val="0"/>
                  <w:vAlign w:val="center"/>
                </w:tcPr>
                <w:p w14:paraId="0A1D37AD">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制袋机</w:t>
                  </w:r>
                </w:p>
              </w:tc>
              <w:tc>
                <w:tcPr>
                  <w:tcW w:w="887" w:type="pct"/>
                  <w:tcBorders>
                    <w:tl2br w:val="nil"/>
                    <w:tr2bl w:val="nil"/>
                  </w:tcBorders>
                  <w:noWrap w:val="0"/>
                  <w:vAlign w:val="center"/>
                </w:tcPr>
                <w:p w14:paraId="021EF7D4">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48BC0FA2">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6台</w:t>
                  </w:r>
                </w:p>
              </w:tc>
              <w:tc>
                <w:tcPr>
                  <w:tcW w:w="1456" w:type="pct"/>
                  <w:tcBorders>
                    <w:tl2br w:val="nil"/>
                    <w:tr2bl w:val="nil"/>
                  </w:tcBorders>
                  <w:noWrap w:val="0"/>
                  <w:vAlign w:val="center"/>
                </w:tcPr>
                <w:p w14:paraId="5CFFB357">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71DE0D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noWrap w:val="0"/>
                  <w:vAlign w:val="center"/>
                </w:tcPr>
                <w:p w14:paraId="61CF1967">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71" w:type="pct"/>
                  <w:tcBorders>
                    <w:tl2br w:val="nil"/>
                    <w:tr2bl w:val="nil"/>
                  </w:tcBorders>
                  <w:noWrap w:val="0"/>
                  <w:vAlign w:val="center"/>
                </w:tcPr>
                <w:p w14:paraId="30382F61">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274" w:type="pct"/>
                  <w:tcBorders>
                    <w:tl2br w:val="nil"/>
                    <w:tr2bl w:val="nil"/>
                  </w:tcBorders>
                  <w:noWrap w:val="0"/>
                  <w:vAlign w:val="center"/>
                </w:tcPr>
                <w:p w14:paraId="1B8B0A4F">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熟化箱</w:t>
                  </w:r>
                </w:p>
              </w:tc>
              <w:tc>
                <w:tcPr>
                  <w:tcW w:w="887" w:type="pct"/>
                  <w:tcBorders>
                    <w:tl2br w:val="nil"/>
                    <w:tr2bl w:val="nil"/>
                  </w:tcBorders>
                  <w:noWrap w:val="0"/>
                  <w:vAlign w:val="center"/>
                </w:tcPr>
                <w:p w14:paraId="1CB26CA7">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03F60C31">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6台</w:t>
                  </w:r>
                </w:p>
              </w:tc>
              <w:tc>
                <w:tcPr>
                  <w:tcW w:w="1456" w:type="pct"/>
                  <w:tcBorders>
                    <w:tl2br w:val="nil"/>
                    <w:tr2bl w:val="nil"/>
                  </w:tcBorders>
                  <w:noWrap w:val="0"/>
                  <w:vAlign w:val="center"/>
                </w:tcPr>
                <w:p w14:paraId="113586CD">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5BAA80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restart"/>
                  <w:tcBorders>
                    <w:tl2br w:val="nil"/>
                    <w:tr2bl w:val="nil"/>
                  </w:tcBorders>
                  <w:noWrap w:val="0"/>
                  <w:vAlign w:val="center"/>
                </w:tcPr>
                <w:p w14:paraId="6008FD0C">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新能源包装</w:t>
                  </w:r>
                </w:p>
              </w:tc>
              <w:tc>
                <w:tcPr>
                  <w:tcW w:w="371" w:type="pct"/>
                  <w:tcBorders>
                    <w:tl2br w:val="nil"/>
                    <w:tr2bl w:val="nil"/>
                  </w:tcBorders>
                  <w:noWrap w:val="0"/>
                  <w:vAlign w:val="center"/>
                </w:tcPr>
                <w:p w14:paraId="54B8CE87">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74" w:type="pct"/>
                  <w:tcBorders>
                    <w:tl2br w:val="nil"/>
                    <w:tr2bl w:val="nil"/>
                  </w:tcBorders>
                  <w:noWrap w:val="0"/>
                  <w:vAlign w:val="center"/>
                </w:tcPr>
                <w:p w14:paraId="79DF067C">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低位三合一无溶剂复合机</w:t>
                  </w:r>
                </w:p>
              </w:tc>
              <w:tc>
                <w:tcPr>
                  <w:tcW w:w="887" w:type="pct"/>
                  <w:tcBorders>
                    <w:tl2br w:val="nil"/>
                    <w:tr2bl w:val="nil"/>
                  </w:tcBorders>
                  <w:noWrap w:val="0"/>
                  <w:vAlign w:val="center"/>
                </w:tcPr>
                <w:p w14:paraId="5F81CC2B">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461C85A4">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456" w:type="pct"/>
                  <w:tcBorders>
                    <w:tl2br w:val="nil"/>
                    <w:tr2bl w:val="nil"/>
                  </w:tcBorders>
                  <w:noWrap w:val="0"/>
                  <w:vAlign w:val="center"/>
                </w:tcPr>
                <w:p w14:paraId="6A1D66F2">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CDD51C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noWrap w:val="0"/>
                  <w:vAlign w:val="center"/>
                </w:tcPr>
                <w:p w14:paraId="6A3DC030">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p>
              </w:tc>
              <w:tc>
                <w:tcPr>
                  <w:tcW w:w="371" w:type="pct"/>
                  <w:tcBorders>
                    <w:tl2br w:val="nil"/>
                    <w:tr2bl w:val="nil"/>
                  </w:tcBorders>
                  <w:noWrap w:val="0"/>
                  <w:vAlign w:val="center"/>
                </w:tcPr>
                <w:p w14:paraId="3EB2D6FF">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274" w:type="pct"/>
                  <w:tcBorders>
                    <w:tl2br w:val="nil"/>
                    <w:tr2bl w:val="nil"/>
                  </w:tcBorders>
                  <w:noWrap w:val="0"/>
                  <w:vAlign w:val="center"/>
                </w:tcPr>
                <w:p w14:paraId="27F6BCD8">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分切机</w:t>
                  </w:r>
                </w:p>
              </w:tc>
              <w:tc>
                <w:tcPr>
                  <w:tcW w:w="887" w:type="pct"/>
                  <w:tcBorders>
                    <w:tl2br w:val="nil"/>
                    <w:tr2bl w:val="nil"/>
                  </w:tcBorders>
                  <w:noWrap w:val="0"/>
                  <w:vAlign w:val="center"/>
                </w:tcPr>
                <w:p w14:paraId="021FEDF7">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5ADDDD75">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456" w:type="pct"/>
                  <w:tcBorders>
                    <w:tl2br w:val="nil"/>
                    <w:tr2bl w:val="nil"/>
                  </w:tcBorders>
                  <w:noWrap w:val="0"/>
                  <w:vAlign w:val="center"/>
                </w:tcPr>
                <w:p w14:paraId="7696205C">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EC4A79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noWrap w:val="0"/>
                  <w:vAlign w:val="center"/>
                </w:tcPr>
                <w:p w14:paraId="05475DC0">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p>
              </w:tc>
              <w:tc>
                <w:tcPr>
                  <w:tcW w:w="371" w:type="pct"/>
                  <w:tcBorders>
                    <w:tl2br w:val="nil"/>
                    <w:tr2bl w:val="nil"/>
                  </w:tcBorders>
                  <w:noWrap w:val="0"/>
                  <w:vAlign w:val="center"/>
                </w:tcPr>
                <w:p w14:paraId="4D2F3C3C">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274" w:type="pct"/>
                  <w:tcBorders>
                    <w:tl2br w:val="nil"/>
                    <w:tr2bl w:val="nil"/>
                  </w:tcBorders>
                  <w:noWrap w:val="0"/>
                  <w:vAlign w:val="center"/>
                </w:tcPr>
                <w:p w14:paraId="27F0A077">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制袋机</w:t>
                  </w:r>
                </w:p>
              </w:tc>
              <w:tc>
                <w:tcPr>
                  <w:tcW w:w="887" w:type="pct"/>
                  <w:tcBorders>
                    <w:tl2br w:val="nil"/>
                    <w:tr2bl w:val="nil"/>
                  </w:tcBorders>
                  <w:noWrap w:val="0"/>
                  <w:vAlign w:val="center"/>
                </w:tcPr>
                <w:p w14:paraId="4F742918">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07B01A36">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1456" w:type="pct"/>
                  <w:tcBorders>
                    <w:tl2br w:val="nil"/>
                    <w:tr2bl w:val="nil"/>
                  </w:tcBorders>
                  <w:noWrap w:val="0"/>
                  <w:vAlign w:val="center"/>
                </w:tcPr>
                <w:p w14:paraId="40B10F04">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E92FB1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noWrap w:val="0"/>
                  <w:vAlign w:val="center"/>
                </w:tcPr>
                <w:p w14:paraId="6E65C432">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p>
              </w:tc>
              <w:tc>
                <w:tcPr>
                  <w:tcW w:w="371" w:type="pct"/>
                  <w:tcBorders>
                    <w:tl2br w:val="nil"/>
                    <w:tr2bl w:val="nil"/>
                  </w:tcBorders>
                  <w:noWrap w:val="0"/>
                  <w:vAlign w:val="center"/>
                </w:tcPr>
                <w:p w14:paraId="7E582B08">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274" w:type="pct"/>
                  <w:tcBorders>
                    <w:tl2br w:val="nil"/>
                    <w:tr2bl w:val="nil"/>
                  </w:tcBorders>
                  <w:noWrap w:val="0"/>
                  <w:vAlign w:val="center"/>
                </w:tcPr>
                <w:p w14:paraId="2142A400">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八角制袋机</w:t>
                  </w:r>
                </w:p>
              </w:tc>
              <w:tc>
                <w:tcPr>
                  <w:tcW w:w="887" w:type="pct"/>
                  <w:tcBorders>
                    <w:tl2br w:val="nil"/>
                    <w:tr2bl w:val="nil"/>
                  </w:tcBorders>
                  <w:noWrap w:val="0"/>
                  <w:vAlign w:val="center"/>
                </w:tcPr>
                <w:p w14:paraId="7CB219C8">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13663DCB">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3台</w:t>
                  </w:r>
                </w:p>
              </w:tc>
              <w:tc>
                <w:tcPr>
                  <w:tcW w:w="1456" w:type="pct"/>
                  <w:tcBorders>
                    <w:tl2br w:val="nil"/>
                    <w:tr2bl w:val="nil"/>
                  </w:tcBorders>
                  <w:noWrap w:val="0"/>
                  <w:vAlign w:val="center"/>
                </w:tcPr>
                <w:p w14:paraId="7F5B764B">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EE799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noWrap w:val="0"/>
                  <w:vAlign w:val="center"/>
                </w:tcPr>
                <w:p w14:paraId="1268EBE0">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71" w:type="pct"/>
                  <w:tcBorders>
                    <w:tl2br w:val="nil"/>
                    <w:tr2bl w:val="nil"/>
                  </w:tcBorders>
                  <w:noWrap w:val="0"/>
                  <w:vAlign w:val="center"/>
                </w:tcPr>
                <w:p w14:paraId="7062BD68">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274" w:type="pct"/>
                  <w:tcBorders>
                    <w:tl2br w:val="nil"/>
                    <w:tr2bl w:val="nil"/>
                  </w:tcBorders>
                  <w:noWrap w:val="0"/>
                  <w:vAlign w:val="center"/>
                </w:tcPr>
                <w:p w14:paraId="6ED65D07">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检品机</w:t>
                  </w:r>
                </w:p>
              </w:tc>
              <w:tc>
                <w:tcPr>
                  <w:tcW w:w="887" w:type="pct"/>
                  <w:tcBorders>
                    <w:tl2br w:val="nil"/>
                    <w:tr2bl w:val="nil"/>
                  </w:tcBorders>
                  <w:noWrap w:val="0"/>
                  <w:vAlign w:val="center"/>
                </w:tcPr>
                <w:p w14:paraId="43857F96">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3C8121B0">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456" w:type="pct"/>
                  <w:tcBorders>
                    <w:tl2br w:val="nil"/>
                    <w:tr2bl w:val="nil"/>
                  </w:tcBorders>
                  <w:noWrap w:val="0"/>
                  <w:vAlign w:val="center"/>
                </w:tcPr>
                <w:p w14:paraId="0B1C0747">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8B584C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noWrap w:val="0"/>
                  <w:vAlign w:val="center"/>
                </w:tcPr>
                <w:p w14:paraId="586DE78C">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71" w:type="pct"/>
                  <w:tcBorders>
                    <w:tl2br w:val="nil"/>
                    <w:tr2bl w:val="nil"/>
                  </w:tcBorders>
                  <w:noWrap w:val="0"/>
                  <w:vAlign w:val="center"/>
                </w:tcPr>
                <w:p w14:paraId="4F0D8162">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274" w:type="pct"/>
                  <w:tcBorders>
                    <w:tl2br w:val="nil"/>
                    <w:tr2bl w:val="nil"/>
                  </w:tcBorders>
                  <w:noWrap w:val="0"/>
                  <w:vAlign w:val="center"/>
                </w:tcPr>
                <w:p w14:paraId="2663CA14">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熟化箱</w:t>
                  </w:r>
                </w:p>
              </w:tc>
              <w:tc>
                <w:tcPr>
                  <w:tcW w:w="887" w:type="pct"/>
                  <w:tcBorders>
                    <w:tl2br w:val="nil"/>
                    <w:tr2bl w:val="nil"/>
                  </w:tcBorders>
                  <w:noWrap w:val="0"/>
                  <w:vAlign w:val="center"/>
                </w:tcPr>
                <w:p w14:paraId="294BA4F4">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04728B41">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1456" w:type="pct"/>
                  <w:tcBorders>
                    <w:tl2br w:val="nil"/>
                    <w:tr2bl w:val="nil"/>
                  </w:tcBorders>
                  <w:noWrap w:val="0"/>
                  <w:vAlign w:val="center"/>
                </w:tcPr>
                <w:p w14:paraId="6E84033F">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C1BEA7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7" w:type="pct"/>
                  <w:vMerge w:val="continue"/>
                  <w:tcBorders>
                    <w:tl2br w:val="nil"/>
                    <w:tr2bl w:val="nil"/>
                  </w:tcBorders>
                  <w:noWrap w:val="0"/>
                  <w:vAlign w:val="center"/>
                </w:tcPr>
                <w:p w14:paraId="210E56E7">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71" w:type="pct"/>
                  <w:tcBorders>
                    <w:tl2br w:val="nil"/>
                    <w:tr2bl w:val="nil"/>
                  </w:tcBorders>
                  <w:noWrap w:val="0"/>
                  <w:vAlign w:val="center"/>
                </w:tcPr>
                <w:p w14:paraId="5CD040B5">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274" w:type="pct"/>
                  <w:tcBorders>
                    <w:tl2br w:val="nil"/>
                    <w:tr2bl w:val="nil"/>
                  </w:tcBorders>
                  <w:noWrap w:val="0"/>
                  <w:vAlign w:val="center"/>
                </w:tcPr>
                <w:p w14:paraId="163092C8">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实验设备</w:t>
                  </w:r>
                </w:p>
              </w:tc>
              <w:tc>
                <w:tcPr>
                  <w:tcW w:w="887" w:type="pct"/>
                  <w:tcBorders>
                    <w:tl2br w:val="nil"/>
                    <w:tr2bl w:val="nil"/>
                  </w:tcBorders>
                  <w:noWrap w:val="0"/>
                  <w:vAlign w:val="center"/>
                </w:tcPr>
                <w:p w14:paraId="64EE61C1">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2" w:type="pct"/>
                  <w:tcBorders>
                    <w:tl2br w:val="nil"/>
                    <w:tr2bl w:val="nil"/>
                  </w:tcBorders>
                  <w:noWrap w:val="0"/>
                  <w:vAlign w:val="center"/>
                </w:tcPr>
                <w:p w14:paraId="20FA654B">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1套</w:t>
                  </w:r>
                </w:p>
              </w:tc>
              <w:tc>
                <w:tcPr>
                  <w:tcW w:w="1456" w:type="pct"/>
                  <w:tcBorders>
                    <w:tl2br w:val="nil"/>
                    <w:tr2bl w:val="nil"/>
                  </w:tcBorders>
                  <w:noWrap w:val="0"/>
                  <w:vAlign w:val="center"/>
                </w:tcPr>
                <w:p w14:paraId="0EF734F0">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两条生产线共用1套设备，用于不同批次产品检验产品拉力、剥离力等物理性质</w:t>
                  </w:r>
                </w:p>
              </w:tc>
            </w:tr>
          </w:tbl>
          <w:p w14:paraId="7E5C9068">
            <w:pPr>
              <w:pStyle w:val="18"/>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7</w:t>
            </w:r>
            <w:r>
              <w:rPr>
                <w:rFonts w:hint="default" w:ascii="Times New Roman" w:hAnsi="Times New Roman" w:eastAsia="宋体" w:cs="Times New Roman"/>
                <w:b/>
                <w:color w:val="000000" w:themeColor="text1"/>
                <w:sz w:val="24"/>
                <w14:textFill>
                  <w14:solidFill>
                    <w14:schemeClr w14:val="tx1"/>
                  </w14:solidFill>
                </w14:textFill>
              </w:rPr>
              <w:t>、劳动定员及工作制度</w:t>
            </w:r>
          </w:p>
          <w:p w14:paraId="4EA8BA7E">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劳动定员：</w:t>
            </w:r>
            <w:r>
              <w:rPr>
                <w:rFonts w:hint="default" w:ascii="Times New Roman" w:hAnsi="Times New Roman" w:eastAsia="宋体" w:cs="Times New Roman"/>
                <w:color w:val="000000" w:themeColor="text1"/>
                <w:sz w:val="24"/>
                <w14:textFill>
                  <w14:solidFill>
                    <w14:schemeClr w14:val="tx1"/>
                  </w14:solidFill>
                </w14:textFill>
              </w:rPr>
              <w:t>本项目运营期间工作人员数量为</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0人。</w:t>
            </w:r>
          </w:p>
          <w:p w14:paraId="291C96C4">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工作制度：</w:t>
            </w:r>
            <w:r>
              <w:rPr>
                <w:rFonts w:hint="default" w:ascii="Times New Roman" w:hAnsi="Times New Roman" w:eastAsia="宋体" w:cs="Times New Roman"/>
                <w:color w:val="000000" w:themeColor="text1"/>
                <w:sz w:val="24"/>
                <w14:textFill>
                  <w14:solidFill>
                    <w14:schemeClr w14:val="tx1"/>
                  </w14:solidFill>
                </w14:textFill>
              </w:rPr>
              <w:t>年工作天数300天，实行</w:t>
            </w:r>
            <w:r>
              <w:rPr>
                <w:rFonts w:hint="default" w:ascii="Times New Roman" w:hAnsi="Times New Roman" w:eastAsia="宋体" w:cs="Times New Roman"/>
                <w:color w:val="000000" w:themeColor="text1"/>
                <w:sz w:val="24"/>
                <w:lang w:eastAsia="zh-CN"/>
                <w14:textFill>
                  <w14:solidFill>
                    <w14:schemeClr w14:val="tx1"/>
                  </w14:solidFill>
                </w14:textFill>
              </w:rPr>
              <w:t>三</w:t>
            </w:r>
            <w:r>
              <w:rPr>
                <w:rFonts w:hint="default" w:ascii="Times New Roman" w:hAnsi="Times New Roman" w:eastAsia="宋体" w:cs="Times New Roman"/>
                <w:color w:val="000000" w:themeColor="text1"/>
                <w:sz w:val="24"/>
                <w14:textFill>
                  <w14:solidFill>
                    <w14:schemeClr w14:val="tx1"/>
                  </w14:solidFill>
                </w14:textFill>
              </w:rPr>
              <w:t>班制，每班工作8小时</w:t>
            </w:r>
            <w:r>
              <w:rPr>
                <w:rFonts w:hint="default" w:ascii="Times New Roman" w:hAnsi="Times New Roman" w:eastAsia="宋体" w:cs="Times New Roman"/>
                <w:color w:val="000000" w:themeColor="text1"/>
                <w:sz w:val="24"/>
                <w:lang w:bidi="en-US"/>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员工</w:t>
            </w:r>
            <w:r>
              <w:rPr>
                <w:rFonts w:hint="default" w:ascii="Times New Roman" w:hAnsi="Times New Roman" w:eastAsia="宋体" w:cs="Times New Roman"/>
                <w:color w:val="000000" w:themeColor="text1"/>
                <w:sz w:val="24"/>
                <w:lang w:eastAsia="zh-CN"/>
                <w14:textFill>
                  <w14:solidFill>
                    <w14:schemeClr w14:val="tx1"/>
                  </w14:solidFill>
                </w14:textFill>
              </w:rPr>
              <w:t>主要为周边村民，</w:t>
            </w:r>
            <w:r>
              <w:rPr>
                <w:rFonts w:hint="default" w:ascii="Times New Roman" w:hAnsi="Times New Roman" w:eastAsia="宋体" w:cs="Times New Roman"/>
                <w:color w:val="000000" w:themeColor="text1"/>
                <w:sz w:val="24"/>
                <w14:textFill>
                  <w14:solidFill>
                    <w14:schemeClr w14:val="tx1"/>
                  </w14:solidFill>
                </w14:textFill>
              </w:rPr>
              <w:t>不在项目区食宿。</w:t>
            </w:r>
          </w:p>
          <w:p w14:paraId="5F1FF826">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14:textFill>
                  <w14:solidFill>
                    <w14:schemeClr w14:val="tx1"/>
                  </w14:solidFill>
                </w14:textFill>
              </w:rPr>
              <w:t>、厂区总平面布置</w:t>
            </w:r>
          </w:p>
          <w:p w14:paraId="38A6EEDE">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根据项目总平面布置图，本项目</w:t>
            </w:r>
            <w:r>
              <w:rPr>
                <w:rFonts w:hint="default" w:ascii="Times New Roman" w:hAnsi="Times New Roman" w:eastAsia="宋体" w:cs="Times New Roman"/>
                <w:color w:val="000000" w:themeColor="text1"/>
                <w:sz w:val="24"/>
                <w:lang w:eastAsia="zh-CN"/>
                <w14:textFill>
                  <w14:solidFill>
                    <w14:schemeClr w14:val="tx1"/>
                  </w14:solidFill>
                </w14:textFill>
              </w:rPr>
              <w:t>租用生产厂房</w:t>
            </w:r>
            <w:r>
              <w:rPr>
                <w:rFonts w:hint="default" w:ascii="Times New Roman" w:hAnsi="Times New Roman" w:eastAsia="宋体" w:cs="Times New Roman"/>
                <w:color w:val="000000" w:themeColor="text1"/>
                <w:sz w:val="24"/>
                <w14:textFill>
                  <w14:solidFill>
                    <w14:schemeClr w14:val="tx1"/>
                  </w14:solidFill>
                </w14:textFill>
              </w:rPr>
              <w:t>呈</w:t>
            </w:r>
            <w:r>
              <w:rPr>
                <w:rFonts w:hint="default" w:ascii="Times New Roman" w:hAnsi="Times New Roman" w:eastAsia="宋体" w:cs="Times New Roman"/>
                <w:color w:val="000000" w:themeColor="text1"/>
                <w:sz w:val="24"/>
                <w:lang w:eastAsia="zh-CN"/>
                <w14:textFill>
                  <w14:solidFill>
                    <w14:schemeClr w14:val="tx1"/>
                  </w14:solidFill>
                </w14:textFill>
              </w:rPr>
              <w:t>矩形</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租用生产厂房共</w:t>
            </w:r>
            <w:r>
              <w:rPr>
                <w:rFonts w:hint="default" w:ascii="Times New Roman" w:hAnsi="Times New Roman" w:eastAsia="宋体" w:cs="Times New Roman"/>
                <w:color w:val="000000" w:themeColor="text1"/>
                <w:sz w:val="24"/>
                <w:lang w:val="en-US" w:eastAsia="zh-CN"/>
                <w14:textFill>
                  <w14:solidFill>
                    <w14:schemeClr w14:val="tx1"/>
                  </w14:solidFill>
                </w14:textFill>
              </w:rPr>
              <w:t>2层，</w:t>
            </w:r>
          </w:p>
          <w:p w14:paraId="1E14286C">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生产厂房1F自北向南依次布设办公室、原料区、溶剂间、生产区（印刷、复合、分切工序）、熟化区（固化工序）、办公室。</w:t>
            </w:r>
          </w:p>
          <w:p w14:paraId="050F48FB">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生产厂房2F自北向南依次布设办公室、1#生产区（制袋工序，塑料袋）、1#成品区、2#生产区（制袋工序，新能源包装）、2#成品区、办公室。</w:t>
            </w:r>
          </w:p>
          <w:p w14:paraId="5F9C0FF5">
            <w:pPr>
              <w:pStyle w:val="18"/>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项目区内功能分区明确，布局合理。本项目厂区总平面布置详见附图</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w:t>
            </w:r>
          </w:p>
          <w:p w14:paraId="12A76D9C">
            <w:pPr>
              <w:pStyle w:val="18"/>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9</w:t>
            </w:r>
            <w:r>
              <w:rPr>
                <w:rFonts w:hint="default" w:ascii="Times New Roman" w:hAnsi="Times New Roman" w:eastAsia="宋体" w:cs="Times New Roman"/>
                <w:b/>
                <w:color w:val="000000" w:themeColor="text1"/>
                <w:sz w:val="24"/>
                <w14:textFill>
                  <w14:solidFill>
                    <w14:schemeClr w14:val="tx1"/>
                  </w14:solidFill>
                </w14:textFill>
              </w:rPr>
              <w:t>、水平衡</w:t>
            </w:r>
          </w:p>
          <w:p w14:paraId="48126620">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（1）给水</w:t>
            </w:r>
          </w:p>
          <w:p w14:paraId="6CCA4E91">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本项目生活给水来自市政供水管网，水源由自来水供给。</w:t>
            </w:r>
          </w:p>
          <w:p w14:paraId="6419D086">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本项目运营期生产用水环节主要为生活用水，由自来水供给。</w:t>
            </w:r>
          </w:p>
          <w:p w14:paraId="7977DB12">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（2）排水</w:t>
            </w:r>
          </w:p>
          <w:p w14:paraId="6A20CA21">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初期雨水：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项目采取雨污分流制。雨水经厂区周边现有雨水沟收集后进入市政雨水管网。</w:t>
            </w:r>
          </w:p>
          <w:p w14:paraId="46F2D2C3">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废水：①生活污水：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近期由于园区污水处理厂暂未正常运行，生活污水经化粪池预处理后进入1套处理能为</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A/O法生物处理</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一体化生活污水处理设施处理达《城市污水再生利用 城市杂用水水质》（GB/T18920-2020）中绿化标准后用于厂区周边绿化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，留待晴天使用；远期待园区污水处理厂正常运行后，产生的生活污水通过化粪池预处理，达到《污水综合排放标准》（GB8978-1996）表4三级标准及《污水排入城镇下水道水质标准》（GB/T31962-2015）</w:t>
            </w:r>
            <w:r>
              <w:rPr>
                <w:rFonts w:hint="eastAsia" w:cs="Times New Roman"/>
                <w:color w:val="000000" w:themeColor="text1"/>
                <w:sz w:val="24"/>
                <w:szCs w:val="24"/>
                <w:lang w:val="en-US" w:eastAsia="zh-CN"/>
                <w14:textFill>
                  <w14:solidFill>
                    <w14:schemeClr w14:val="tx1"/>
                  </w14:solidFill>
                </w14:textFill>
              </w:rPr>
              <w:t>表1A等级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标准规定的最严标准值后，排入园区市政污水管网，进入园区污水处理厂处理。</w:t>
            </w:r>
          </w:p>
          <w:p w14:paraId="34BC8EE2">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②生产废水：</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生产</w:t>
            </w:r>
            <w:r>
              <w:rPr>
                <w:rFonts w:hint="default" w:ascii="Times New Roman" w:hAnsi="Times New Roman" w:eastAsia="宋体" w:cs="Times New Roman"/>
                <w:color w:val="000000" w:themeColor="text1"/>
                <w:sz w:val="24"/>
                <w:szCs w:val="24"/>
                <w:lang w:eastAsia="zh-CN"/>
                <w14:textFill>
                  <w14:solidFill>
                    <w14:schemeClr w14:val="tx1"/>
                  </w14:solidFill>
                </w14:textFill>
              </w:rPr>
              <w:t>过程中不产生生产废水，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对印刷设备进行清理时均采用抹布蘸取少量油墨清洗剂对设备进行擦拭，无清洗废水产生。</w:t>
            </w:r>
          </w:p>
          <w:p w14:paraId="03066C51">
            <w:pPr>
              <w:pageBreakBefore w:val="0"/>
              <w:numPr>
                <w:ilvl w:val="0"/>
                <w:numId w:val="0"/>
              </w:numPr>
              <w:kinsoku/>
              <w:overflowPunct/>
              <w:topLinePunct w:val="0"/>
              <w:bidi w:val="0"/>
              <w:spacing w:line="360" w:lineRule="auto"/>
              <w:ind w:left="0" w:leftChars="0" w:right="0" w:rightChars="0" w:firstLine="482" w:firstLineChars="20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水平衡</w:t>
            </w:r>
            <w:r>
              <w:rPr>
                <w:rFonts w:hint="default" w:ascii="Times New Roman" w:hAnsi="Times New Roman" w:eastAsia="宋体" w:cs="Times New Roman"/>
                <w:b/>
                <w:bCs/>
                <w:color w:val="000000" w:themeColor="text1"/>
                <w:sz w:val="24"/>
                <w:lang w:eastAsia="zh-CN"/>
                <w14:textFill>
                  <w14:solidFill>
                    <w14:schemeClr w14:val="tx1"/>
                  </w14:solidFill>
                </w14:textFill>
              </w:rPr>
              <w:t>图</w:t>
            </w:r>
          </w:p>
          <w:p w14:paraId="6B17C4A9">
            <w:pPr>
              <w:keepNext w:val="0"/>
              <w:keepLines w:val="0"/>
              <w:pageBreakBefore w:val="0"/>
              <w:widowControl w:val="0"/>
              <w:kinsoku/>
              <w:wordWrap w:val="0"/>
              <w:overflowPunct/>
              <w:topLinePunct/>
              <w:autoSpaceDE/>
              <w:autoSpaceDN/>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项目员工为50人，员工为多为周边村庄人员，不在厂区内食宿，参照</w:t>
            </w:r>
            <w:r>
              <w:rPr>
                <w:rFonts w:hint="eastAsia" w:cs="Times New Roman"/>
                <w:color w:val="000000" w:themeColor="text1"/>
                <w:sz w:val="24"/>
                <w:lang w:val="en-US" w:eastAsia="zh-CN"/>
                <w14:textFill>
                  <w14:solidFill>
                    <w14:schemeClr w14:val="tx1"/>
                  </w14:solidFill>
                </w14:textFill>
              </w:rPr>
              <w:t>《云南省用水定额》（云水发〔2019〕122号）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表1</w:t>
            </w:r>
            <w:r>
              <w:rPr>
                <w:rFonts w:hint="eastAsia" w:cs="Times New Roman"/>
                <w:color w:val="000000" w:themeColor="text1"/>
                <w:sz w:val="24"/>
                <w:szCs w:val="24"/>
                <w:lang w:val="en-US" w:eastAsia="zh-CN"/>
                <w14:textFill>
                  <w14:solidFill>
                    <w14:schemeClr w14:val="tx1"/>
                  </w14:solidFill>
                </w14:textFill>
              </w:rPr>
              <w:t>1国家行政机构无食堂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用水定额</w:t>
            </w:r>
            <w:r>
              <w:rPr>
                <w:rFonts w:hint="eastAsia" w:cs="Times New Roman"/>
                <w:color w:val="000000" w:themeColor="text1"/>
                <w:sz w:val="24"/>
                <w:szCs w:val="24"/>
                <w:lang w:val="en-US" w:eastAsia="zh-CN"/>
                <w14:textFill>
                  <w14:solidFill>
                    <w14:schemeClr w14:val="tx1"/>
                  </w14:solidFill>
                </w14:textFill>
              </w:rPr>
              <w:t>”（本项目员工不</w:t>
            </w:r>
            <w:r>
              <w:rPr>
                <w:rFonts w:hint="default" w:ascii="Times New Roman" w:hAnsi="Times New Roman" w:eastAsia="宋体" w:cs="Times New Roman"/>
                <w:color w:val="000000" w:themeColor="text1"/>
                <w:sz w:val="24"/>
                <w:lang w:val="en-US" w:eastAsia="zh-CN"/>
                <w14:textFill>
                  <w14:solidFill>
                    <w14:schemeClr w14:val="tx1"/>
                  </w14:solidFill>
                </w14:textFill>
              </w:rPr>
              <w:t>在厂区内食宿，</w:t>
            </w:r>
            <w:r>
              <w:rPr>
                <w:rFonts w:hint="eastAsia" w:cs="Times New Roman"/>
                <w:color w:val="000000" w:themeColor="text1"/>
                <w:sz w:val="24"/>
                <w:szCs w:val="24"/>
                <w:lang w:val="en-US" w:eastAsia="zh-CN"/>
                <w14:textFill>
                  <w14:solidFill>
                    <w14:schemeClr w14:val="tx1"/>
                  </w14:solidFill>
                </w14:textFill>
              </w:rPr>
              <w:t>该用水定额用水节点与本项目相似，用水环节为员工如厕、洗手等环节）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员工生活用水按</w:t>
            </w:r>
            <w:r>
              <w:rPr>
                <w:rFonts w:hint="eastAsia" w:cs="Times New Roman"/>
                <w:color w:val="000000" w:themeColor="text1"/>
                <w:sz w:val="24"/>
                <w:lang w:val="en-US" w:eastAsia="zh-CN"/>
                <w14:textFill>
                  <w14:solidFill>
                    <w14:schemeClr w14:val="tx1"/>
                  </w14:solidFill>
                </w14:textFill>
              </w:rPr>
              <w:t>11m</w:t>
            </w:r>
            <w:r>
              <w:rPr>
                <w:rFonts w:hint="eastAsia"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/人·</w:t>
            </w:r>
            <w:r>
              <w:rPr>
                <w:rFonts w:hint="eastAsia" w:cs="Times New Roman"/>
                <w:color w:val="000000" w:themeColor="text1"/>
                <w:sz w:val="24"/>
                <w:lang w:val="en-US" w:eastAsia="zh-CN"/>
                <w14:textFill>
                  <w14:solidFill>
                    <w14:schemeClr w14:val="tx1"/>
                  </w14:solidFill>
                </w14:textFill>
              </w:rPr>
              <w:t>a</w:t>
            </w:r>
            <w:r>
              <w:rPr>
                <w:rFonts w:hint="default" w:ascii="Times New Roman" w:hAnsi="Times New Roman" w:eastAsia="宋体" w:cs="Times New Roman"/>
                <w:color w:val="000000" w:themeColor="text1"/>
                <w:sz w:val="24"/>
                <w:lang w:val="en-US" w:eastAsia="zh-CN"/>
                <w14:textFill>
                  <w14:solidFill>
                    <w14:schemeClr w14:val="tx1"/>
                  </w14:solidFill>
                </w14:textFill>
              </w:rPr>
              <w:t>计，项目年工作300天，则用水量为</w:t>
            </w:r>
            <w:r>
              <w:rPr>
                <w:rFonts w:hint="eastAsia" w:cs="Times New Roman"/>
                <w:color w:val="000000" w:themeColor="text1"/>
                <w:sz w:val="24"/>
                <w:lang w:val="en-US" w:eastAsia="zh-CN"/>
                <w14:textFill>
                  <w14:solidFill>
                    <w14:schemeClr w14:val="tx1"/>
                  </w14:solidFill>
                </w14:textFill>
              </w:rPr>
              <w:t>550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，1.833</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/d；污水量按用水量80%计，则本项目生活污水产生量为</w:t>
            </w:r>
            <w:r>
              <w:rPr>
                <w:rFonts w:hint="eastAsia" w:cs="Times New Roman"/>
                <w:color w:val="000000" w:themeColor="text1"/>
                <w:sz w:val="24"/>
                <w:lang w:val="en-US" w:eastAsia="zh-CN"/>
                <w14:textFill>
                  <w14:solidFill>
                    <w14:schemeClr w14:val="tx1"/>
                  </w14:solidFill>
                </w14:textFill>
              </w:rPr>
              <w:t>440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，1.467</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p>
          <w:p w14:paraId="205576E8">
            <w:pPr>
              <w:keepNext w:val="0"/>
              <w:keepLines w:val="0"/>
              <w:pageBreakBefore w:val="0"/>
              <w:widowControl w:val="0"/>
              <w:kinsoku/>
              <w:wordWrap w:val="0"/>
              <w:overflowPunct/>
              <w:topLinePunct/>
              <w:autoSpaceDE/>
              <w:autoSpaceDN/>
              <w:bidi w:val="0"/>
              <w:spacing w:line="360" w:lineRule="auto"/>
              <w:ind w:left="0" w:leftChars="0" w:right="0" w:firstLine="480" w:firstLineChars="200"/>
              <w:rPr>
                <w:rFonts w:hint="default" w:ascii="Times New Roman" w:hAnsi="Times New Roman" w:eastAsia="宋体" w:cs="Times New Roman"/>
                <w:b w:val="0"/>
                <w:bCs/>
                <w:color w:val="000000" w:themeColor="text1"/>
                <w:sz w:val="24"/>
                <w:szCs w:val="24"/>
                <w:lang w:val="en-US" w:eastAsia="zh-CN" w:bidi="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根据调查，公司厂房周边现有绿化面积约600m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，每天绿化浇洒次数约2次，参考</w:t>
            </w:r>
            <w:r>
              <w:rPr>
                <w:rFonts w:hint="default" w:ascii="Times New Roman" w:hAnsi="Times New Roman" w:eastAsia="宋体" w:cs="Times New Roman"/>
                <w:bCs/>
                <w:color w:val="000000" w:themeColor="text1"/>
                <w:sz w:val="24"/>
                <w:szCs w:val="24"/>
                <w:lang w:eastAsia="zh-CN"/>
                <w14:textFill>
                  <w14:solidFill>
                    <w14:schemeClr w14:val="tx1"/>
                  </w14:solidFill>
                </w14:textFill>
              </w:rPr>
              <w:t>《云南省用水定额》（云水发〔2019〕122号）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，绿化用水量以</w:t>
            </w:r>
            <w:r>
              <w:rPr>
                <w:rFonts w:hint="default" w:ascii="Times New Roman" w:hAnsi="Times New Roman" w:eastAsia="宋体" w:cs="Times New Roman"/>
                <w:b w:val="0"/>
                <w:bCs/>
                <w:color w:val="000000" w:themeColor="text1"/>
                <w:sz w:val="24"/>
                <w:szCs w:val="24"/>
                <w:lang w:val="en-US" w:eastAsia="zh-CN" w:bidi="en-US"/>
                <w14:textFill>
                  <w14:solidFill>
                    <w14:schemeClr w14:val="tx1"/>
                  </w14:solidFill>
                </w14:textFill>
              </w:rPr>
              <w:t>3</w:t>
            </w:r>
            <w:r>
              <w:rPr>
                <w:rFonts w:hint="default" w:ascii="Times New Roman" w:hAnsi="Times New Roman" w:eastAsia="宋体" w:cs="Times New Roman"/>
                <w:b w:val="0"/>
                <w:bCs/>
                <w:color w:val="000000" w:themeColor="text1"/>
                <w:sz w:val="24"/>
                <w:szCs w:val="24"/>
                <w:lang w:bidi="en-US"/>
                <w14:textFill>
                  <w14:solidFill>
                    <w14:schemeClr w14:val="tx1"/>
                  </w14:solidFill>
                </w14:textFill>
              </w:rPr>
              <w:t>L/m</w:t>
            </w:r>
            <w:r>
              <w:rPr>
                <w:rFonts w:hint="default" w:ascii="Times New Roman" w:hAnsi="Times New Roman" w:eastAsia="宋体" w:cs="Times New Roman"/>
                <w:b w:val="0"/>
                <w:bCs/>
                <w:color w:val="000000" w:themeColor="text1"/>
                <w:sz w:val="24"/>
                <w:szCs w:val="24"/>
                <w:vertAlign w:val="superscript"/>
                <w:lang w:bidi="en-US"/>
                <w14:textFill>
                  <w14:solidFill>
                    <w14:schemeClr w14:val="tx1"/>
                  </w14:solidFill>
                </w14:textFill>
              </w:rPr>
              <w:t>2</w:t>
            </w:r>
            <w:r>
              <w:rPr>
                <w:rFonts w:hint="default" w:ascii="Times New Roman" w:hAnsi="Times New Roman" w:eastAsia="宋体" w:cs="Times New Roman"/>
                <w:b w:val="0"/>
                <w:bCs/>
                <w:color w:val="000000" w:themeColor="text1"/>
                <w:sz w:val="24"/>
                <w:szCs w:val="24"/>
                <w:lang w:val="en-US" w:eastAsia="zh-CN" w:bidi="en-US"/>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bidi="en-US"/>
                <w14:textFill>
                  <w14:solidFill>
                    <w14:schemeClr w14:val="tx1"/>
                  </w14:solidFill>
                </w14:textFill>
              </w:rPr>
              <w:t>次</w:t>
            </w:r>
            <w:r>
              <w:rPr>
                <w:rFonts w:hint="default" w:ascii="Times New Roman" w:hAnsi="Times New Roman" w:eastAsia="宋体" w:cs="Times New Roman"/>
                <w:b w:val="0"/>
                <w:bCs/>
                <w:color w:val="000000" w:themeColor="text1"/>
                <w:sz w:val="24"/>
                <w:szCs w:val="24"/>
                <w:lang w:bidi="en-US"/>
                <w14:textFill>
                  <w14:solidFill>
                    <w14:schemeClr w14:val="tx1"/>
                  </w14:solidFill>
                </w14:textFill>
              </w:rPr>
              <w:t>计算</w:t>
            </w:r>
            <w:r>
              <w:rPr>
                <w:rFonts w:hint="default" w:ascii="Times New Roman" w:hAnsi="Times New Roman" w:eastAsia="宋体" w:cs="Times New Roman"/>
                <w:b w:val="0"/>
                <w:bCs/>
                <w:color w:val="000000" w:themeColor="text1"/>
                <w:sz w:val="24"/>
                <w:szCs w:val="24"/>
                <w:lang w:eastAsia="zh-CN" w:bidi="en-US"/>
                <w14:textFill>
                  <w14:solidFill>
                    <w14:schemeClr w14:val="tx1"/>
                  </w14:solidFill>
                </w14:textFill>
              </w:rPr>
              <w:t>，</w:t>
            </w:r>
            <w:r>
              <w:rPr>
                <w:rFonts w:hint="eastAsia" w:cs="Times New Roman"/>
                <w:b w:val="0"/>
                <w:bCs/>
                <w:color w:val="000000" w:themeColor="text1"/>
                <w:sz w:val="24"/>
                <w:szCs w:val="24"/>
                <w:lang w:eastAsia="zh-CN" w:bidi="en-US"/>
                <w14:textFill>
                  <w14:solidFill>
                    <w14:schemeClr w14:val="tx1"/>
                  </w14:solidFill>
                </w14:textFill>
              </w:rPr>
              <w:t>本项目年工作</w:t>
            </w:r>
            <w:r>
              <w:rPr>
                <w:rFonts w:hint="eastAsia" w:cs="Times New Roman"/>
                <w:b w:val="0"/>
                <w:bCs/>
                <w:color w:val="000000" w:themeColor="text1"/>
                <w:sz w:val="24"/>
                <w:szCs w:val="24"/>
                <w:lang w:val="en-US" w:eastAsia="zh-CN" w:bidi="en-US"/>
                <w14:textFill>
                  <w14:solidFill>
                    <w14:schemeClr w14:val="tx1"/>
                  </w14:solidFill>
                </w14:textFill>
              </w:rPr>
              <w:t>300天，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参考江川区人民政府信息公开网发布数据（https://www.ynjc.gov.cn/jcqzfxxgk/15376797664/20231018/1480535.html），“江川区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多年平均降雨日数（≥0.1mm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117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天”，故本项目考虑晴天数</w:t>
            </w:r>
            <w:r>
              <w:rPr>
                <w:rFonts w:hint="default" w:ascii="Times New Roman" w:hAnsi="Times New Roman" w:eastAsia="宋体" w:cs="Times New Roman"/>
                <w:b w:val="0"/>
                <w:bCs/>
                <w:color w:val="000000" w:themeColor="text1"/>
                <w:sz w:val="24"/>
                <w:szCs w:val="24"/>
                <w:lang w:bidi="en-US"/>
                <w14:textFill>
                  <w14:solidFill>
                    <w14:schemeClr w14:val="tx1"/>
                  </w14:solidFill>
                </w14:textFill>
              </w:rPr>
              <w:t>以</w:t>
            </w:r>
            <w:r>
              <w:rPr>
                <w:rFonts w:hint="eastAsia" w:cs="Times New Roman"/>
                <w:b w:val="0"/>
                <w:bCs/>
                <w:color w:val="000000" w:themeColor="text1"/>
                <w:sz w:val="24"/>
                <w:szCs w:val="24"/>
                <w:lang w:val="en-US" w:eastAsia="zh-CN" w:bidi="en-US"/>
                <w14:textFill>
                  <w14:solidFill>
                    <w14:schemeClr w14:val="tx1"/>
                  </w14:solidFill>
                </w14:textFill>
              </w:rPr>
              <w:t>183</w:t>
            </w:r>
            <w:r>
              <w:rPr>
                <w:rFonts w:hint="default" w:ascii="Times New Roman" w:hAnsi="Times New Roman" w:eastAsia="宋体" w:cs="Times New Roman"/>
                <w:b w:val="0"/>
                <w:bCs/>
                <w:color w:val="000000" w:themeColor="text1"/>
                <w:sz w:val="24"/>
                <w:szCs w:val="24"/>
                <w:lang w:bidi="en-US"/>
                <w14:textFill>
                  <w14:solidFill>
                    <w14:schemeClr w14:val="tx1"/>
                  </w14:solidFill>
                </w14:textFill>
              </w:rPr>
              <w:t>天计，则绿化用水量约为</w:t>
            </w:r>
            <w:r>
              <w:rPr>
                <w:rFonts w:hint="default" w:ascii="Times New Roman" w:hAnsi="Times New Roman" w:eastAsia="宋体" w:cs="Times New Roman"/>
                <w:b w:val="0"/>
                <w:bCs/>
                <w:color w:val="000000" w:themeColor="text1"/>
                <w:sz w:val="24"/>
                <w:szCs w:val="24"/>
                <w:lang w:val="en-US" w:eastAsia="zh-CN" w:bidi="en-US"/>
                <w14:textFill>
                  <w14:solidFill>
                    <w14:schemeClr w14:val="tx1"/>
                  </w14:solidFill>
                </w14:textFill>
              </w:rPr>
              <w:t>3.6</w:t>
            </w:r>
            <w:r>
              <w:rPr>
                <w:rFonts w:hint="default" w:ascii="Times New Roman" w:hAnsi="Times New Roman" w:eastAsia="宋体" w:cs="Times New Roman"/>
                <w:b w:val="0"/>
                <w:bCs/>
                <w:color w:val="000000" w:themeColor="text1"/>
                <w:sz w:val="24"/>
                <w:szCs w:val="24"/>
                <w:lang w:bidi="en-US"/>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lang w:bidi="en-US"/>
                <w14:textFill>
                  <w14:solidFill>
                    <w14:schemeClr w14:val="tx1"/>
                  </w14:solidFill>
                </w14:textFill>
              </w:rPr>
              <w:t>3</w:t>
            </w:r>
            <w:r>
              <w:rPr>
                <w:rFonts w:hint="default" w:ascii="Times New Roman" w:hAnsi="Times New Roman" w:eastAsia="宋体" w:cs="Times New Roman"/>
                <w:b w:val="0"/>
                <w:bCs/>
                <w:color w:val="000000" w:themeColor="text1"/>
                <w:sz w:val="24"/>
                <w:szCs w:val="24"/>
                <w:lang w:bidi="en-US"/>
                <w14:textFill>
                  <w14:solidFill>
                    <w14:schemeClr w14:val="tx1"/>
                  </w14:solidFill>
                </w14:textFill>
              </w:rPr>
              <w:t>/d，</w:t>
            </w:r>
            <w:r>
              <w:rPr>
                <w:rFonts w:hint="default" w:ascii="Times New Roman" w:hAnsi="Times New Roman" w:eastAsia="宋体" w:cs="Times New Roman"/>
                <w:b w:val="0"/>
                <w:bCs/>
                <w:color w:val="000000" w:themeColor="text1"/>
                <w:sz w:val="24"/>
                <w:szCs w:val="24"/>
                <w:lang w:val="en-US" w:eastAsia="zh-CN" w:bidi="en-US"/>
                <w14:textFill>
                  <w14:solidFill>
                    <w14:schemeClr w14:val="tx1"/>
                  </w14:solidFill>
                </w14:textFill>
              </w:rPr>
              <w:t>658.8</w:t>
            </w:r>
            <w:r>
              <w:rPr>
                <w:rFonts w:hint="default" w:ascii="Times New Roman" w:hAnsi="Times New Roman" w:eastAsia="宋体" w:cs="Times New Roman"/>
                <w:b w:val="0"/>
                <w:bCs/>
                <w:color w:val="000000" w:themeColor="text1"/>
                <w:sz w:val="24"/>
                <w:szCs w:val="24"/>
                <w:lang w:bidi="en-US"/>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lang w:bidi="en-US"/>
                <w14:textFill>
                  <w14:solidFill>
                    <w14:schemeClr w14:val="tx1"/>
                  </w14:solidFill>
                </w14:textFill>
              </w:rPr>
              <w:t>3</w:t>
            </w:r>
            <w:r>
              <w:rPr>
                <w:rFonts w:hint="default" w:ascii="Times New Roman" w:hAnsi="Times New Roman" w:eastAsia="宋体" w:cs="Times New Roman"/>
                <w:b w:val="0"/>
                <w:bCs/>
                <w:color w:val="000000" w:themeColor="text1"/>
                <w:sz w:val="24"/>
                <w:szCs w:val="24"/>
                <w:lang w:bidi="en-US"/>
                <w14:textFill>
                  <w14:solidFill>
                    <w14:schemeClr w14:val="tx1"/>
                  </w14:solidFill>
                </w14:textFill>
              </w:rPr>
              <w:t>/a</w:t>
            </w:r>
            <w:r>
              <w:rPr>
                <w:rFonts w:hint="default" w:ascii="Times New Roman" w:hAnsi="Times New Roman" w:eastAsia="宋体" w:cs="Times New Roman"/>
                <w:b w:val="0"/>
                <w:bCs/>
                <w:color w:val="000000" w:themeColor="text1"/>
                <w:sz w:val="24"/>
                <w:szCs w:val="24"/>
                <w:lang w:eastAsia="zh-CN" w:bidi="en-US"/>
                <w14:textFill>
                  <w14:solidFill>
                    <w14:schemeClr w14:val="tx1"/>
                  </w14:solidFill>
                </w14:textFill>
              </w:rPr>
              <w:t>。</w:t>
            </w:r>
            <w:r>
              <w:rPr>
                <w:rFonts w:hint="eastAsia" w:cs="Times New Roman"/>
                <w:b w:val="0"/>
                <w:bCs/>
                <w:color w:val="000000" w:themeColor="text1"/>
                <w:sz w:val="24"/>
                <w:szCs w:val="24"/>
                <w:lang w:val="en-US" w:eastAsia="zh-CN" w:bidi="en-US"/>
                <w14:textFill>
                  <w14:solidFill>
                    <w14:schemeClr w14:val="tx1"/>
                  </w14:solidFill>
                </w14:textFill>
              </w:rPr>
              <w:t xml:space="preserve"> </w:t>
            </w:r>
          </w:p>
          <w:p w14:paraId="59267849">
            <w:pPr>
              <w:pStyle w:val="5"/>
              <w:keepNext/>
              <w:keepLines/>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object>
                <v:shape id="_x0000_i1025" o:spt="75" type="#_x0000_t75" style="height:197.45pt;width:349.55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5" r:id="rId17">
                  <o:LockedField>false</o:LockedField>
                </o:OLEObject>
              </w:object>
            </w:r>
          </w:p>
          <w:p w14:paraId="23DA0445">
            <w:pPr>
              <w:pStyle w:val="5"/>
              <w:keepNext/>
              <w:keepLines/>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图2-1 水平衡图</w:t>
            </w:r>
            <w:r>
              <w:rPr>
                <w:rFonts w:hint="eastAsia" w:cs="Times New Roman"/>
                <w:color w:val="000000" w:themeColor="text1"/>
                <w:kern w:val="24"/>
                <w:sz w:val="21"/>
                <w:szCs w:val="21"/>
                <w:lang w:val="en-US" w:eastAsia="zh-CN"/>
                <w14:textFill>
                  <w14:solidFill>
                    <w14:schemeClr w14:val="tx1"/>
                  </w14:solidFill>
                </w14:textFill>
              </w:rPr>
              <w:t>（晴天）</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 xml:space="preserve">  </w:t>
            </w:r>
            <w:r>
              <w:rPr>
                <w:rFonts w:hint="default" w:ascii="Times New Roman" w:hAnsi="Times New Roman" w:eastAsia="宋体" w:cs="Times New Roman"/>
                <w:b/>
                <w:bCs/>
                <w:snapToGrid w:val="0"/>
                <w:color w:val="000000" w:themeColor="text1"/>
                <w:sz w:val="21"/>
                <w:szCs w:val="21"/>
                <w14:textFill>
                  <w14:solidFill>
                    <w14:schemeClr w14:val="tx1"/>
                  </w14:solidFill>
                </w14:textFill>
              </w:rPr>
              <w:t>单位：m</w:t>
            </w:r>
            <w:r>
              <w:rPr>
                <w:rFonts w:hint="default" w:ascii="Times New Roman" w:hAnsi="Times New Roman" w:eastAsia="宋体" w:cs="Times New Roman"/>
                <w:b/>
                <w:bCs/>
                <w:snapToGrid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snapToGrid w:val="0"/>
                <w:color w:val="000000" w:themeColor="text1"/>
                <w:sz w:val="21"/>
                <w:szCs w:val="21"/>
                <w14:textFill>
                  <w14:solidFill>
                    <w14:schemeClr w14:val="tx1"/>
                  </w14:solidFill>
                </w14:textFill>
              </w:rPr>
              <w:t>/d</w:t>
            </w:r>
          </w:p>
          <w:p w14:paraId="281985B2">
            <w:pPr>
              <w:pStyle w:val="5"/>
              <w:keepNext/>
              <w:keepLines/>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object>
                <v:shape id="_x0000_i1026" o:spt="75" type="#_x0000_t75" style="height:150.3pt;width:409.55pt;" o:ole="t" filled="f" o:preferrelative="t" stroked="f" coordsize="21600,21600">
                  <v:path/>
                  <v:fill on="f" focussize="0,0"/>
                  <v:stroke on="f"/>
                  <v:imagedata r:id="rId20" o:title=""/>
                  <o:lock v:ext="edit" aspectratio="f"/>
                  <w10:wrap type="none"/>
                  <w10:anchorlock/>
                </v:shape>
                <o:OLEObject Type="Embed" ProgID="Visio.Drawing.11" ShapeID="_x0000_i1026" DrawAspect="Content" ObjectID="_1468075726" r:id="rId19">
                  <o:LockedField>false</o:LockedField>
                </o:OLEObject>
              </w:object>
            </w:r>
          </w:p>
          <w:p w14:paraId="488214BD">
            <w:pPr>
              <w:pStyle w:val="5"/>
              <w:keepNext/>
              <w:keepLines/>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p>
          <w:p w14:paraId="38EA1C4F">
            <w:pPr>
              <w:pStyle w:val="5"/>
              <w:keepNext/>
              <w:keepLines/>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图2-1 水平衡图</w:t>
            </w:r>
            <w:r>
              <w:rPr>
                <w:rFonts w:hint="eastAsia" w:cs="Times New Roman"/>
                <w:color w:val="000000" w:themeColor="text1"/>
                <w:kern w:val="24"/>
                <w:sz w:val="21"/>
                <w:szCs w:val="21"/>
                <w:lang w:val="en-US" w:eastAsia="zh-CN"/>
                <w14:textFill>
                  <w14:solidFill>
                    <w14:schemeClr w14:val="tx1"/>
                  </w14:solidFill>
                </w14:textFill>
              </w:rPr>
              <w:t>（雨天）</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 xml:space="preserve">  </w:t>
            </w:r>
            <w:r>
              <w:rPr>
                <w:rFonts w:hint="default" w:ascii="Times New Roman" w:hAnsi="Times New Roman" w:eastAsia="宋体" w:cs="Times New Roman"/>
                <w:b/>
                <w:bCs/>
                <w:snapToGrid w:val="0"/>
                <w:color w:val="000000" w:themeColor="text1"/>
                <w:sz w:val="21"/>
                <w:szCs w:val="21"/>
                <w14:textFill>
                  <w14:solidFill>
                    <w14:schemeClr w14:val="tx1"/>
                  </w14:solidFill>
                </w14:textFill>
              </w:rPr>
              <w:t>单位：m</w:t>
            </w:r>
            <w:r>
              <w:rPr>
                <w:rFonts w:hint="default" w:ascii="Times New Roman" w:hAnsi="Times New Roman" w:eastAsia="宋体" w:cs="Times New Roman"/>
                <w:b/>
                <w:bCs/>
                <w:snapToGrid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snapToGrid w:val="0"/>
                <w:color w:val="000000" w:themeColor="text1"/>
                <w:sz w:val="21"/>
                <w:szCs w:val="21"/>
                <w14:textFill>
                  <w14:solidFill>
                    <w14:schemeClr w14:val="tx1"/>
                  </w14:solidFill>
                </w14:textFill>
              </w:rPr>
              <w:t>/d</w:t>
            </w:r>
          </w:p>
          <w:p w14:paraId="16EC8CC7">
            <w:pPr>
              <w:pStyle w:val="18"/>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10、环保投资</w:t>
            </w:r>
          </w:p>
          <w:p w14:paraId="2AAE3C9A">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shd w:val="clear" w:color="auto" w:fill="FFFF00"/>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项目总投资</w:t>
            </w:r>
            <w:r>
              <w:rPr>
                <w:rFonts w:hint="default" w:ascii="Times New Roman" w:hAnsi="Times New Roman" w:eastAsia="宋体" w:cs="Times New Roman"/>
                <w:color w:val="000000" w:themeColor="text1"/>
                <w:sz w:val="24"/>
                <w:lang w:val="en-US" w:eastAsia="zh-CN"/>
                <w14:textFill>
                  <w14:solidFill>
                    <w14:schemeClr w14:val="tx1"/>
                  </w14:solidFill>
                </w14:textFill>
              </w:rPr>
              <w:t>7000</w:t>
            </w:r>
            <w:r>
              <w:rPr>
                <w:rFonts w:hint="default" w:ascii="Times New Roman" w:hAnsi="Times New Roman" w:eastAsia="宋体" w:cs="Times New Roman"/>
                <w:color w:val="000000" w:themeColor="text1"/>
                <w:sz w:val="24"/>
                <w14:textFill>
                  <w14:solidFill>
                    <w14:schemeClr w14:val="tx1"/>
                  </w14:solidFill>
                </w14:textFill>
              </w:rPr>
              <w:t>万元，其中环保投资</w:t>
            </w:r>
            <w:r>
              <w:rPr>
                <w:rFonts w:hint="default" w:ascii="Times New Roman" w:hAnsi="Times New Roman" w:eastAsia="宋体" w:cs="Times New Roman"/>
                <w:color w:val="000000" w:themeColor="text1"/>
                <w:sz w:val="24"/>
                <w:lang w:val="en-US" w:eastAsia="zh-CN"/>
                <w14:textFill>
                  <w14:solidFill>
                    <w14:schemeClr w14:val="tx1"/>
                  </w14:solidFill>
                </w14:textFill>
              </w:rPr>
              <w:t>244.1</w:t>
            </w:r>
            <w:r>
              <w:rPr>
                <w:rFonts w:hint="default" w:ascii="Times New Roman" w:hAnsi="Times New Roman" w:eastAsia="宋体" w:cs="Times New Roman"/>
                <w:color w:val="000000" w:themeColor="text1"/>
                <w:sz w:val="24"/>
                <w14:textFill>
                  <w14:solidFill>
                    <w14:schemeClr w14:val="tx1"/>
                  </w14:solidFill>
                </w14:textFill>
              </w:rPr>
              <w:t>万元，占总投资的</w:t>
            </w:r>
            <w:r>
              <w:rPr>
                <w:rFonts w:hint="default" w:ascii="Times New Roman" w:hAnsi="Times New Roman" w:eastAsia="宋体" w:cs="Times New Roman"/>
                <w:color w:val="000000" w:themeColor="text1"/>
                <w:sz w:val="24"/>
                <w:lang w:val="en-US" w:eastAsia="zh-CN"/>
                <w14:textFill>
                  <w14:solidFill>
                    <w14:schemeClr w14:val="tx1"/>
                  </w14:solidFill>
                </w14:textFill>
              </w:rPr>
              <w:t>3.487</w:t>
            </w:r>
            <w:r>
              <w:rPr>
                <w:rFonts w:hint="default" w:ascii="Times New Roman" w:hAnsi="Times New Roman" w:eastAsia="宋体" w:cs="Times New Roman"/>
                <w:color w:val="000000" w:themeColor="text1"/>
                <w:sz w:val="24"/>
                <w14:textFill>
                  <w14:solidFill>
                    <w14:schemeClr w14:val="tx1"/>
                  </w14:solidFill>
                </w14:textFill>
              </w:rPr>
              <w:t>%，项目环保投资情况见表。</w:t>
            </w:r>
          </w:p>
          <w:p w14:paraId="2B9E8E8B">
            <w:pPr>
              <w:pStyle w:val="130"/>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表2-</w:t>
            </w:r>
            <w:r>
              <w:rPr>
                <w:rFonts w:hint="default" w:ascii="Times New Roman" w:hAnsi="Times New Roman" w:eastAsia="宋体" w:cs="Times New Roman"/>
                <w:color w:val="000000" w:themeColor="text1"/>
                <w:lang w:val="en-US" w:eastAsia="zh-CN"/>
                <w14:textFill>
                  <w14:solidFill>
                    <w14:schemeClr w14:val="tx1"/>
                  </w14:solidFill>
                </w14:textFill>
              </w:rPr>
              <w:t>9</w:t>
            </w:r>
            <w:r>
              <w:rPr>
                <w:rFonts w:hint="default" w:ascii="Times New Roman" w:hAnsi="Times New Roman" w:eastAsia="宋体" w:cs="Times New Roman"/>
                <w:color w:val="000000" w:themeColor="text1"/>
                <w14:textFill>
                  <w14:solidFill>
                    <w14:schemeClr w14:val="tx1"/>
                  </w14:solidFill>
                </w14:textFill>
              </w:rPr>
              <w:t xml:space="preserve">  项目环保投资明细表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493"/>
              <w:gridCol w:w="1998"/>
              <w:gridCol w:w="3489"/>
              <w:gridCol w:w="1100"/>
              <w:gridCol w:w="757"/>
            </w:tblGrid>
            <w:tr w14:paraId="0C76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45075019">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1481" w:type="pct"/>
                  <w:gridSpan w:val="2"/>
                  <w:tcBorders>
                    <w:top w:val="single" w:color="auto" w:sz="4" w:space="0"/>
                    <w:left w:val="single" w:color="auto" w:sz="4" w:space="0"/>
                    <w:bottom w:val="single" w:color="auto" w:sz="4" w:space="0"/>
                    <w:right w:val="single" w:color="auto" w:sz="4" w:space="0"/>
                  </w:tcBorders>
                  <w:vAlign w:val="center"/>
                </w:tcPr>
                <w:p w14:paraId="6AFE3BF2">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2074" w:type="pct"/>
                  <w:tcBorders>
                    <w:top w:val="single" w:color="auto" w:sz="4" w:space="0"/>
                    <w:left w:val="single" w:color="auto" w:sz="4" w:space="0"/>
                    <w:bottom w:val="single" w:color="auto" w:sz="4" w:space="0"/>
                    <w:right w:val="single" w:color="auto" w:sz="4" w:space="0"/>
                  </w:tcBorders>
                  <w:vAlign w:val="center"/>
                </w:tcPr>
                <w:p w14:paraId="3963CC3A">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工程内容</w:t>
                  </w:r>
                </w:p>
              </w:tc>
              <w:tc>
                <w:tcPr>
                  <w:tcW w:w="654" w:type="pct"/>
                  <w:tcBorders>
                    <w:top w:val="single" w:color="auto" w:sz="4" w:space="0"/>
                    <w:left w:val="single" w:color="auto" w:sz="4" w:space="0"/>
                    <w:bottom w:val="single" w:color="auto" w:sz="4" w:space="0"/>
                    <w:right w:val="single" w:color="auto" w:sz="4" w:space="0"/>
                  </w:tcBorders>
                  <w:vAlign w:val="center"/>
                </w:tcPr>
                <w:p w14:paraId="128D7266">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投资（万元）</w:t>
                  </w:r>
                </w:p>
              </w:tc>
              <w:tc>
                <w:tcPr>
                  <w:tcW w:w="450" w:type="pct"/>
                  <w:tcBorders>
                    <w:top w:val="single" w:color="auto" w:sz="4" w:space="0"/>
                    <w:left w:val="single" w:color="auto" w:sz="4" w:space="0"/>
                    <w:bottom w:val="single" w:color="auto" w:sz="4" w:space="0"/>
                    <w:right w:val="single" w:color="auto" w:sz="4" w:space="0"/>
                  </w:tcBorders>
                  <w:vAlign w:val="center"/>
                </w:tcPr>
                <w:p w14:paraId="73D4B74E">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备注</w:t>
                  </w:r>
                </w:p>
              </w:tc>
            </w:tr>
            <w:tr w14:paraId="660B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18080106">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293" w:type="pct"/>
                  <w:vMerge w:val="restart"/>
                  <w:tcBorders>
                    <w:top w:val="single" w:color="auto" w:sz="4" w:space="0"/>
                    <w:left w:val="single" w:color="auto" w:sz="4" w:space="0"/>
                    <w:right w:val="single" w:color="auto" w:sz="4" w:space="0"/>
                  </w:tcBorders>
                  <w:vAlign w:val="center"/>
                </w:tcPr>
                <w:p w14:paraId="56CEE193">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废水</w:t>
                  </w:r>
                </w:p>
              </w:tc>
              <w:tc>
                <w:tcPr>
                  <w:tcW w:w="1188" w:type="pct"/>
                  <w:tcBorders>
                    <w:top w:val="single" w:color="auto" w:sz="4" w:space="0"/>
                    <w:left w:val="single" w:color="auto" w:sz="4" w:space="0"/>
                    <w:bottom w:val="single" w:color="auto" w:sz="4" w:space="0"/>
                    <w:right w:val="single" w:color="auto" w:sz="4" w:space="0"/>
                  </w:tcBorders>
                  <w:vAlign w:val="center"/>
                </w:tcPr>
                <w:p w14:paraId="24EEE9F3">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雨污分流</w:t>
                  </w:r>
                </w:p>
              </w:tc>
              <w:tc>
                <w:tcPr>
                  <w:tcW w:w="2074" w:type="pct"/>
                  <w:tcBorders>
                    <w:top w:val="single" w:color="auto" w:sz="4" w:space="0"/>
                    <w:left w:val="single" w:color="auto" w:sz="4" w:space="0"/>
                    <w:bottom w:val="single" w:color="auto" w:sz="4" w:space="0"/>
                    <w:right w:val="single" w:color="auto" w:sz="4" w:space="0"/>
                  </w:tcBorders>
                  <w:vAlign w:val="center"/>
                </w:tcPr>
                <w:p w14:paraId="453C554E">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设置雨污分流系统</w:t>
                  </w:r>
                </w:p>
              </w:tc>
              <w:tc>
                <w:tcPr>
                  <w:tcW w:w="654" w:type="pct"/>
                  <w:tcBorders>
                    <w:top w:val="single" w:color="auto" w:sz="4" w:space="0"/>
                    <w:left w:val="single" w:color="auto" w:sz="4" w:space="0"/>
                    <w:bottom w:val="single" w:color="auto" w:sz="4" w:space="0"/>
                    <w:right w:val="single" w:color="auto" w:sz="4" w:space="0"/>
                  </w:tcBorders>
                  <w:vAlign w:val="center"/>
                </w:tcPr>
                <w:p w14:paraId="1D09174A">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w:t>
                  </w:r>
                </w:p>
              </w:tc>
              <w:tc>
                <w:tcPr>
                  <w:tcW w:w="450" w:type="pct"/>
                  <w:tcBorders>
                    <w:top w:val="single" w:color="auto" w:sz="4" w:space="0"/>
                    <w:left w:val="single" w:color="auto" w:sz="4" w:space="0"/>
                    <w:bottom w:val="single" w:color="auto" w:sz="4" w:space="0"/>
                    <w:right w:val="single" w:color="auto" w:sz="4" w:space="0"/>
                  </w:tcBorders>
                  <w:vAlign w:val="center"/>
                </w:tcPr>
                <w:p w14:paraId="258D3333">
                  <w:pPr>
                    <w:pStyle w:val="125"/>
                    <w:pageBreakBefore w:val="0"/>
                    <w:kinsoku/>
                    <w:overflowPunct/>
                    <w:topLinePunct w:val="0"/>
                    <w:bidi w:val="0"/>
                    <w:ind w:left="0" w:leftChars="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现有</w:t>
                  </w:r>
                </w:p>
              </w:tc>
            </w:tr>
            <w:tr w14:paraId="12F8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205371B3">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293" w:type="pct"/>
                  <w:vMerge w:val="continue"/>
                  <w:tcBorders>
                    <w:left w:val="single" w:color="auto" w:sz="4" w:space="0"/>
                    <w:right w:val="single" w:color="auto" w:sz="4" w:space="0"/>
                  </w:tcBorders>
                  <w:vAlign w:val="center"/>
                </w:tcPr>
                <w:p w14:paraId="0A5BF4A9">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p>
              </w:tc>
              <w:tc>
                <w:tcPr>
                  <w:tcW w:w="1188" w:type="pct"/>
                  <w:vMerge w:val="restart"/>
                  <w:tcBorders>
                    <w:top w:val="single" w:color="auto" w:sz="4" w:space="0"/>
                    <w:left w:val="single" w:color="auto" w:sz="4" w:space="0"/>
                    <w:right w:val="single" w:color="auto" w:sz="4" w:space="0"/>
                  </w:tcBorders>
                  <w:vAlign w:val="center"/>
                </w:tcPr>
                <w:p w14:paraId="11867503">
                  <w:pPr>
                    <w:pStyle w:val="28"/>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13"/>
                      <w:rFonts w:hint="default" w:ascii="Times New Roman" w:hAnsi="Times New Roman" w:eastAsia="宋体" w:cs="Times New Roman"/>
                      <w:color w:val="000000" w:themeColor="text1"/>
                      <w:sz w:val="21"/>
                      <w:szCs w:val="21"/>
                      <w14:textFill>
                        <w14:solidFill>
                          <w14:schemeClr w14:val="tx1"/>
                        </w14:solidFill>
                      </w14:textFill>
                    </w:rPr>
                    <w:t>生活污水</w:t>
                  </w:r>
                </w:p>
              </w:tc>
              <w:tc>
                <w:tcPr>
                  <w:tcW w:w="2074" w:type="pct"/>
                  <w:tcBorders>
                    <w:top w:val="single" w:color="auto" w:sz="4" w:space="0"/>
                    <w:left w:val="single" w:color="auto" w:sz="4" w:space="0"/>
                    <w:bottom w:val="single" w:color="auto" w:sz="4" w:space="0"/>
                    <w:right w:val="single" w:color="auto" w:sz="4" w:space="0"/>
                  </w:tcBorders>
                  <w:vAlign w:val="center"/>
                </w:tcPr>
                <w:p w14:paraId="2D8CF0F5">
                  <w:pPr>
                    <w:pStyle w:val="28"/>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依托现有</w:t>
                  </w:r>
                  <w:r>
                    <w:rPr>
                      <w:rFonts w:hint="default" w:ascii="Times New Roman" w:hAnsi="Times New Roman" w:eastAsia="宋体" w:cs="Times New Roman"/>
                      <w:color w:val="000000" w:themeColor="text1"/>
                      <w:sz w:val="21"/>
                      <w:szCs w:val="21"/>
                      <w14:textFill>
                        <w14:solidFill>
                          <w14:schemeClr w14:val="tx1"/>
                        </w14:solidFill>
                      </w14:textFill>
                    </w:rPr>
                    <w:t>1个容积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的化粪池</w:t>
                  </w:r>
                </w:p>
              </w:tc>
              <w:tc>
                <w:tcPr>
                  <w:tcW w:w="654" w:type="pct"/>
                  <w:tcBorders>
                    <w:top w:val="single" w:color="auto" w:sz="4" w:space="0"/>
                    <w:left w:val="single" w:color="auto" w:sz="4" w:space="0"/>
                    <w:bottom w:val="single" w:color="auto" w:sz="4" w:space="0"/>
                    <w:right w:val="single" w:color="auto" w:sz="4" w:space="0"/>
                  </w:tcBorders>
                  <w:vAlign w:val="center"/>
                </w:tcPr>
                <w:p w14:paraId="7AC0D895">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w:t>
                  </w:r>
                </w:p>
              </w:tc>
              <w:tc>
                <w:tcPr>
                  <w:tcW w:w="450" w:type="pct"/>
                  <w:tcBorders>
                    <w:top w:val="single" w:color="auto" w:sz="4" w:space="0"/>
                    <w:left w:val="single" w:color="auto" w:sz="4" w:space="0"/>
                    <w:bottom w:val="single" w:color="auto" w:sz="4" w:space="0"/>
                    <w:right w:val="single" w:color="auto" w:sz="4" w:space="0"/>
                  </w:tcBorders>
                  <w:vAlign w:val="center"/>
                </w:tcPr>
                <w:p w14:paraId="7A3C5645">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现有</w:t>
                  </w:r>
                </w:p>
              </w:tc>
            </w:tr>
            <w:tr w14:paraId="30D5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0F3E045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293" w:type="pct"/>
                  <w:vMerge w:val="continue"/>
                  <w:tcBorders>
                    <w:left w:val="single" w:color="auto" w:sz="4" w:space="0"/>
                    <w:right w:val="single" w:color="auto" w:sz="4" w:space="0"/>
                  </w:tcBorders>
                  <w:vAlign w:val="center"/>
                </w:tcPr>
                <w:p w14:paraId="22F64A90">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p>
              </w:tc>
              <w:tc>
                <w:tcPr>
                  <w:tcW w:w="1188" w:type="pct"/>
                  <w:vMerge w:val="continue"/>
                  <w:tcBorders>
                    <w:left w:val="single" w:color="auto" w:sz="4" w:space="0"/>
                    <w:right w:val="single" w:color="auto" w:sz="4" w:space="0"/>
                  </w:tcBorders>
                  <w:vAlign w:val="center"/>
                </w:tcPr>
                <w:p w14:paraId="0AD934E6">
                  <w:pPr>
                    <w:pStyle w:val="28"/>
                    <w:pageBreakBefore w:val="0"/>
                    <w:widowControl w:val="0"/>
                    <w:kinsoku/>
                    <w:overflowPunct/>
                    <w:topLinePunct w:val="0"/>
                    <w:bidi w:val="0"/>
                    <w:spacing w:before="0" w:beforeAutospacing="0" w:after="0" w:afterAutospacing="0"/>
                    <w:ind w:left="0" w:leftChars="0" w:right="0"/>
                    <w:jc w:val="center"/>
                    <w:rPr>
                      <w:rStyle w:val="113"/>
                      <w:rFonts w:hint="default" w:ascii="Times New Roman" w:hAnsi="Times New Roman" w:eastAsia="宋体" w:cs="Times New Roman"/>
                      <w:color w:val="000000" w:themeColor="text1"/>
                      <w:sz w:val="21"/>
                      <w:szCs w:val="21"/>
                      <w14:textFill>
                        <w14:solidFill>
                          <w14:schemeClr w14:val="tx1"/>
                        </w14:solidFill>
                      </w14:textFill>
                    </w:rPr>
                  </w:pPr>
                </w:p>
              </w:tc>
              <w:tc>
                <w:tcPr>
                  <w:tcW w:w="2074" w:type="pct"/>
                  <w:tcBorders>
                    <w:top w:val="single" w:color="auto" w:sz="4" w:space="0"/>
                    <w:left w:val="single" w:color="auto" w:sz="4" w:space="0"/>
                    <w:bottom w:val="single" w:color="auto" w:sz="4" w:space="0"/>
                    <w:right w:val="single" w:color="auto" w:sz="4" w:space="0"/>
                  </w:tcBorders>
                  <w:vAlign w:val="center"/>
                </w:tcPr>
                <w:p w14:paraId="49D0AC40">
                  <w:pPr>
                    <w:pStyle w:val="28"/>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新增1套处理能为</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A/O法生物处理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一体化生活污水处理设施</w:t>
                  </w:r>
                </w:p>
              </w:tc>
              <w:tc>
                <w:tcPr>
                  <w:tcW w:w="654" w:type="pct"/>
                  <w:tcBorders>
                    <w:top w:val="single" w:color="auto" w:sz="4" w:space="0"/>
                    <w:left w:val="single" w:color="auto" w:sz="4" w:space="0"/>
                    <w:bottom w:val="single" w:color="auto" w:sz="4" w:space="0"/>
                    <w:right w:val="single" w:color="auto" w:sz="4" w:space="0"/>
                  </w:tcBorders>
                  <w:vAlign w:val="center"/>
                </w:tcPr>
                <w:p w14:paraId="26177922">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9</w:t>
                  </w:r>
                </w:p>
              </w:tc>
              <w:tc>
                <w:tcPr>
                  <w:tcW w:w="450" w:type="pct"/>
                  <w:tcBorders>
                    <w:top w:val="single" w:color="auto" w:sz="4" w:space="0"/>
                    <w:left w:val="single" w:color="auto" w:sz="4" w:space="0"/>
                    <w:bottom w:val="single" w:color="auto" w:sz="4" w:space="0"/>
                    <w:right w:val="single" w:color="auto" w:sz="4" w:space="0"/>
                  </w:tcBorders>
                  <w:vAlign w:val="center"/>
                </w:tcPr>
                <w:p w14:paraId="372FF2D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1062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595EBFB1">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293" w:type="pct"/>
                  <w:vMerge w:val="continue"/>
                  <w:tcBorders>
                    <w:left w:val="single" w:color="auto" w:sz="4" w:space="0"/>
                    <w:right w:val="single" w:color="auto" w:sz="4" w:space="0"/>
                  </w:tcBorders>
                  <w:vAlign w:val="center"/>
                </w:tcPr>
                <w:p w14:paraId="2A905C75">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p>
              </w:tc>
              <w:tc>
                <w:tcPr>
                  <w:tcW w:w="1188" w:type="pct"/>
                  <w:vMerge w:val="continue"/>
                  <w:tcBorders>
                    <w:left w:val="single" w:color="auto" w:sz="4" w:space="0"/>
                    <w:bottom w:val="single" w:color="auto" w:sz="4" w:space="0"/>
                    <w:right w:val="single" w:color="auto" w:sz="4" w:space="0"/>
                  </w:tcBorders>
                  <w:vAlign w:val="center"/>
                </w:tcPr>
                <w:p w14:paraId="046E9B1A">
                  <w:pPr>
                    <w:pStyle w:val="28"/>
                    <w:pageBreakBefore w:val="0"/>
                    <w:widowControl w:val="0"/>
                    <w:kinsoku/>
                    <w:overflowPunct/>
                    <w:topLinePunct w:val="0"/>
                    <w:bidi w:val="0"/>
                    <w:spacing w:before="0" w:beforeAutospacing="0" w:after="0" w:afterAutospacing="0"/>
                    <w:ind w:left="0" w:leftChars="0" w:right="0"/>
                    <w:jc w:val="center"/>
                    <w:rPr>
                      <w:rStyle w:val="113"/>
                      <w:rFonts w:hint="default" w:ascii="Times New Roman" w:hAnsi="Times New Roman" w:eastAsia="宋体" w:cs="Times New Roman"/>
                      <w:color w:val="000000" w:themeColor="text1"/>
                      <w:sz w:val="21"/>
                      <w:szCs w:val="21"/>
                      <w14:textFill>
                        <w14:solidFill>
                          <w14:schemeClr w14:val="tx1"/>
                        </w14:solidFill>
                      </w14:textFill>
                    </w:rPr>
                  </w:pPr>
                </w:p>
              </w:tc>
              <w:tc>
                <w:tcPr>
                  <w:tcW w:w="2074" w:type="pct"/>
                  <w:tcBorders>
                    <w:top w:val="single" w:color="auto" w:sz="4" w:space="0"/>
                    <w:left w:val="single" w:color="auto" w:sz="4" w:space="0"/>
                    <w:bottom w:val="single" w:color="auto" w:sz="4" w:space="0"/>
                    <w:right w:val="single" w:color="auto" w:sz="4" w:space="0"/>
                  </w:tcBorders>
                  <w:vAlign w:val="center"/>
                </w:tcPr>
                <w:p w14:paraId="722844D0">
                  <w:pPr>
                    <w:pStyle w:val="28"/>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新增1个</w:t>
                  </w: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的中水收集池</w:t>
                  </w:r>
                </w:p>
              </w:tc>
              <w:tc>
                <w:tcPr>
                  <w:tcW w:w="654" w:type="pct"/>
                  <w:tcBorders>
                    <w:top w:val="single" w:color="auto" w:sz="4" w:space="0"/>
                    <w:left w:val="single" w:color="auto" w:sz="4" w:space="0"/>
                    <w:bottom w:val="single" w:color="auto" w:sz="4" w:space="0"/>
                    <w:right w:val="single" w:color="auto" w:sz="4" w:space="0"/>
                  </w:tcBorders>
                  <w:vAlign w:val="center"/>
                </w:tcPr>
                <w:p w14:paraId="2227F0DA">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14:paraId="2F18B39C">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258D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2466BA2D">
                  <w:pPr>
                    <w:pStyle w:val="125"/>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293" w:type="pct"/>
                  <w:vMerge w:val="restart"/>
                  <w:tcBorders>
                    <w:left w:val="single" w:color="auto" w:sz="4" w:space="0"/>
                    <w:right w:val="single" w:color="auto" w:sz="4" w:space="0"/>
                  </w:tcBorders>
                  <w:vAlign w:val="center"/>
                </w:tcPr>
                <w:p w14:paraId="35824AD5">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废气</w:t>
                  </w:r>
                </w:p>
              </w:tc>
              <w:tc>
                <w:tcPr>
                  <w:tcW w:w="1188" w:type="pct"/>
                  <w:tcBorders>
                    <w:top w:val="single" w:color="auto" w:sz="4" w:space="0"/>
                    <w:left w:val="single" w:color="auto" w:sz="4" w:space="0"/>
                    <w:bottom w:val="single" w:color="auto" w:sz="4" w:space="0"/>
                    <w:right w:val="single" w:color="auto" w:sz="4" w:space="0"/>
                  </w:tcBorders>
                  <w:vAlign w:val="center"/>
                </w:tcPr>
                <w:p w14:paraId="6F52CCB9">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有组织废气</w:t>
                  </w:r>
                </w:p>
              </w:tc>
              <w:tc>
                <w:tcPr>
                  <w:tcW w:w="2074" w:type="pct"/>
                  <w:tcBorders>
                    <w:top w:val="single" w:color="auto" w:sz="4" w:space="0"/>
                    <w:left w:val="single" w:color="auto" w:sz="4" w:space="0"/>
                    <w:bottom w:val="single" w:color="auto" w:sz="4" w:space="0"/>
                    <w:right w:val="single" w:color="auto" w:sz="4" w:space="0"/>
                  </w:tcBorders>
                  <w:vAlign w:val="center"/>
                </w:tcPr>
                <w:p w14:paraId="357D495A">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项目印刷机、复合机、制袋机上方设置有集气罩，连接集气管道，印刷废气、复合废气及制袋废气收集后一起引至一套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处理后通过22m高排气筒DA001排放。</w:t>
                  </w:r>
                </w:p>
                <w:p w14:paraId="33A67728">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本环评要求熟化工序结束后收集熟化室内的废气并引入RTO废气处理系统处理。</w:t>
                  </w:r>
                </w:p>
              </w:tc>
              <w:tc>
                <w:tcPr>
                  <w:tcW w:w="654" w:type="pct"/>
                  <w:tcBorders>
                    <w:top w:val="single" w:color="auto" w:sz="4" w:space="0"/>
                    <w:left w:val="single" w:color="auto" w:sz="4" w:space="0"/>
                    <w:bottom w:val="single" w:color="auto" w:sz="4" w:space="0"/>
                    <w:right w:val="single" w:color="auto" w:sz="4" w:space="0"/>
                  </w:tcBorders>
                  <w:vAlign w:val="center"/>
                </w:tcPr>
                <w:p w14:paraId="7E0CE989">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eastAsia="宋体" w:cs="Times New Roman"/>
                      <w:color w:val="000000" w:themeColor="text1"/>
                      <w:szCs w:val="20"/>
                      <w:lang w:val="en-US" w:eastAsia="zh-CN"/>
                      <w14:textFill>
                        <w14:solidFill>
                          <w14:schemeClr w14:val="tx1"/>
                        </w14:solidFill>
                      </w14:textFill>
                    </w:rPr>
                    <w:t>200</w:t>
                  </w:r>
                </w:p>
              </w:tc>
              <w:tc>
                <w:tcPr>
                  <w:tcW w:w="450" w:type="pct"/>
                  <w:tcBorders>
                    <w:top w:val="single" w:color="auto" w:sz="4" w:space="0"/>
                    <w:left w:val="single" w:color="auto" w:sz="4" w:space="0"/>
                    <w:bottom w:val="single" w:color="auto" w:sz="4" w:space="0"/>
                    <w:right w:val="single" w:color="auto" w:sz="4" w:space="0"/>
                  </w:tcBorders>
                  <w:vAlign w:val="center"/>
                </w:tcPr>
                <w:p w14:paraId="62070C8D">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14:paraId="44CE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1EBD28CF">
                  <w:pPr>
                    <w:pStyle w:val="125"/>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w:t>
                  </w:r>
                </w:p>
              </w:tc>
              <w:tc>
                <w:tcPr>
                  <w:tcW w:w="293" w:type="pct"/>
                  <w:vMerge w:val="continue"/>
                  <w:tcBorders>
                    <w:left w:val="single" w:color="auto" w:sz="4" w:space="0"/>
                    <w:right w:val="single" w:color="auto" w:sz="4" w:space="0"/>
                  </w:tcBorders>
                  <w:vAlign w:val="center"/>
                </w:tcPr>
                <w:p w14:paraId="0B378205">
                  <w:pPr>
                    <w:pStyle w:val="125"/>
                    <w:pageBreakBefore w:val="0"/>
                    <w:kinsoku/>
                    <w:overflowPunct/>
                    <w:topLinePunct w:val="0"/>
                    <w:bidi w:val="0"/>
                    <w:ind w:left="0" w:leftChars="0" w:right="0"/>
                    <w:rPr>
                      <w:rFonts w:hint="default" w:ascii="Times New Roman" w:hAnsi="Times New Roman" w:eastAsia="宋体" w:cs="Times New Roman"/>
                      <w:b/>
                      <w:bCs/>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3F8EA747">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无组织废气</w:t>
                  </w:r>
                </w:p>
              </w:tc>
              <w:tc>
                <w:tcPr>
                  <w:tcW w:w="2074" w:type="pct"/>
                  <w:tcBorders>
                    <w:top w:val="single" w:color="auto" w:sz="4" w:space="0"/>
                    <w:left w:val="single" w:color="auto" w:sz="4" w:space="0"/>
                    <w:bottom w:val="single" w:color="auto" w:sz="4" w:space="0"/>
                    <w:right w:val="single" w:color="auto" w:sz="4" w:space="0"/>
                  </w:tcBorders>
                  <w:vAlign w:val="center"/>
                </w:tcPr>
                <w:p w14:paraId="558ABCC5">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本项目调墨废气、未捕集无组织废气、异味经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车间加强通风、自然稀释扩散后无组织排放。</w:t>
                  </w:r>
                </w:p>
              </w:tc>
              <w:tc>
                <w:tcPr>
                  <w:tcW w:w="654" w:type="pct"/>
                  <w:tcBorders>
                    <w:top w:val="single" w:color="auto" w:sz="4" w:space="0"/>
                    <w:left w:val="single" w:color="auto" w:sz="4" w:space="0"/>
                    <w:bottom w:val="single" w:color="auto" w:sz="4" w:space="0"/>
                    <w:right w:val="single" w:color="auto" w:sz="4" w:space="0"/>
                  </w:tcBorders>
                  <w:vAlign w:val="center"/>
                </w:tcPr>
                <w:p w14:paraId="3A36D12D">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eastAsia="宋体" w:cs="Times New Roman"/>
                      <w:color w:val="000000" w:themeColor="text1"/>
                      <w:szCs w:val="20"/>
                      <w:lang w:val="en-US" w:eastAsia="zh-CN"/>
                      <w14:textFill>
                        <w14:solidFill>
                          <w14:schemeClr w14:val="tx1"/>
                        </w14:solidFill>
                      </w14:textFill>
                    </w:rPr>
                    <w:t>15</w:t>
                  </w:r>
                </w:p>
              </w:tc>
              <w:tc>
                <w:tcPr>
                  <w:tcW w:w="450" w:type="pct"/>
                  <w:tcBorders>
                    <w:top w:val="single" w:color="auto" w:sz="4" w:space="0"/>
                    <w:left w:val="single" w:color="auto" w:sz="4" w:space="0"/>
                    <w:bottom w:val="single" w:color="auto" w:sz="4" w:space="0"/>
                    <w:right w:val="single" w:color="auto" w:sz="4" w:space="0"/>
                  </w:tcBorders>
                  <w:vAlign w:val="center"/>
                </w:tcPr>
                <w:p w14:paraId="287AE509">
                  <w:pPr>
                    <w:pStyle w:val="125"/>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6A64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794F19AA">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p>
              </w:tc>
              <w:tc>
                <w:tcPr>
                  <w:tcW w:w="293" w:type="pct"/>
                  <w:vMerge w:val="restart"/>
                  <w:tcBorders>
                    <w:left w:val="single" w:color="auto" w:sz="4" w:space="0"/>
                    <w:right w:val="single" w:color="auto" w:sz="4" w:space="0"/>
                  </w:tcBorders>
                  <w:vAlign w:val="center"/>
                </w:tcPr>
                <w:p w14:paraId="2CF6EBA3">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固废</w:t>
                  </w:r>
                </w:p>
              </w:tc>
              <w:tc>
                <w:tcPr>
                  <w:tcW w:w="1188" w:type="pct"/>
                  <w:tcBorders>
                    <w:top w:val="single" w:color="auto" w:sz="4" w:space="0"/>
                    <w:left w:val="single" w:color="auto" w:sz="4" w:space="0"/>
                    <w:bottom w:val="single" w:color="auto" w:sz="4" w:space="0"/>
                    <w:right w:val="single" w:color="auto" w:sz="4" w:space="0"/>
                  </w:tcBorders>
                  <w:vAlign w:val="center"/>
                </w:tcPr>
                <w:p w14:paraId="3E7E9724">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一般固废暂存区</w:t>
                  </w:r>
                </w:p>
              </w:tc>
              <w:tc>
                <w:tcPr>
                  <w:tcW w:w="2074" w:type="pct"/>
                  <w:tcBorders>
                    <w:top w:val="single" w:color="auto" w:sz="4" w:space="0"/>
                    <w:left w:val="single" w:color="auto" w:sz="4" w:space="0"/>
                    <w:bottom w:val="single" w:color="auto" w:sz="4" w:space="0"/>
                    <w:right w:val="single" w:color="auto" w:sz="4" w:space="0"/>
                  </w:tcBorders>
                  <w:vAlign w:val="center"/>
                </w:tcPr>
                <w:p w14:paraId="1E85EDE7">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设置1个约5m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的一般固废暂存区</w:t>
                  </w:r>
                </w:p>
              </w:tc>
              <w:tc>
                <w:tcPr>
                  <w:tcW w:w="654" w:type="pct"/>
                  <w:tcBorders>
                    <w:top w:val="single" w:color="auto" w:sz="4" w:space="0"/>
                    <w:left w:val="single" w:color="auto" w:sz="4" w:space="0"/>
                    <w:bottom w:val="single" w:color="auto" w:sz="4" w:space="0"/>
                    <w:right w:val="single" w:color="auto" w:sz="4" w:space="0"/>
                  </w:tcBorders>
                  <w:vAlign w:val="center"/>
                </w:tcPr>
                <w:p w14:paraId="50C6FAB9">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eastAsia="宋体" w:cs="Times New Roman"/>
                      <w:color w:val="000000" w:themeColor="text1"/>
                      <w:szCs w:val="20"/>
                      <w:lang w:val="en-US" w:eastAsia="zh-CN"/>
                      <w14:textFill>
                        <w14:solidFill>
                          <w14:schemeClr w14:val="tx1"/>
                        </w14:solidFill>
                      </w14:textFill>
                    </w:rPr>
                    <w:t>2</w:t>
                  </w:r>
                </w:p>
              </w:tc>
              <w:tc>
                <w:tcPr>
                  <w:tcW w:w="450" w:type="pct"/>
                  <w:tcBorders>
                    <w:top w:val="single" w:color="auto" w:sz="4" w:space="0"/>
                    <w:left w:val="single" w:color="auto" w:sz="4" w:space="0"/>
                    <w:bottom w:val="single" w:color="auto" w:sz="4" w:space="0"/>
                    <w:right w:val="single" w:color="auto" w:sz="4" w:space="0"/>
                  </w:tcBorders>
                  <w:vAlign w:val="center"/>
                </w:tcPr>
                <w:p w14:paraId="0FDD8E09">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14:paraId="117F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657D27A8">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w:t>
                  </w:r>
                </w:p>
              </w:tc>
              <w:tc>
                <w:tcPr>
                  <w:tcW w:w="293" w:type="pct"/>
                  <w:vMerge w:val="continue"/>
                  <w:tcBorders>
                    <w:left w:val="single" w:color="auto" w:sz="4" w:space="0"/>
                    <w:right w:val="single" w:color="auto" w:sz="4" w:space="0"/>
                  </w:tcBorders>
                  <w:vAlign w:val="center"/>
                </w:tcPr>
                <w:p w14:paraId="045D2F58">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7BAABC2E">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危废暂存间</w:t>
                  </w:r>
                </w:p>
              </w:tc>
              <w:tc>
                <w:tcPr>
                  <w:tcW w:w="2074" w:type="pct"/>
                  <w:tcBorders>
                    <w:top w:val="single" w:color="auto" w:sz="4" w:space="0"/>
                    <w:left w:val="single" w:color="auto" w:sz="4" w:space="0"/>
                    <w:bottom w:val="single" w:color="auto" w:sz="4" w:space="0"/>
                    <w:right w:val="single" w:color="auto" w:sz="4" w:space="0"/>
                  </w:tcBorders>
                  <w:vAlign w:val="center"/>
                </w:tcPr>
                <w:p w14:paraId="7C851517">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设置1个约5m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的危废暂存间</w:t>
                  </w:r>
                </w:p>
              </w:tc>
              <w:tc>
                <w:tcPr>
                  <w:tcW w:w="654" w:type="pct"/>
                  <w:tcBorders>
                    <w:top w:val="single" w:color="auto" w:sz="4" w:space="0"/>
                    <w:left w:val="single" w:color="auto" w:sz="4" w:space="0"/>
                    <w:bottom w:val="single" w:color="auto" w:sz="4" w:space="0"/>
                    <w:right w:val="single" w:color="auto" w:sz="4" w:space="0"/>
                  </w:tcBorders>
                  <w:vAlign w:val="center"/>
                </w:tcPr>
                <w:p w14:paraId="7F7D61D1">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eastAsia="宋体" w:cs="Times New Roman"/>
                      <w:color w:val="000000" w:themeColor="text1"/>
                      <w:szCs w:val="20"/>
                      <w:lang w:val="en-US" w:eastAsia="zh-CN"/>
                      <w14:textFill>
                        <w14:solidFill>
                          <w14:schemeClr w14:val="tx1"/>
                        </w14:solidFill>
                      </w14:textFill>
                    </w:rPr>
                    <w:t>2</w:t>
                  </w:r>
                </w:p>
              </w:tc>
              <w:tc>
                <w:tcPr>
                  <w:tcW w:w="450" w:type="pct"/>
                  <w:tcBorders>
                    <w:top w:val="single" w:color="auto" w:sz="4" w:space="0"/>
                    <w:left w:val="single" w:color="auto" w:sz="4" w:space="0"/>
                    <w:bottom w:val="single" w:color="auto" w:sz="4" w:space="0"/>
                    <w:right w:val="single" w:color="auto" w:sz="4" w:space="0"/>
                  </w:tcBorders>
                  <w:vAlign w:val="center"/>
                </w:tcPr>
                <w:p w14:paraId="3EC74572">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14:paraId="75F9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717E4D89">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w:t>
                  </w:r>
                </w:p>
              </w:tc>
              <w:tc>
                <w:tcPr>
                  <w:tcW w:w="293" w:type="pct"/>
                  <w:vMerge w:val="continue"/>
                  <w:tcBorders>
                    <w:left w:val="single" w:color="auto" w:sz="4" w:space="0"/>
                    <w:right w:val="single" w:color="auto" w:sz="4" w:space="0"/>
                  </w:tcBorders>
                  <w:vAlign w:val="center"/>
                </w:tcPr>
                <w:p w14:paraId="26525125">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374E888B">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生活垃圾收集</w:t>
                  </w:r>
                  <w:r>
                    <w:rPr>
                      <w:rFonts w:hint="default" w:ascii="Times New Roman" w:hAnsi="Times New Roman" w:eastAsia="宋体" w:cs="Times New Roman"/>
                      <w:color w:val="000000" w:themeColor="text1"/>
                      <w:szCs w:val="21"/>
                      <w:lang w:eastAsia="zh-CN"/>
                      <w14:textFill>
                        <w14:solidFill>
                          <w14:schemeClr w14:val="tx1"/>
                        </w14:solidFill>
                      </w14:textFill>
                    </w:rPr>
                    <w:t>桶</w:t>
                  </w:r>
                </w:p>
              </w:tc>
              <w:tc>
                <w:tcPr>
                  <w:tcW w:w="2074" w:type="pct"/>
                  <w:tcBorders>
                    <w:top w:val="single" w:color="auto" w:sz="4" w:space="0"/>
                    <w:left w:val="single" w:color="auto" w:sz="4" w:space="0"/>
                    <w:bottom w:val="single" w:color="auto" w:sz="4" w:space="0"/>
                    <w:right w:val="single" w:color="auto" w:sz="4" w:space="0"/>
                  </w:tcBorders>
                  <w:vAlign w:val="center"/>
                </w:tcPr>
                <w:p w14:paraId="35B8309F">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设置</w:t>
                  </w:r>
                  <w:r>
                    <w:rPr>
                      <w:rFonts w:hint="default" w:ascii="Times New Roman" w:hAnsi="Times New Roman" w:eastAsia="宋体" w:cs="Times New Roman"/>
                      <w:color w:val="000000" w:themeColor="text1"/>
                      <w:szCs w:val="21"/>
                      <w:lang w:val="en-US" w:eastAsia="zh-CN"/>
                      <w14:textFill>
                        <w14:solidFill>
                          <w14:schemeClr w14:val="tx1"/>
                        </w14:solidFill>
                      </w14:textFill>
                    </w:rPr>
                    <w:t>2个</w:t>
                  </w:r>
                  <w:r>
                    <w:rPr>
                      <w:rFonts w:hint="default" w:ascii="Times New Roman" w:hAnsi="Times New Roman" w:eastAsia="宋体" w:cs="Times New Roman"/>
                      <w:color w:val="000000" w:themeColor="text1"/>
                      <w:szCs w:val="21"/>
                      <w14:textFill>
                        <w14:solidFill>
                          <w14:schemeClr w14:val="tx1"/>
                        </w14:solidFill>
                      </w14:textFill>
                    </w:rPr>
                    <w:t>带盖垃圾收集桶</w:t>
                  </w:r>
                </w:p>
              </w:tc>
              <w:tc>
                <w:tcPr>
                  <w:tcW w:w="654" w:type="pct"/>
                  <w:tcBorders>
                    <w:top w:val="single" w:color="auto" w:sz="4" w:space="0"/>
                    <w:left w:val="single" w:color="auto" w:sz="4" w:space="0"/>
                    <w:bottom w:val="single" w:color="auto" w:sz="4" w:space="0"/>
                    <w:right w:val="single" w:color="auto" w:sz="4" w:space="0"/>
                  </w:tcBorders>
                  <w:vAlign w:val="center"/>
                </w:tcPr>
                <w:p w14:paraId="0AD869F2">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eastAsia="宋体" w:cs="Times New Roman"/>
                      <w:color w:val="000000" w:themeColor="text1"/>
                      <w:szCs w:val="20"/>
                      <w:lang w:val="en-US" w:eastAsia="zh-CN"/>
                      <w14:textFill>
                        <w14:solidFill>
                          <w14:schemeClr w14:val="tx1"/>
                        </w14:solidFill>
                      </w14:textFill>
                    </w:rPr>
                    <w:t>0.1</w:t>
                  </w:r>
                </w:p>
              </w:tc>
              <w:tc>
                <w:tcPr>
                  <w:tcW w:w="450" w:type="pct"/>
                  <w:tcBorders>
                    <w:top w:val="single" w:color="auto" w:sz="4" w:space="0"/>
                    <w:left w:val="single" w:color="auto" w:sz="4" w:space="0"/>
                    <w:bottom w:val="single" w:color="auto" w:sz="4" w:space="0"/>
                    <w:right w:val="single" w:color="auto" w:sz="4" w:space="0"/>
                  </w:tcBorders>
                  <w:vAlign w:val="center"/>
                </w:tcPr>
                <w:p w14:paraId="68FB0A46">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14:paraId="1CFB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7AFBC623">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1481" w:type="pct"/>
                  <w:gridSpan w:val="2"/>
                  <w:tcBorders>
                    <w:left w:val="single" w:color="auto" w:sz="4" w:space="0"/>
                    <w:right w:val="single" w:color="auto" w:sz="4" w:space="0"/>
                  </w:tcBorders>
                  <w:vAlign w:val="center"/>
                </w:tcPr>
                <w:p w14:paraId="0F5F5E1E">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噪声治理</w:t>
                  </w:r>
                </w:p>
              </w:tc>
              <w:tc>
                <w:tcPr>
                  <w:tcW w:w="2074" w:type="pct"/>
                  <w:tcBorders>
                    <w:top w:val="single" w:color="auto" w:sz="4" w:space="0"/>
                    <w:left w:val="single" w:color="auto" w:sz="4" w:space="0"/>
                    <w:bottom w:val="single" w:color="auto" w:sz="4" w:space="0"/>
                    <w:right w:val="single" w:color="auto" w:sz="4" w:space="0"/>
                  </w:tcBorders>
                  <w:vAlign w:val="center"/>
                </w:tcPr>
                <w:p w14:paraId="12FA77B0">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项目所有生产设备均置于厂房内，</w:t>
                  </w:r>
                  <w:r>
                    <w:rPr>
                      <w:rFonts w:hint="default" w:ascii="Times New Roman" w:hAnsi="Times New Roman" w:eastAsia="宋体" w:cs="Times New Roman"/>
                      <w:color w:val="000000" w:themeColor="text1"/>
                      <w:sz w:val="21"/>
                      <w:szCs w:val="21"/>
                      <w14:textFill>
                        <w14:solidFill>
                          <w14:schemeClr w14:val="tx1"/>
                        </w14:solidFill>
                      </w14:textFill>
                    </w:rPr>
                    <w:t>选用低噪设备、安装减震垫、厂房隔音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654" w:type="pct"/>
                  <w:tcBorders>
                    <w:top w:val="single" w:color="auto" w:sz="4" w:space="0"/>
                    <w:left w:val="single" w:color="auto" w:sz="4" w:space="0"/>
                    <w:bottom w:val="single" w:color="auto" w:sz="4" w:space="0"/>
                    <w:right w:val="single" w:color="auto" w:sz="4" w:space="0"/>
                  </w:tcBorders>
                  <w:vAlign w:val="center"/>
                </w:tcPr>
                <w:p w14:paraId="61E3A712">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5</w:t>
                  </w:r>
                </w:p>
              </w:tc>
              <w:tc>
                <w:tcPr>
                  <w:tcW w:w="450" w:type="pct"/>
                  <w:tcBorders>
                    <w:top w:val="single" w:color="auto" w:sz="4" w:space="0"/>
                    <w:left w:val="single" w:color="auto" w:sz="4" w:space="0"/>
                    <w:bottom w:val="single" w:color="auto" w:sz="4" w:space="0"/>
                    <w:right w:val="single" w:color="auto" w:sz="4" w:space="0"/>
                  </w:tcBorders>
                  <w:vAlign w:val="center"/>
                </w:tcPr>
                <w:p w14:paraId="0E34F0C9">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p>
              </w:tc>
            </w:tr>
            <w:tr w14:paraId="10DE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14:paraId="79F4D4EA">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w:t>
                  </w:r>
                </w:p>
              </w:tc>
              <w:tc>
                <w:tcPr>
                  <w:tcW w:w="1481" w:type="pct"/>
                  <w:gridSpan w:val="2"/>
                  <w:tcBorders>
                    <w:left w:val="single" w:color="auto" w:sz="4" w:space="0"/>
                    <w:right w:val="single" w:color="auto" w:sz="4" w:space="0"/>
                  </w:tcBorders>
                  <w:vAlign w:val="center"/>
                </w:tcPr>
                <w:p w14:paraId="262D801A">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土壤及地下水污染防治措施</w:t>
                  </w:r>
                </w:p>
              </w:tc>
              <w:tc>
                <w:tcPr>
                  <w:tcW w:w="2074" w:type="pct"/>
                  <w:tcBorders>
                    <w:top w:val="single" w:color="auto" w:sz="4" w:space="0"/>
                    <w:left w:val="single" w:color="auto" w:sz="4" w:space="0"/>
                    <w:bottom w:val="single" w:color="auto" w:sz="4" w:space="0"/>
                    <w:right w:val="single" w:color="auto" w:sz="4" w:space="0"/>
                  </w:tcBorders>
                  <w:vAlign w:val="center"/>
                </w:tcPr>
                <w:p w14:paraId="42CAB1ED">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分区防渗措施</w:t>
                  </w:r>
                </w:p>
              </w:tc>
              <w:tc>
                <w:tcPr>
                  <w:tcW w:w="654" w:type="pct"/>
                  <w:tcBorders>
                    <w:top w:val="single" w:color="auto" w:sz="4" w:space="0"/>
                    <w:left w:val="single" w:color="auto" w:sz="4" w:space="0"/>
                    <w:bottom w:val="single" w:color="auto" w:sz="4" w:space="0"/>
                    <w:right w:val="single" w:color="auto" w:sz="4" w:space="0"/>
                  </w:tcBorders>
                  <w:vAlign w:val="center"/>
                </w:tcPr>
                <w:p w14:paraId="66FACFB7">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10</w:t>
                  </w:r>
                </w:p>
              </w:tc>
              <w:tc>
                <w:tcPr>
                  <w:tcW w:w="450" w:type="pct"/>
                  <w:tcBorders>
                    <w:top w:val="single" w:color="auto" w:sz="4" w:space="0"/>
                    <w:left w:val="single" w:color="auto" w:sz="4" w:space="0"/>
                    <w:bottom w:val="single" w:color="auto" w:sz="4" w:space="0"/>
                    <w:right w:val="single" w:color="auto" w:sz="4" w:space="0"/>
                  </w:tcBorders>
                  <w:vAlign w:val="center"/>
                </w:tcPr>
                <w:p w14:paraId="6F329E87">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p>
              </w:tc>
            </w:tr>
            <w:tr w14:paraId="57BB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5" w:type="pct"/>
                  <w:gridSpan w:val="4"/>
                  <w:tcBorders>
                    <w:top w:val="single" w:color="auto" w:sz="4" w:space="0"/>
                    <w:left w:val="single" w:color="auto" w:sz="4" w:space="0"/>
                    <w:bottom w:val="single" w:color="auto" w:sz="4" w:space="0"/>
                    <w:right w:val="single" w:color="auto" w:sz="4" w:space="0"/>
                  </w:tcBorders>
                  <w:vAlign w:val="center"/>
                </w:tcPr>
                <w:p w14:paraId="01EDB674">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合计</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11450E9E">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244.1</w:t>
                  </w:r>
                </w:p>
              </w:tc>
              <w:tc>
                <w:tcPr>
                  <w:tcW w:w="450" w:type="pct"/>
                  <w:tcBorders>
                    <w:top w:val="single" w:color="auto" w:sz="4" w:space="0"/>
                    <w:left w:val="single" w:color="auto" w:sz="4" w:space="0"/>
                    <w:bottom w:val="single" w:color="auto" w:sz="4" w:space="0"/>
                    <w:right w:val="single" w:color="auto" w:sz="4" w:space="0"/>
                  </w:tcBorders>
                  <w:vAlign w:val="center"/>
                </w:tcPr>
                <w:p w14:paraId="66C928CD">
                  <w:pPr>
                    <w:pStyle w:val="125"/>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bl>
          <w:p w14:paraId="7303942F">
            <w:pPr>
              <w:pStyle w:val="90"/>
              <w:pageBreakBefore w:val="0"/>
              <w:kinsoku/>
              <w:overflowPunct/>
              <w:topLinePunct w:val="0"/>
              <w:bidi w:val="0"/>
              <w:spacing w:line="360" w:lineRule="auto"/>
              <w:ind w:left="0" w:leftChars="0" w:right="0"/>
              <w:rPr>
                <w:rFonts w:hint="default" w:ascii="Times New Roman" w:hAnsi="Times New Roman" w:eastAsia="宋体" w:cs="Times New Roman"/>
                <w:b/>
                <w:bCs/>
                <w:snapToGrid w:val="0"/>
                <w:color w:val="000000" w:themeColor="text1"/>
                <w:sz w:val="21"/>
                <w:szCs w:val="21"/>
                <w14:textFill>
                  <w14:solidFill>
                    <w14:schemeClr w14:val="tx1"/>
                  </w14:solidFill>
                </w14:textFill>
              </w:rPr>
            </w:pPr>
          </w:p>
        </w:tc>
      </w:tr>
      <w:tr w14:paraId="56A36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3" w:type="dxa"/>
            <w:vAlign w:val="center"/>
          </w:tcPr>
          <w:p w14:paraId="16AD3366">
            <w:pPr>
              <w:pStyle w:val="28"/>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工艺流程和产排污环节</w:t>
            </w:r>
          </w:p>
        </w:tc>
        <w:tc>
          <w:tcPr>
            <w:tcW w:w="8635" w:type="dxa"/>
          </w:tcPr>
          <w:p w14:paraId="6F242EB3">
            <w:pPr>
              <w:pageBreakBefore w:val="0"/>
              <w:kinsoku/>
              <w:overflowPunct/>
              <w:topLinePunct w:val="0"/>
              <w:bidi w:val="0"/>
              <w:spacing w:line="360" w:lineRule="auto"/>
              <w:ind w:left="0" w:leftChars="0" w:right="0"/>
              <w:rPr>
                <w:rFonts w:hint="default" w:ascii="Times New Roman" w:hAnsi="Times New Roman" w:eastAsia="宋体" w:cs="Times New Roman"/>
                <w:b/>
                <w:color w:val="000000" w:themeColor="text1"/>
                <w:sz w:val="24"/>
                <w14:textFill>
                  <w14:solidFill>
                    <w14:schemeClr w14:val="tx1"/>
                  </w14:solidFill>
                </w14:textFill>
              </w:rPr>
            </w:pPr>
            <w:bookmarkStart w:id="7" w:name="_Toc16932"/>
            <w:r>
              <w:rPr>
                <w:rFonts w:hint="default" w:ascii="Times New Roman" w:hAnsi="Times New Roman" w:eastAsia="宋体" w:cs="Times New Roman"/>
                <w:b/>
                <w:color w:val="000000" w:themeColor="text1"/>
                <w:sz w:val="24"/>
                <w14:textFill>
                  <w14:solidFill>
                    <w14:schemeClr w14:val="tx1"/>
                  </w14:solidFill>
                </w14:textFill>
              </w:rPr>
              <w:t>一、施工期工艺流程和产排污节点</w:t>
            </w:r>
          </w:p>
          <w:p w14:paraId="0E8CC36D">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根据现场踏勘，项目租用现场厂房进行建设，主要为厂房装修、设备安装及配套设施建设等，施工期工艺简单，施工时间预计为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6个月</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1E5E99BD">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项目施工期产生的污染物主要为施工废水、扬尘、固废、噪声及施工人员生活污水、生活垃圾等。</w:t>
            </w:r>
          </w:p>
          <w:p w14:paraId="6C9B1423">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项目所在地交通方便，项目施工人员预计约为20人/d，施工区不设施工营地，施工人员为周边村民，均不在施工场地食宿。</w:t>
            </w:r>
          </w:p>
          <w:p w14:paraId="694A68A9">
            <w:pPr>
              <w:pStyle w:val="45"/>
              <w:pageBreakBefore w:val="0"/>
              <w:kinsoku/>
              <w:overflowPunct/>
              <w:topLinePunct w:val="0"/>
              <w:bidi w:val="0"/>
              <w:ind w:left="0" w:leftChars="0" w:right="0" w:firstLine="48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主要施工流程及产污环节详见图2-2。</w:t>
            </w:r>
          </w:p>
          <w:p w14:paraId="317B5FAC">
            <w:pPr>
              <w:pStyle w:val="45"/>
              <w:pageBreakBefore w:val="0"/>
              <w:kinsoku/>
              <w:overflowPunct/>
              <w:topLinePunct w:val="0"/>
              <w:bidi w:val="0"/>
              <w:ind w:left="0" w:leftChars="0" w:right="0" w:firstLine="480"/>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object>
                <v:shape id="_x0000_i1027" o:spt="75" type="#_x0000_t75" style="height:64.5pt;width:374.3pt;" o:ole="t" filled="f" o:preferrelative="t" stroked="f" coordsize="21600,21600">
                  <v:path/>
                  <v:fill on="f" focussize="0,0"/>
                  <v:stroke on="f"/>
                  <v:imagedata r:id="rId22" o:title=""/>
                  <o:lock v:ext="edit" aspectratio="f"/>
                  <w10:wrap type="none"/>
                  <w10:anchorlock/>
                </v:shape>
                <o:OLEObject Type="Embed" ProgID="Visio.Drawing.11" ShapeID="_x0000_i1027" DrawAspect="Content" ObjectID="_1468075727" r:id="rId21">
                  <o:LockedField>false</o:LockedField>
                </o:OLEObject>
              </w:object>
            </w:r>
          </w:p>
          <w:p w14:paraId="0410C502">
            <w:pPr>
              <w:pStyle w:val="123"/>
              <w:pageBreakBefore w:val="0"/>
              <w:widowControl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图2-2  施工期工艺流程图</w:t>
            </w:r>
          </w:p>
          <w:p w14:paraId="6FB418BB">
            <w:pPr>
              <w:pageBreakBefore w:val="0"/>
              <w:kinsoku/>
              <w:overflowPunct/>
              <w:topLinePunct w:val="0"/>
              <w:bidi w:val="0"/>
              <w:spacing w:line="360" w:lineRule="auto"/>
              <w:ind w:left="0" w:leftChars="0" w:right="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二、运营期工艺流程和产排污节点</w:t>
            </w:r>
          </w:p>
          <w:p w14:paraId="16EBE1D7">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具体生产工艺流程见下图。</w:t>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sz w:val="24"/>
                <w:lang w:bidi="ar"/>
                <w14:textFill>
                  <w14:solidFill>
                    <w14:schemeClr w14:val="tx1"/>
                  </w14:solidFill>
                </w14:textFill>
              </w:rPr>
              <w:br w:type="textWrapping"/>
            </w:r>
          </w:p>
          <w:p w14:paraId="69038BD6">
            <w:pPr>
              <w:pStyle w:val="129"/>
              <w:pageBreakBefore w:val="0"/>
              <w:kinsoku/>
              <w:overflowPunct/>
              <w:topLinePunct w:val="0"/>
              <w:bidi w:val="0"/>
              <w:spacing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object>
                <v:shape id="_x0000_i1028" o:spt="75" type="#_x0000_t75" style="height:485pt;width:420.6pt;" o:ole="t" filled="f" o:preferrelative="t" stroked="f" coordsize="21600,21600">
                  <v:path/>
                  <v:fill on="f" focussize="0,0"/>
                  <v:stroke on="f"/>
                  <v:imagedata r:id="rId24" o:title=""/>
                  <o:lock v:ext="edit" aspectratio="f"/>
                  <w10:wrap type="none"/>
                  <w10:anchorlock/>
                </v:shape>
                <o:OLEObject Type="Embed" ProgID="Visio.Drawing.11" ShapeID="_x0000_i1028" DrawAspect="Content" ObjectID="_1468075728" r:id="rId23">
                  <o:LockedField>false</o:LockedField>
                </o:OLEObject>
              </w:object>
            </w:r>
          </w:p>
          <w:p w14:paraId="0AFBBA0E">
            <w:pPr>
              <w:pStyle w:val="129"/>
              <w:pageBreakBefore w:val="0"/>
              <w:kinsoku/>
              <w:overflowPunct/>
              <w:topLinePunct w:val="0"/>
              <w:bidi w:val="0"/>
              <w:spacing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图2-3  运营期生产工艺流程及产污节点示意图</w:t>
            </w:r>
          </w:p>
          <w:bookmarkEnd w:id="7"/>
          <w:p w14:paraId="10F627F7">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工艺流程说明：</w:t>
            </w:r>
          </w:p>
          <w:p w14:paraId="2DBE66AA">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bCs/>
                <w:color w:val="000000" w:themeColor="text1"/>
                <w:sz w:val="24"/>
                <w:szCs w:val="24"/>
                <w:lang w:val="zh-CN"/>
                <w14:textFill>
                  <w14:solidFill>
                    <w14:schemeClr w14:val="tx1"/>
                  </w14:solidFill>
                </w14:textFill>
              </w:rPr>
            </w:pPr>
            <w:r>
              <w:rPr>
                <w:rFonts w:hint="default" w:ascii="Times New Roman" w:hAnsi="Times New Roman" w:eastAsia="宋体" w:cs="Times New Roman"/>
                <w:b/>
                <w:bCs/>
                <w:color w:val="000000" w:themeColor="text1"/>
                <w:sz w:val="24"/>
                <w:szCs w:val="24"/>
                <w:lang w:val="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zh-CN"/>
                <w14:textFill>
                  <w14:solidFill>
                    <w14:schemeClr w14:val="tx1"/>
                  </w14:solidFill>
                </w14:textFill>
              </w:rPr>
              <w:t>）塑料袋、新能源材料工艺流程</w:t>
            </w:r>
          </w:p>
          <w:p w14:paraId="5440DCE0">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1）印刷：</w:t>
            </w:r>
            <w:r>
              <w:rPr>
                <w:rFonts w:hint="default" w:ascii="Times New Roman" w:hAnsi="Times New Roman" w:eastAsia="宋体" w:cs="Times New Roman"/>
                <w:color w:val="000000" w:themeColor="text1"/>
                <w:sz w:val="24"/>
                <w:lang w:val="en-US" w:eastAsia="zh-CN" w:bidi="ar"/>
                <w14:textFill>
                  <w14:solidFill>
                    <w14:schemeClr w14:val="tx1"/>
                  </w14:solidFill>
                </w14:textFill>
              </w:rPr>
              <w:t>根据客户需求对包装袋进行印刷，印刷方式为凹版印刷，所用油墨为凹版油墨，塑料袋生产时需先在外层薄膜上印刷上文字或图案。印刷过程采用电脑控制同步电机通过减速传动滚珠丝杆调节，进行自动套色。印刷油墨附着于薄膜上后经印刷机自带的电烘干机进行烘干，烘干温度为80℃，将油墨烘干并收卷，后转至后续复合工段进行复合。</w:t>
            </w:r>
          </w:p>
          <w:p w14:paraId="331DAD9C">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凹版印刷原理：</w:t>
            </w:r>
            <w:r>
              <w:rPr>
                <w:rFonts w:hint="default" w:ascii="Times New Roman" w:hAnsi="Times New Roman" w:eastAsia="宋体" w:cs="Times New Roman"/>
                <w:color w:val="000000" w:themeColor="text1"/>
                <w:sz w:val="24"/>
                <w:lang w:val="en-US" w:eastAsia="zh-CN" w:bidi="ar"/>
                <w14:textFill>
                  <w14:solidFill>
                    <w14:schemeClr w14:val="tx1"/>
                  </w14:solidFill>
                </w14:textFill>
              </w:rPr>
              <w:t>凹版印刷是使整个印版表面涂满油墨，然后用特制的刮墨机构，把空白部分的油墨去除干净，使油墨只存留在图文部分的网穴之中，再在较大的压力作用下，将油墨转移到承印物表面，获得印刷品。凹版印刷属于直接印刷。印版的图文部分凹陷，且凹陷程度随图像的层次有深浅的不同，印版的空白部分凸起，并在同一平面上。</w:t>
            </w:r>
          </w:p>
          <w:p w14:paraId="6E825909">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印刷过程中会产生一定的有机废气，设备运行时会产生一定的噪声。每批次印刷作业结束或需更换油墨颜色时，需对印刷版进行清洁，清洁后会有废抹布产生。</w:t>
            </w:r>
          </w:p>
          <w:p w14:paraId="152C39FC">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2）复合：</w:t>
            </w:r>
            <w:r>
              <w:rPr>
                <w:rFonts w:hint="default" w:ascii="Times New Roman" w:hAnsi="Times New Roman" w:eastAsia="宋体" w:cs="Times New Roman"/>
                <w:color w:val="000000" w:themeColor="text1"/>
                <w:sz w:val="24"/>
                <w:lang w:val="en-US" w:eastAsia="zh-CN" w:bidi="ar"/>
                <w14:textFill>
                  <w14:solidFill>
                    <w14:schemeClr w14:val="tx1"/>
                  </w14:solidFill>
                </w14:textFill>
              </w:rPr>
              <w:t>本项目复合方式分为干式复合和无溶剂复合。干式复合和无溶剂复合由于复合工艺不同，产品粘粘度和剥离力不同，根据客户需求采用不同的复合方式。</w:t>
            </w:r>
          </w:p>
          <w:p w14:paraId="47134B04">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无溶剂复合：</w:t>
            </w:r>
            <w:r>
              <w:rPr>
                <w:rFonts w:hint="default" w:ascii="Times New Roman" w:hAnsi="Times New Roman" w:eastAsia="宋体" w:cs="Times New Roman"/>
                <w:color w:val="000000" w:themeColor="text1"/>
                <w:sz w:val="24"/>
                <w:lang w:val="en-US" w:eastAsia="zh-CN" w:bidi="ar"/>
                <w14:textFill>
                  <w14:solidFill>
                    <w14:schemeClr w14:val="tx1"/>
                  </w14:solidFill>
                </w14:textFill>
              </w:rPr>
              <w:t xml:space="preserve">铝箔、OPP膜、PET膜、CPP膜、尼龙膜、PE膜根据产品需要进行排列组合后，通过无溶剂复合机复合，复合机的一端设放卷装置，均匀牵引塑料膜上料，通过中部上胶辊将聚氨酯胶均匀涂于塑料膜表面，在与另外一层塑料膜复合在一起即可。 </w:t>
            </w:r>
          </w:p>
          <w:p w14:paraId="1AB1A3DA">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干式复合：</w:t>
            </w:r>
            <w:r>
              <w:rPr>
                <w:rFonts w:hint="default" w:ascii="Times New Roman" w:hAnsi="Times New Roman" w:eastAsia="宋体" w:cs="Times New Roman"/>
                <w:color w:val="000000" w:themeColor="text1"/>
                <w:sz w:val="24"/>
                <w:lang w:val="en-US" w:eastAsia="zh-CN" w:bidi="ar"/>
                <w14:textFill>
                  <w14:solidFill>
                    <w14:schemeClr w14:val="tx1"/>
                  </w14:solidFill>
                </w14:textFill>
              </w:rPr>
              <w:t>利用干式复合机对彩印后的塑料薄膜（外膜）与塑料薄膜（内膜）之间涂上一层聚氨酯胶黏剂，然后再进入复合机自带的烘干系统烘干，将内膜和外膜复合成一体，最后收卷成筒。</w:t>
            </w:r>
          </w:p>
          <w:p w14:paraId="7D92FF2B">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保温熟化：</w:t>
            </w:r>
            <w:r>
              <w:rPr>
                <w:rFonts w:hint="default" w:ascii="Times New Roman" w:hAnsi="Times New Roman" w:eastAsia="宋体" w:cs="Times New Roman"/>
                <w:color w:val="000000" w:themeColor="text1"/>
                <w:sz w:val="24"/>
                <w:lang w:val="en-US" w:eastAsia="zh-CN" w:bidi="ar"/>
                <w14:textFill>
                  <w14:solidFill>
                    <w14:schemeClr w14:val="tx1"/>
                  </w14:solidFill>
                </w14:textFill>
              </w:rPr>
              <w:t>在熟化箱内加热使得胶粘剂中 A、B 组分发生交联反应。将复合好的塑料膜放置在的熟化箱进行保温熟化，熟化箱采用电加热进行固化，熟化时间12~72h，熟化温度为70~100℃，每台熟化箱可烘干约2吨塑料膜。</w:t>
            </w:r>
          </w:p>
          <w:p w14:paraId="10EB8A8B">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固化原理：</w:t>
            </w:r>
            <w:r>
              <w:rPr>
                <w:rFonts w:hint="default" w:ascii="Times New Roman" w:hAnsi="Times New Roman" w:eastAsia="宋体" w:cs="Times New Roman"/>
                <w:color w:val="000000" w:themeColor="text1"/>
                <w:sz w:val="24"/>
                <w:lang w:val="en-US" w:eastAsia="zh-CN" w:bidi="ar"/>
                <w14:textFill>
                  <w14:solidFill>
                    <w14:schemeClr w14:val="tx1"/>
                  </w14:solidFill>
                </w14:textFill>
              </w:rPr>
              <w:t xml:space="preserve">聚氨酯胶粘剂中A组份与B组份按照一定比例混合后发生氨酯化反应而形成交联大分子，完成固化。 </w:t>
            </w:r>
          </w:p>
          <w:p w14:paraId="3B04A15B">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4）分切：</w:t>
            </w:r>
            <w:r>
              <w:rPr>
                <w:rFonts w:hint="default" w:ascii="Times New Roman" w:hAnsi="Times New Roman" w:eastAsia="宋体" w:cs="Times New Roman"/>
                <w:color w:val="000000" w:themeColor="text1"/>
                <w:sz w:val="24"/>
                <w:lang w:val="en-US" w:eastAsia="zh-CN" w:bidi="ar"/>
                <w14:textFill>
                  <w14:solidFill>
                    <w14:schemeClr w14:val="tx1"/>
                  </w14:solidFill>
                </w14:textFill>
              </w:rPr>
              <w:t xml:space="preserve">成卷的复合塑料膜在制袋前需用分切机将多余的塑料膜切掉，根据客户需求裁剪成所需的尺寸大小，项目分切机均采用冷刀切割。此过程会产生一定的边角料及残次品，设备运行会产生一定的噪声。 </w:t>
            </w:r>
          </w:p>
          <w:p w14:paraId="0F52ABCC">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5）制袋：</w:t>
            </w:r>
            <w:r>
              <w:rPr>
                <w:rFonts w:hint="default" w:ascii="Times New Roman" w:hAnsi="Times New Roman" w:eastAsia="宋体" w:cs="Times New Roman"/>
                <w:color w:val="000000" w:themeColor="text1"/>
                <w:sz w:val="24"/>
                <w:lang w:val="en-US" w:eastAsia="zh-CN" w:bidi="ar"/>
                <w14:textFill>
                  <w14:solidFill>
                    <w14:schemeClr w14:val="tx1"/>
                  </w14:solidFill>
                </w14:textFill>
              </w:rPr>
              <w:t>分切后的塑料膜进入制袋机进行制袋。制袋机对塑料膜分别进行对折、封边、封底（采用电加热，温度约为 150℃）等工序后，即为项目产品塑料包装袋。经检验合格后即为成品。制袋工序会产生一定的有机废气。</w:t>
            </w:r>
          </w:p>
        </w:tc>
      </w:tr>
      <w:tr w14:paraId="13AB0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723" w:type="dxa"/>
            <w:vAlign w:val="center"/>
          </w:tcPr>
          <w:p w14:paraId="55911430">
            <w:pPr>
              <w:pStyle w:val="28"/>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Cs/>
                <w:color w:val="000000" w:themeColor="text1"/>
                <w:kern w:val="2"/>
                <w:szCs w:val="24"/>
                <w14:textFill>
                  <w14:solidFill>
                    <w14:schemeClr w14:val="tx1"/>
                  </w14:solidFill>
                </w14:textFill>
              </w:rPr>
            </w:pPr>
          </w:p>
          <w:p w14:paraId="41434308">
            <w:pPr>
              <w:pStyle w:val="28"/>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Cs/>
                <w:color w:val="000000" w:themeColor="text1"/>
                <w:kern w:val="2"/>
                <w:szCs w:val="24"/>
                <w14:textFill>
                  <w14:solidFill>
                    <w14:schemeClr w14:val="tx1"/>
                  </w14:solidFill>
                </w14:textFill>
              </w:rPr>
            </w:pPr>
          </w:p>
          <w:p w14:paraId="510CB125">
            <w:pPr>
              <w:pStyle w:val="28"/>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Cs/>
                <w:color w:val="000000" w:themeColor="text1"/>
                <w:kern w:val="2"/>
                <w:szCs w:val="24"/>
                <w14:textFill>
                  <w14:solidFill>
                    <w14:schemeClr w14:val="tx1"/>
                  </w14:solidFill>
                </w14:textFill>
              </w:rPr>
            </w:pPr>
          </w:p>
          <w:p w14:paraId="793083E1">
            <w:pPr>
              <w:pStyle w:val="28"/>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Cs/>
                <w:color w:val="000000" w:themeColor="text1"/>
                <w:kern w:val="2"/>
                <w:szCs w:val="24"/>
                <w14:textFill>
                  <w14:solidFill>
                    <w14:schemeClr w14:val="tx1"/>
                  </w14:solidFill>
                </w14:textFill>
              </w:rPr>
            </w:pPr>
          </w:p>
          <w:p w14:paraId="13D8436F">
            <w:pPr>
              <w:pStyle w:val="28"/>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Cs w:val="24"/>
                <w14:textFill>
                  <w14:solidFill>
                    <w14:schemeClr w14:val="tx1"/>
                  </w14:solidFill>
                </w14:textFill>
              </w:rPr>
              <w:t>与项目有关的原有环境污染问题</w:t>
            </w:r>
          </w:p>
        </w:tc>
        <w:tc>
          <w:tcPr>
            <w:tcW w:w="8635" w:type="dxa"/>
          </w:tcPr>
          <w:p w14:paraId="4E0E5BB0">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zh-CN"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zh-CN" w:eastAsia="zh-CN" w:bidi="ar"/>
                <w14:textFill>
                  <w14:solidFill>
                    <w14:schemeClr w14:val="tx1"/>
                  </w14:solidFill>
                </w14:textFill>
              </w:rPr>
              <w:t>本</w:t>
            </w:r>
            <w:r>
              <w:rPr>
                <w:rFonts w:hint="default" w:ascii="Times New Roman" w:hAnsi="Times New Roman" w:eastAsia="宋体" w:cs="Times New Roman"/>
                <w:color w:val="000000" w:themeColor="text1"/>
                <w:sz w:val="24"/>
                <w:lang w:val="zh-CN" w:eastAsia="zh-CN" w:bidi="ar"/>
                <w14:textFill>
                  <w14:solidFill>
                    <w14:schemeClr w14:val="tx1"/>
                  </w14:solidFill>
                </w14:textFill>
              </w:rPr>
              <w:t>项目租用</w:t>
            </w:r>
            <w:r>
              <w:rPr>
                <w:rFonts w:hint="default" w:ascii="Times New Roman" w:hAnsi="Times New Roman" w:eastAsia="宋体" w:cs="Times New Roman"/>
                <w:color w:val="000000" w:themeColor="text1"/>
                <w:sz w:val="24"/>
                <w:lang w:val="en-US" w:eastAsia="zh-CN" w:bidi="ar"/>
                <w14:textFill>
                  <w14:solidFill>
                    <w14:schemeClr w14:val="tx1"/>
                  </w14:solidFill>
                </w14:textFill>
              </w:rPr>
              <w:t>玉溪高新技术产业开发区龙泉片区内现有厂房进行建设。</w:t>
            </w:r>
          </w:p>
          <w:p w14:paraId="76193476">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zh-CN" w:eastAsia="zh-CN" w:bidi="ar"/>
                <w14:textFill>
                  <w14:solidFill>
                    <w14:schemeClr w14:val="tx1"/>
                  </w14:solidFill>
                </w14:textFill>
              </w:rPr>
            </w:pPr>
            <w:r>
              <w:rPr>
                <w:rFonts w:hint="default" w:ascii="Times New Roman" w:hAnsi="Times New Roman" w:eastAsia="宋体" w:cs="Times New Roman"/>
                <w:color w:val="000000" w:themeColor="text1"/>
                <w:sz w:val="24"/>
                <w:lang w:val="zh-CN" w:eastAsia="zh-CN" w:bidi="ar"/>
                <w14:textFill>
                  <w14:solidFill>
                    <w14:schemeClr w14:val="tx1"/>
                  </w14:solidFill>
                </w14:textFill>
              </w:rPr>
              <w:t>根据现场踏勘，现有厂房内为空置状态，无原有环境污染问题</w:t>
            </w:r>
            <w:r>
              <w:rPr>
                <w:rFonts w:hint="default" w:ascii="Times New Roman" w:hAnsi="Times New Roman" w:eastAsia="宋体" w:cs="Times New Roman"/>
                <w:color w:val="000000" w:themeColor="text1"/>
                <w:sz w:val="24"/>
                <w:lang w:val="en-US" w:eastAsia="zh-CN" w:bidi="ar"/>
                <w14:textFill>
                  <w14:solidFill>
                    <w14:schemeClr w14:val="tx1"/>
                  </w14:solidFill>
                </w14:textFill>
              </w:rPr>
              <w:t>。</w:t>
            </w:r>
          </w:p>
          <w:p w14:paraId="0EC3FF56">
            <w:pPr>
              <w:keepNext w:val="0"/>
              <w:keepLines w:val="0"/>
              <w:pageBreakBefore w:val="0"/>
              <w:widowControl w:val="0"/>
              <w:kinsoku/>
              <w:wordWrap w:val="0"/>
              <w:overflowPunct/>
              <w:topLinePunct w:val="0"/>
              <w:autoSpaceDE/>
              <w:autoSpaceDN/>
              <w:bidi w:val="0"/>
              <w:ind w:left="0" w:leftChars="0" w:right="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br w:type="textWrapping"/>
            </w:r>
          </w:p>
        </w:tc>
      </w:tr>
    </w:tbl>
    <w:p w14:paraId="59E52F5F">
      <w:pPr>
        <w:pStyle w:val="3"/>
        <w:pageBreakBefore w:val="0"/>
        <w:kinsoku/>
        <w:overflowPunct/>
        <w:topLinePunct w:val="0"/>
        <w:bidi w:val="0"/>
        <w:spacing w:before="0" w:after="0"/>
        <w:ind w:left="0" w:leftChars="0" w:right="0"/>
        <w:jc w:val="both"/>
        <w:rPr>
          <w:rFonts w:hint="default" w:ascii="Times New Roman" w:hAnsi="Times New Roman" w:eastAsia="宋体"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3DDAB622">
      <w:pPr>
        <w:pStyle w:val="28"/>
        <w:pageBreakBefore w:val="0"/>
        <w:kinsoku/>
        <w:overflowPunct/>
        <w:topLinePunct w:val="0"/>
        <w:bidi w:val="0"/>
        <w:adjustRightInd w:val="0"/>
        <w:snapToGrid w:val="0"/>
        <w:spacing w:before="0" w:beforeAutospacing="0" w:after="0" w:afterAutospacing="0"/>
        <w:ind w:left="0" w:leftChars="0" w:right="0"/>
        <w:jc w:val="center"/>
        <w:outlineLvl w:val="0"/>
        <w:rPr>
          <w:rFonts w:hint="default" w:ascii="Times New Roman" w:hAnsi="Times New Roman" w:eastAsia="宋体" w:cs="Times New Roman"/>
          <w:b/>
          <w:bCs/>
          <w:snapToGrid w:val="0"/>
          <w:color w:val="000000" w:themeColor="text1"/>
          <w:sz w:val="30"/>
          <w:szCs w:val="30"/>
          <w14:textFill>
            <w14:solidFill>
              <w14:schemeClr w14:val="tx1"/>
            </w14:solidFill>
          </w14:textFill>
        </w:rPr>
      </w:pPr>
      <w:bookmarkStart w:id="8" w:name="_Toc7404"/>
      <w:bookmarkStart w:id="9" w:name="_Toc30051"/>
      <w:r>
        <w:rPr>
          <w:rFonts w:hint="default" w:ascii="Times New Roman" w:hAnsi="Times New Roman" w:eastAsia="宋体" w:cs="Times New Roman"/>
          <w:b/>
          <w:bCs/>
          <w:snapToGrid w:val="0"/>
          <w:color w:val="000000" w:themeColor="text1"/>
          <w:sz w:val="30"/>
          <w:szCs w:val="30"/>
          <w14:textFill>
            <w14:solidFill>
              <w14:schemeClr w14:val="tx1"/>
            </w14:solidFill>
          </w14:textFill>
        </w:rPr>
        <w:t>三、区域环境质量现状、环境保护目标及评价标准</w:t>
      </w:r>
      <w:bookmarkEnd w:id="8"/>
      <w:bookmarkEnd w:id="9"/>
    </w:p>
    <w:tbl>
      <w:tblPr>
        <w:tblStyle w:val="32"/>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8321"/>
      </w:tblGrid>
      <w:tr w14:paraId="2948F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1DB9B9AB">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区域</w:t>
            </w:r>
          </w:p>
          <w:p w14:paraId="4946D031">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w:t>
            </w:r>
          </w:p>
          <w:p w14:paraId="18418F5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质量</w:t>
            </w:r>
          </w:p>
          <w:p w14:paraId="4649E954">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现状</w:t>
            </w:r>
          </w:p>
        </w:tc>
        <w:tc>
          <w:tcPr>
            <w:tcW w:w="8321" w:type="dxa"/>
            <w:vAlign w:val="center"/>
          </w:tcPr>
          <w:p w14:paraId="4FD02A8D">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1、环境空气质量现状</w:t>
            </w:r>
          </w:p>
          <w:p w14:paraId="0E545A9E">
            <w:pPr>
              <w:pageBreakBefore w:val="0"/>
              <w:kinsoku/>
              <w:overflowPunct/>
              <w:topLinePunct w:val="0"/>
              <w:bidi w:val="0"/>
              <w:spacing w:line="360" w:lineRule="auto"/>
              <w:ind w:left="0" w:leftChars="0" w:right="0" w:firstLine="458" w:firstLineChars="200"/>
              <w:rPr>
                <w:rFonts w:hint="default" w:ascii="Times New Roman" w:hAnsi="Times New Roman" w:eastAsia="宋体" w:cs="Times New Roman"/>
                <w:b/>
                <w:bCs/>
                <w:color w:val="000000" w:themeColor="text1"/>
                <w:spacing w:val="-6"/>
                <w:sz w:val="24"/>
                <w14:textFill>
                  <w14:solidFill>
                    <w14:schemeClr w14:val="tx1"/>
                  </w14:solidFill>
                </w14:textFill>
              </w:rPr>
            </w:pPr>
            <w:r>
              <w:rPr>
                <w:rFonts w:hint="default" w:ascii="Times New Roman" w:hAnsi="Times New Roman" w:eastAsia="宋体" w:cs="Times New Roman"/>
                <w:b/>
                <w:bCs/>
                <w:color w:val="000000" w:themeColor="text1"/>
                <w:spacing w:val="-6"/>
                <w:sz w:val="24"/>
                <w14:textFill>
                  <w14:solidFill>
                    <w14:schemeClr w14:val="tx1"/>
                  </w14:solidFill>
                </w14:textFill>
              </w:rPr>
              <w:t>（1）环境质量标准</w:t>
            </w:r>
          </w:p>
          <w:p w14:paraId="0098A52B">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bidi="ar"/>
                <w14:textFill>
                  <w14:solidFill>
                    <w14:schemeClr w14:val="tx1"/>
                  </w14:solidFill>
                </w14:textFill>
              </w:rPr>
              <w:t>玉溪高新区龙泉片区</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属于</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玉溪高新区技术产业开发区</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玉溪高新区技术产业开发区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总体规划修编（2021-2035年）环境影响报告书</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》，该区域属二类环境空气质量功能区，</w:t>
            </w:r>
            <w:r>
              <w:rPr>
                <w:rFonts w:hint="default" w:ascii="Times New Roman" w:hAnsi="Times New Roman" w:eastAsia="宋体" w:cs="Times New Roman"/>
                <w:color w:val="000000" w:themeColor="text1"/>
                <w:kern w:val="0"/>
                <w:sz w:val="24"/>
                <w:szCs w:val="24"/>
                <w14:textFill>
                  <w14:solidFill>
                    <w14:schemeClr w14:val="tx1"/>
                  </w14:solidFill>
                </w14:textFill>
              </w:rPr>
              <w:t>执行</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环境空气质量标准》（GB3095-2012）及其修改单二级标准</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TVOC参考</w:t>
            </w:r>
            <w:r>
              <w:rPr>
                <w:rFonts w:hint="default" w:ascii="Times New Roman" w:hAnsi="Times New Roman" w:eastAsia="宋体" w:cs="Times New Roman"/>
                <w:color w:val="000000" w:themeColor="text1"/>
                <w:kern w:val="0"/>
                <w:sz w:val="24"/>
                <w:szCs w:val="24"/>
                <w14:textFill>
                  <w14:solidFill>
                    <w14:schemeClr w14:val="tx1"/>
                  </w14:solidFill>
                </w14:textFill>
              </w:rPr>
              <w:t>执行</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《环境影响评价技术导则大气环境》（HJ2.2- 2018）中附</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录D中有关浓度限值，非甲烷总烃参考执行《大气污染物综合排放标准详解》P242中以色列国家的总烃浓度限值</w:t>
            </w:r>
            <w:r>
              <w:rPr>
                <w:rFonts w:hint="default" w:ascii="Times New Roman" w:hAnsi="Times New Roman" w:eastAsia="宋体" w:cs="Times New Roman"/>
                <w:color w:val="000000" w:themeColor="text1"/>
                <w:kern w:val="0"/>
                <w:sz w:val="24"/>
                <w:szCs w:val="24"/>
                <w14:textFill>
                  <w14:solidFill>
                    <w14:schemeClr w14:val="tx1"/>
                  </w14:solidFill>
                </w14:textFill>
              </w:rPr>
              <w:t>。标准值见表3-1。</w:t>
            </w:r>
          </w:p>
          <w:p w14:paraId="33C83CB1">
            <w:pPr>
              <w:pageBreakBefore w:val="0"/>
              <w:kinsoku/>
              <w:overflowPunct/>
              <w:topLinePunct w:val="0"/>
              <w:bidi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表3-1   环境空气质量标准</w:t>
            </w:r>
          </w:p>
          <w:tbl>
            <w:tblPr>
              <w:tblStyle w:val="32"/>
              <w:tblW w:w="8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2056"/>
              <w:gridCol w:w="2617"/>
              <w:gridCol w:w="2054"/>
            </w:tblGrid>
            <w:tr w14:paraId="6AF1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Align w:val="center"/>
                </w:tcPr>
                <w:p w14:paraId="42C0217D">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污染物名称</w:t>
                  </w:r>
                </w:p>
              </w:tc>
              <w:tc>
                <w:tcPr>
                  <w:tcW w:w="2056" w:type="dxa"/>
                  <w:vAlign w:val="center"/>
                </w:tcPr>
                <w:p w14:paraId="236CA0F5">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取值时间</w:t>
                  </w:r>
                </w:p>
              </w:tc>
              <w:tc>
                <w:tcPr>
                  <w:tcW w:w="2617" w:type="dxa"/>
                  <w:vAlign w:val="center"/>
                </w:tcPr>
                <w:p w14:paraId="73E778AF">
                  <w:pPr>
                    <w:pStyle w:val="14"/>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标准浓度限值</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μ</w:t>
                  </w:r>
                  <w:r>
                    <w:rPr>
                      <w:rFonts w:hint="default" w:ascii="Times New Roman" w:hAnsi="Times New Roman" w:eastAsia="宋体" w:cs="Times New Roman"/>
                      <w:bCs/>
                      <w:color w:val="000000" w:themeColor="text1"/>
                      <w:sz w:val="21"/>
                      <w:szCs w:val="21"/>
                      <w14:textFill>
                        <w14:solidFill>
                          <w14:schemeClr w14:val="tx1"/>
                        </w14:solidFill>
                      </w14:textFill>
                    </w:rPr>
                    <w:t>g/</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p>
              </w:tc>
              <w:tc>
                <w:tcPr>
                  <w:tcW w:w="2054" w:type="dxa"/>
                  <w:vAlign w:val="center"/>
                </w:tcPr>
                <w:p w14:paraId="559E50D5">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执行标准</w:t>
                  </w:r>
                </w:p>
              </w:tc>
            </w:tr>
            <w:tr w14:paraId="2A53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62FFA91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2056" w:type="dxa"/>
                  <w:vAlign w:val="center"/>
                </w:tcPr>
                <w:p w14:paraId="060B098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w:t>
                  </w:r>
                </w:p>
              </w:tc>
              <w:tc>
                <w:tcPr>
                  <w:tcW w:w="2617" w:type="dxa"/>
                  <w:vAlign w:val="center"/>
                </w:tcPr>
                <w:p w14:paraId="2A8FB08B">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60</w:t>
                  </w:r>
                </w:p>
              </w:tc>
              <w:tc>
                <w:tcPr>
                  <w:tcW w:w="2054" w:type="dxa"/>
                  <w:vMerge w:val="restart"/>
                  <w:vAlign w:val="center"/>
                </w:tcPr>
                <w:p w14:paraId="78505366">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环境空气质量标准》（GB3095-2012）二级标准及2018修改单</w:t>
                  </w:r>
                </w:p>
              </w:tc>
            </w:tr>
            <w:tr w14:paraId="7FD0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1E098EF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2056" w:type="dxa"/>
                  <w:vAlign w:val="center"/>
                </w:tcPr>
                <w:p w14:paraId="05D2030A">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24小时平均</w:t>
                  </w:r>
                </w:p>
              </w:tc>
              <w:tc>
                <w:tcPr>
                  <w:tcW w:w="2617" w:type="dxa"/>
                  <w:vAlign w:val="center"/>
                </w:tcPr>
                <w:p w14:paraId="05BD1C58">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150</w:t>
                  </w:r>
                </w:p>
              </w:tc>
              <w:tc>
                <w:tcPr>
                  <w:tcW w:w="2054" w:type="dxa"/>
                  <w:vMerge w:val="continue"/>
                  <w:vAlign w:val="center"/>
                </w:tcPr>
                <w:p w14:paraId="5599CD00">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69A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6B28E848">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2056" w:type="dxa"/>
                  <w:vAlign w:val="center"/>
                </w:tcPr>
                <w:p w14:paraId="67F1CFD5">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1小时平均</w:t>
                  </w:r>
                </w:p>
              </w:tc>
              <w:tc>
                <w:tcPr>
                  <w:tcW w:w="2617" w:type="dxa"/>
                  <w:vAlign w:val="center"/>
                </w:tcPr>
                <w:p w14:paraId="7461F62D">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500</w:t>
                  </w:r>
                </w:p>
              </w:tc>
              <w:tc>
                <w:tcPr>
                  <w:tcW w:w="2054" w:type="dxa"/>
                  <w:vMerge w:val="continue"/>
                  <w:vAlign w:val="center"/>
                </w:tcPr>
                <w:p w14:paraId="510DEA10">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651E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47A14FB8">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NO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2056" w:type="dxa"/>
                  <w:vAlign w:val="center"/>
                </w:tcPr>
                <w:p w14:paraId="3FAA6B89">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w:t>
                  </w:r>
                </w:p>
              </w:tc>
              <w:tc>
                <w:tcPr>
                  <w:tcW w:w="2617" w:type="dxa"/>
                  <w:vAlign w:val="center"/>
                </w:tcPr>
                <w:p w14:paraId="3C6B26FF">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40</w:t>
                  </w:r>
                </w:p>
              </w:tc>
              <w:tc>
                <w:tcPr>
                  <w:tcW w:w="2054" w:type="dxa"/>
                  <w:vMerge w:val="continue"/>
                  <w:vAlign w:val="center"/>
                </w:tcPr>
                <w:p w14:paraId="320EF3B6">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6596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7749758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2056" w:type="dxa"/>
                  <w:vAlign w:val="center"/>
                </w:tcPr>
                <w:p w14:paraId="69958EEB">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24小时平均</w:t>
                  </w:r>
                </w:p>
              </w:tc>
              <w:tc>
                <w:tcPr>
                  <w:tcW w:w="2617" w:type="dxa"/>
                  <w:vAlign w:val="center"/>
                </w:tcPr>
                <w:p w14:paraId="2CC3053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80</w:t>
                  </w:r>
                </w:p>
              </w:tc>
              <w:tc>
                <w:tcPr>
                  <w:tcW w:w="2054" w:type="dxa"/>
                  <w:vMerge w:val="continue"/>
                  <w:vAlign w:val="center"/>
                </w:tcPr>
                <w:p w14:paraId="2626D17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4BEA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17EEE2FC">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2056" w:type="dxa"/>
                  <w:vAlign w:val="center"/>
                </w:tcPr>
                <w:p w14:paraId="662C1C8E">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1小时平均</w:t>
                  </w:r>
                </w:p>
              </w:tc>
              <w:tc>
                <w:tcPr>
                  <w:tcW w:w="2617" w:type="dxa"/>
                  <w:vAlign w:val="center"/>
                </w:tcPr>
                <w:p w14:paraId="23E6DFB2">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200</w:t>
                  </w:r>
                </w:p>
              </w:tc>
              <w:tc>
                <w:tcPr>
                  <w:tcW w:w="2054" w:type="dxa"/>
                  <w:vMerge w:val="continue"/>
                  <w:vAlign w:val="center"/>
                </w:tcPr>
                <w:p w14:paraId="78633183">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4979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3C24DF13">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CO</w:t>
                  </w:r>
                </w:p>
              </w:tc>
              <w:tc>
                <w:tcPr>
                  <w:tcW w:w="2056" w:type="dxa"/>
                  <w:vAlign w:val="center"/>
                </w:tcPr>
                <w:p w14:paraId="15D482C0">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24小时平均</w:t>
                  </w:r>
                </w:p>
              </w:tc>
              <w:tc>
                <w:tcPr>
                  <w:tcW w:w="2617" w:type="dxa"/>
                  <w:vAlign w:val="center"/>
                </w:tcPr>
                <w:p w14:paraId="4EBAB002">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2054" w:type="dxa"/>
                  <w:vMerge w:val="continue"/>
                  <w:vAlign w:val="center"/>
                </w:tcPr>
                <w:p w14:paraId="4CB5E441">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3EB8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65FC068A">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2056" w:type="dxa"/>
                  <w:vAlign w:val="center"/>
                </w:tcPr>
                <w:p w14:paraId="65C7E45F">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1小时平均</w:t>
                  </w:r>
                </w:p>
              </w:tc>
              <w:tc>
                <w:tcPr>
                  <w:tcW w:w="2617" w:type="dxa"/>
                  <w:vAlign w:val="center"/>
                </w:tcPr>
                <w:p w14:paraId="21771273">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2054" w:type="dxa"/>
                  <w:vMerge w:val="continue"/>
                  <w:vAlign w:val="center"/>
                </w:tcPr>
                <w:p w14:paraId="7D3B521B">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5CF16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70EF7A7C">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p>
              </w:tc>
              <w:tc>
                <w:tcPr>
                  <w:tcW w:w="2056" w:type="dxa"/>
                  <w:vAlign w:val="center"/>
                </w:tcPr>
                <w:p w14:paraId="604BDFBC">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日最大8小时平均</w:t>
                  </w:r>
                </w:p>
              </w:tc>
              <w:tc>
                <w:tcPr>
                  <w:tcW w:w="2617" w:type="dxa"/>
                  <w:vAlign w:val="center"/>
                </w:tcPr>
                <w:p w14:paraId="270A23D2">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160</w:t>
                  </w:r>
                </w:p>
              </w:tc>
              <w:tc>
                <w:tcPr>
                  <w:tcW w:w="2054" w:type="dxa"/>
                  <w:vMerge w:val="continue"/>
                  <w:vAlign w:val="center"/>
                </w:tcPr>
                <w:p w14:paraId="5A5FECAE">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7917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68E8BA57">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2056" w:type="dxa"/>
                  <w:vAlign w:val="center"/>
                </w:tcPr>
                <w:p w14:paraId="489D5F29">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1小时平均</w:t>
                  </w:r>
                </w:p>
              </w:tc>
              <w:tc>
                <w:tcPr>
                  <w:tcW w:w="2617" w:type="dxa"/>
                  <w:vAlign w:val="center"/>
                </w:tcPr>
                <w:p w14:paraId="4C4F89C2">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200</w:t>
                  </w:r>
                </w:p>
              </w:tc>
              <w:tc>
                <w:tcPr>
                  <w:tcW w:w="2054" w:type="dxa"/>
                  <w:vMerge w:val="continue"/>
                  <w:vAlign w:val="center"/>
                </w:tcPr>
                <w:p w14:paraId="4CDEE80D">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1364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485D8A91">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PM</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10</w:t>
                  </w:r>
                </w:p>
              </w:tc>
              <w:tc>
                <w:tcPr>
                  <w:tcW w:w="2056" w:type="dxa"/>
                  <w:vAlign w:val="center"/>
                </w:tcPr>
                <w:p w14:paraId="320E7D51">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w:t>
                  </w:r>
                </w:p>
              </w:tc>
              <w:tc>
                <w:tcPr>
                  <w:tcW w:w="2617" w:type="dxa"/>
                  <w:vAlign w:val="center"/>
                </w:tcPr>
                <w:p w14:paraId="68C0D70A">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70</w:t>
                  </w:r>
                </w:p>
              </w:tc>
              <w:tc>
                <w:tcPr>
                  <w:tcW w:w="2054" w:type="dxa"/>
                  <w:vMerge w:val="continue"/>
                  <w:vAlign w:val="center"/>
                </w:tcPr>
                <w:p w14:paraId="248459C1">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2D4C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5F49369E">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2056" w:type="dxa"/>
                  <w:vAlign w:val="center"/>
                </w:tcPr>
                <w:p w14:paraId="3261A11D">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24小时平均</w:t>
                  </w:r>
                </w:p>
              </w:tc>
              <w:tc>
                <w:tcPr>
                  <w:tcW w:w="2617" w:type="dxa"/>
                  <w:vAlign w:val="center"/>
                </w:tcPr>
                <w:p w14:paraId="01C1FFB2">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150</w:t>
                  </w:r>
                </w:p>
              </w:tc>
              <w:tc>
                <w:tcPr>
                  <w:tcW w:w="2054" w:type="dxa"/>
                  <w:vMerge w:val="continue"/>
                  <w:vAlign w:val="center"/>
                </w:tcPr>
                <w:p w14:paraId="755221B6">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29A3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59BFAD35">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p>
              </w:tc>
              <w:tc>
                <w:tcPr>
                  <w:tcW w:w="2056" w:type="dxa"/>
                  <w:vAlign w:val="center"/>
                </w:tcPr>
                <w:p w14:paraId="4D5F02E6">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w:t>
                  </w:r>
                </w:p>
              </w:tc>
              <w:tc>
                <w:tcPr>
                  <w:tcW w:w="2617" w:type="dxa"/>
                  <w:vAlign w:val="center"/>
                </w:tcPr>
                <w:p w14:paraId="545F1115">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35</w:t>
                  </w:r>
                </w:p>
              </w:tc>
              <w:tc>
                <w:tcPr>
                  <w:tcW w:w="2054" w:type="dxa"/>
                  <w:vMerge w:val="continue"/>
                  <w:vAlign w:val="center"/>
                </w:tcPr>
                <w:p w14:paraId="788C60E3">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4926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continue"/>
                  <w:vAlign w:val="center"/>
                </w:tcPr>
                <w:p w14:paraId="15E6F942">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2056" w:type="dxa"/>
                  <w:vAlign w:val="center"/>
                </w:tcPr>
                <w:p w14:paraId="2961C8E8">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24小时平均</w:t>
                  </w:r>
                </w:p>
              </w:tc>
              <w:tc>
                <w:tcPr>
                  <w:tcW w:w="2617" w:type="dxa"/>
                  <w:vAlign w:val="center"/>
                </w:tcPr>
                <w:p w14:paraId="074532E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75</w:t>
                  </w:r>
                </w:p>
              </w:tc>
              <w:tc>
                <w:tcPr>
                  <w:tcW w:w="2054" w:type="dxa"/>
                  <w:vMerge w:val="continue"/>
                  <w:vAlign w:val="center"/>
                </w:tcPr>
                <w:p w14:paraId="6595B5C1">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749B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restart"/>
                  <w:vAlign w:val="center"/>
                </w:tcPr>
                <w:p w14:paraId="677B57EA">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TSP</w:t>
                  </w:r>
                </w:p>
              </w:tc>
              <w:tc>
                <w:tcPr>
                  <w:tcW w:w="2056" w:type="dxa"/>
                  <w:vAlign w:val="center"/>
                </w:tcPr>
                <w:p w14:paraId="3C87B178">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年平均</w:t>
                  </w:r>
                </w:p>
              </w:tc>
              <w:tc>
                <w:tcPr>
                  <w:tcW w:w="2617" w:type="dxa"/>
                  <w:vAlign w:val="center"/>
                </w:tcPr>
                <w:p w14:paraId="4E43EF72">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200</w:t>
                  </w:r>
                </w:p>
              </w:tc>
              <w:tc>
                <w:tcPr>
                  <w:tcW w:w="2054" w:type="dxa"/>
                  <w:vMerge w:val="continue"/>
                  <w:vAlign w:val="center"/>
                </w:tcPr>
                <w:p w14:paraId="28220C6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0984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continue"/>
                  <w:vAlign w:val="center"/>
                </w:tcPr>
                <w:p w14:paraId="52C3F0BB">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056" w:type="dxa"/>
                  <w:vAlign w:val="center"/>
                </w:tcPr>
                <w:p w14:paraId="58B326B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24小时平均</w:t>
                  </w:r>
                </w:p>
              </w:tc>
              <w:tc>
                <w:tcPr>
                  <w:tcW w:w="2617" w:type="dxa"/>
                  <w:vAlign w:val="center"/>
                </w:tcPr>
                <w:p w14:paraId="5C0E4C12">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300</w:t>
                  </w:r>
                </w:p>
              </w:tc>
              <w:tc>
                <w:tcPr>
                  <w:tcW w:w="2054" w:type="dxa"/>
                  <w:vMerge w:val="continue"/>
                  <w:vAlign w:val="center"/>
                </w:tcPr>
                <w:p w14:paraId="781344DF">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0A30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restart"/>
                  <w:vAlign w:val="center"/>
                </w:tcPr>
                <w:p w14:paraId="22C4D235">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NOx</w:t>
                  </w:r>
                </w:p>
              </w:tc>
              <w:tc>
                <w:tcPr>
                  <w:tcW w:w="2056" w:type="dxa"/>
                  <w:vAlign w:val="center"/>
                </w:tcPr>
                <w:p w14:paraId="2C5AB9F1">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w:t>
                  </w:r>
                </w:p>
              </w:tc>
              <w:tc>
                <w:tcPr>
                  <w:tcW w:w="2617" w:type="dxa"/>
                  <w:vAlign w:val="center"/>
                </w:tcPr>
                <w:p w14:paraId="0EE65C11">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50</w:t>
                  </w:r>
                </w:p>
              </w:tc>
              <w:tc>
                <w:tcPr>
                  <w:tcW w:w="2054" w:type="dxa"/>
                  <w:vMerge w:val="continue"/>
                  <w:vAlign w:val="center"/>
                </w:tcPr>
                <w:p w14:paraId="04D85A88">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702D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continue"/>
                  <w:vAlign w:val="center"/>
                </w:tcPr>
                <w:p w14:paraId="6A57FDBA">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056" w:type="dxa"/>
                  <w:vAlign w:val="center"/>
                </w:tcPr>
                <w:p w14:paraId="7F67CE1B">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24小时平均</w:t>
                  </w:r>
                </w:p>
              </w:tc>
              <w:tc>
                <w:tcPr>
                  <w:tcW w:w="2617" w:type="dxa"/>
                  <w:vAlign w:val="center"/>
                </w:tcPr>
                <w:p w14:paraId="5007E7A0">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100</w:t>
                  </w:r>
                </w:p>
              </w:tc>
              <w:tc>
                <w:tcPr>
                  <w:tcW w:w="2054" w:type="dxa"/>
                  <w:vMerge w:val="continue"/>
                  <w:vAlign w:val="center"/>
                </w:tcPr>
                <w:p w14:paraId="314BF308">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630E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continue"/>
                  <w:vAlign w:val="center"/>
                </w:tcPr>
                <w:p w14:paraId="4D9F7647">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056" w:type="dxa"/>
                  <w:vAlign w:val="center"/>
                </w:tcPr>
                <w:p w14:paraId="75816E2C">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1小时平均</w:t>
                  </w:r>
                </w:p>
              </w:tc>
              <w:tc>
                <w:tcPr>
                  <w:tcW w:w="2617" w:type="dxa"/>
                  <w:vAlign w:val="center"/>
                </w:tcPr>
                <w:p w14:paraId="6F232E8A">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250</w:t>
                  </w:r>
                </w:p>
              </w:tc>
              <w:tc>
                <w:tcPr>
                  <w:tcW w:w="2054" w:type="dxa"/>
                  <w:vMerge w:val="continue"/>
                  <w:vAlign w:val="center"/>
                </w:tcPr>
                <w:p w14:paraId="04D3BE11">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2481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Align w:val="center"/>
                </w:tcPr>
                <w:p w14:paraId="00797A64">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TVOC</w:t>
                  </w:r>
                </w:p>
              </w:tc>
              <w:tc>
                <w:tcPr>
                  <w:tcW w:w="2056" w:type="dxa"/>
                  <w:vAlign w:val="center"/>
                </w:tcPr>
                <w:p w14:paraId="2D02F08F">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小时平均</w:t>
                  </w:r>
                </w:p>
              </w:tc>
              <w:tc>
                <w:tcPr>
                  <w:tcW w:w="2617" w:type="dxa"/>
                  <w:vAlign w:val="center"/>
                </w:tcPr>
                <w:p w14:paraId="699A0C4D">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600</w:t>
                  </w:r>
                </w:p>
              </w:tc>
              <w:tc>
                <w:tcPr>
                  <w:tcW w:w="2054" w:type="dxa"/>
                  <w:vAlign w:val="center"/>
                </w:tcPr>
                <w:p w14:paraId="7591A078">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《环境影响评价技术导则大气环境》（HJ2.2- 2018）中附录 D</w:t>
                  </w:r>
                </w:p>
              </w:tc>
            </w:tr>
            <w:tr w14:paraId="2842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Align w:val="center"/>
                </w:tcPr>
                <w:p w14:paraId="65132BC0">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2056" w:type="dxa"/>
                  <w:vAlign w:val="center"/>
                </w:tcPr>
                <w:p w14:paraId="40113833">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24小时平均</w:t>
                  </w:r>
                </w:p>
              </w:tc>
              <w:tc>
                <w:tcPr>
                  <w:tcW w:w="2617" w:type="dxa"/>
                  <w:vAlign w:val="center"/>
                </w:tcPr>
                <w:p w14:paraId="1B2FC68E">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2mg/m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p>
              </w:tc>
              <w:tc>
                <w:tcPr>
                  <w:tcW w:w="2054" w:type="dxa"/>
                  <w:vAlign w:val="center"/>
                </w:tcPr>
                <w:p w14:paraId="5803F9EF">
                  <w:pPr>
                    <w:pStyle w:val="97"/>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《大气污染物综合排放标准详解》P242</w:t>
                  </w:r>
                </w:p>
              </w:tc>
            </w:tr>
          </w:tbl>
          <w:p w14:paraId="7708E197">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（2）区域达标判断</w:t>
            </w:r>
          </w:p>
          <w:p w14:paraId="0D68A382">
            <w:pPr>
              <w:pStyle w:val="155"/>
              <w:keepNext w:val="0"/>
              <w:keepLines w:val="0"/>
              <w:pageBreakBefore w:val="0"/>
              <w:wordWrap/>
              <w:topLinePunct w:val="0"/>
              <w:autoSpaceDE/>
              <w:autoSpaceDN/>
              <w:bidi w:val="0"/>
              <w:snapToGrid w:val="0"/>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玉溪高新区龙泉片区</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根据202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年1月~202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年12月</w:t>
            </w:r>
            <w:r>
              <w:rPr>
                <w:rFonts w:hint="default" w:ascii="Times New Roman" w:hAnsi="Times New Roman" w:eastAsia="宋体" w:cs="Times New Roman"/>
                <w:color w:val="000000" w:themeColor="text1"/>
                <w:sz w:val="24"/>
                <w:szCs w:val="24"/>
                <w:lang w:eastAsia="zh-CN"/>
                <w14:textFill>
                  <w14:solidFill>
                    <w14:schemeClr w14:val="tx1"/>
                  </w14:solidFill>
                </w14:textFill>
              </w:rPr>
              <w:t>江川区</w:t>
            </w:r>
            <w:r>
              <w:rPr>
                <w:rFonts w:hint="default" w:ascii="Times New Roman" w:hAnsi="Times New Roman" w:eastAsia="宋体" w:cs="Times New Roman"/>
                <w:color w:val="000000" w:themeColor="text1"/>
                <w:sz w:val="24"/>
                <w:szCs w:val="24"/>
                <w14:textFill>
                  <w14:solidFill>
                    <w14:schemeClr w14:val="tx1"/>
                  </w14:solidFill>
                </w14:textFill>
              </w:rPr>
              <w:t>环境空气自动监测站空气可吸入颗粒物（PM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）、细颗粒物（PM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）、二氧化硫（SO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）、二氧化氮（NO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）、一氧化碳（CO）、臭氧（O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）年平均浓度满足《环境空气质量标准》（GB3095-2012）二级标准及修改清单中的二级标准。统计情况见下表。</w:t>
            </w:r>
          </w:p>
          <w:p w14:paraId="3636B91B">
            <w:pPr>
              <w:pageBreakBefore w:val="0"/>
              <w:kinsoku/>
              <w:overflowPunct/>
              <w:topLinePunct w:val="0"/>
              <w:bidi w:val="0"/>
              <w:ind w:left="0" w:leftChars="0" w:right="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表3-</w:t>
            </w:r>
            <w:r>
              <w:rPr>
                <w:rFonts w:hint="default" w:ascii="Times New Roman" w:hAnsi="Times New Roman" w:eastAsia="宋体" w:cs="Times New Roman"/>
                <w:b/>
                <w:color w:val="000000" w:themeColor="text1"/>
                <w:kern w:val="0"/>
                <w:szCs w:val="21"/>
                <w:lang w:val="en-US" w:eastAsia="zh-CN"/>
                <w14:textFill>
                  <w14:solidFill>
                    <w14:schemeClr w14:val="tx1"/>
                  </w14:solidFill>
                </w14:textFill>
              </w:rPr>
              <w:t xml:space="preserve">2 </w:t>
            </w:r>
            <w:r>
              <w:rPr>
                <w:rFonts w:hint="default" w:ascii="Times New Roman" w:hAnsi="Times New Roman" w:eastAsia="宋体" w:cs="Times New Roman"/>
                <w:b/>
                <w:color w:val="000000" w:themeColor="text1"/>
                <w:kern w:val="0"/>
                <w:szCs w:val="21"/>
                <w:lang w:eastAsia="zh-CN"/>
                <w14:textFill>
                  <w14:solidFill>
                    <w14:schemeClr w14:val="tx1"/>
                  </w14:solidFill>
                </w14:textFill>
              </w:rPr>
              <w:t>江川区</w:t>
            </w:r>
            <w:r>
              <w:rPr>
                <w:rFonts w:hint="default" w:ascii="Times New Roman" w:hAnsi="Times New Roman" w:eastAsia="宋体" w:cs="Times New Roman"/>
                <w:b/>
                <w:color w:val="000000" w:themeColor="text1"/>
                <w:kern w:val="0"/>
                <w:szCs w:val="21"/>
                <w14:textFill>
                  <w14:solidFill>
                    <w14:schemeClr w14:val="tx1"/>
                  </w14:solidFill>
                </w14:textFill>
              </w:rPr>
              <w:t>环境空气质量现状表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971"/>
              <w:gridCol w:w="2237"/>
              <w:gridCol w:w="1144"/>
              <w:gridCol w:w="1139"/>
              <w:gridCol w:w="689"/>
              <w:gridCol w:w="668"/>
              <w:gridCol w:w="702"/>
            </w:tblGrid>
            <w:tr w14:paraId="22F5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noWrap w:val="0"/>
                  <w:vAlign w:val="center"/>
                </w:tcPr>
                <w:p w14:paraId="5A473F2B">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站点</w:t>
                  </w:r>
                </w:p>
              </w:tc>
              <w:tc>
                <w:tcPr>
                  <w:tcW w:w="621" w:type="pct"/>
                  <w:noWrap w:val="0"/>
                  <w:vAlign w:val="center"/>
                </w:tcPr>
                <w:p w14:paraId="085BDEDE">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污染物名称</w:t>
                  </w:r>
                </w:p>
              </w:tc>
              <w:tc>
                <w:tcPr>
                  <w:tcW w:w="1403" w:type="pct"/>
                  <w:noWrap w:val="0"/>
                  <w:vAlign w:val="center"/>
                </w:tcPr>
                <w:p w14:paraId="2273A025">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年评价指标</w:t>
                  </w:r>
                </w:p>
              </w:tc>
              <w:tc>
                <w:tcPr>
                  <w:tcW w:w="627" w:type="pct"/>
                  <w:noWrap w:val="0"/>
                  <w:vAlign w:val="center"/>
                </w:tcPr>
                <w:p w14:paraId="1F89A3A5">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评价标准/（μg/m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58" w:type="pct"/>
                  <w:noWrap w:val="0"/>
                  <w:vAlign w:val="center"/>
                </w:tcPr>
                <w:p w14:paraId="2235044F">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现状浓度/（μg/m³）</w:t>
                  </w:r>
                </w:p>
              </w:tc>
              <w:tc>
                <w:tcPr>
                  <w:tcW w:w="445" w:type="pct"/>
                  <w:noWrap w:val="0"/>
                  <w:vAlign w:val="center"/>
                </w:tcPr>
                <w:p w14:paraId="44F704F3">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占标率/%</w:t>
                  </w:r>
                </w:p>
              </w:tc>
              <w:tc>
                <w:tcPr>
                  <w:tcW w:w="435" w:type="pct"/>
                  <w:noWrap w:val="0"/>
                  <w:vAlign w:val="center"/>
                </w:tcPr>
                <w:p w14:paraId="0582EFE4">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超标频率/%</w:t>
                  </w:r>
                </w:p>
              </w:tc>
              <w:tc>
                <w:tcPr>
                  <w:tcW w:w="454" w:type="pct"/>
                  <w:noWrap w:val="0"/>
                  <w:vAlign w:val="center"/>
                </w:tcPr>
                <w:p w14:paraId="30F26F22">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14:paraId="745E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restart"/>
                  <w:noWrap w:val="0"/>
                  <w:vAlign w:val="center"/>
                </w:tcPr>
                <w:p w14:paraId="142E1947">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江川区</w:t>
                  </w:r>
                </w:p>
              </w:tc>
              <w:tc>
                <w:tcPr>
                  <w:tcW w:w="621" w:type="pct"/>
                  <w:vMerge w:val="restart"/>
                  <w:noWrap w:val="0"/>
                  <w:vAlign w:val="center"/>
                </w:tcPr>
                <w:p w14:paraId="0D3DFFF4">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403" w:type="pct"/>
                  <w:noWrap w:val="0"/>
                  <w:vAlign w:val="center"/>
                </w:tcPr>
                <w:p w14:paraId="6AD09421">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24h平均第98百分位数</w:t>
                  </w:r>
                </w:p>
              </w:tc>
              <w:tc>
                <w:tcPr>
                  <w:tcW w:w="627" w:type="pct"/>
                  <w:noWrap w:val="0"/>
                  <w:vAlign w:val="center"/>
                </w:tcPr>
                <w:p w14:paraId="69C3B2CD">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w:t>
                  </w:r>
                </w:p>
              </w:tc>
              <w:tc>
                <w:tcPr>
                  <w:tcW w:w="658" w:type="pct"/>
                  <w:noWrap w:val="0"/>
                  <w:vAlign w:val="center"/>
                </w:tcPr>
                <w:p w14:paraId="26DDB05E">
                  <w:pPr>
                    <w:keepNext w:val="0"/>
                    <w:keepLines w:val="0"/>
                    <w:pageBreakBefore w:val="0"/>
                    <w:widowControl/>
                    <w:kinsoku/>
                    <w:wordWrap/>
                    <w:overflowPunct/>
                    <w:topLinePunct w:val="0"/>
                    <w:bidi w:val="0"/>
                    <w:adjustRightInd/>
                    <w:snapToGrid/>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w:t>
                  </w:r>
                </w:p>
              </w:tc>
              <w:tc>
                <w:tcPr>
                  <w:tcW w:w="445" w:type="pct"/>
                  <w:noWrap w:val="0"/>
                  <w:vAlign w:val="center"/>
                </w:tcPr>
                <w:p w14:paraId="5B6F9465">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16</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0</w:t>
                  </w:r>
                </w:p>
              </w:tc>
              <w:tc>
                <w:tcPr>
                  <w:tcW w:w="435" w:type="pct"/>
                  <w:noWrap w:val="0"/>
                  <w:vAlign w:val="center"/>
                </w:tcPr>
                <w:p w14:paraId="1CE9B8AF">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54" w:type="pct"/>
                  <w:noWrap w:val="0"/>
                  <w:vAlign w:val="center"/>
                </w:tcPr>
                <w:p w14:paraId="35ED75AF">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7721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continue"/>
                  <w:noWrap w:val="0"/>
                  <w:vAlign w:val="center"/>
                </w:tcPr>
                <w:p w14:paraId="4F750EBB">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vMerge w:val="continue"/>
                  <w:noWrap w:val="0"/>
                  <w:vAlign w:val="center"/>
                </w:tcPr>
                <w:p w14:paraId="07B36031">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3" w:type="pct"/>
                  <w:noWrap w:val="0"/>
                  <w:vAlign w:val="center"/>
                </w:tcPr>
                <w:p w14:paraId="27704183">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627" w:type="pct"/>
                  <w:noWrap w:val="0"/>
                  <w:vAlign w:val="center"/>
                </w:tcPr>
                <w:p w14:paraId="4C8A1436">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658" w:type="pct"/>
                  <w:noWrap w:val="0"/>
                  <w:vAlign w:val="center"/>
                </w:tcPr>
                <w:p w14:paraId="61E780EA">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52</w:t>
                  </w:r>
                </w:p>
              </w:tc>
              <w:tc>
                <w:tcPr>
                  <w:tcW w:w="445" w:type="pct"/>
                  <w:noWrap w:val="0"/>
                  <w:vAlign w:val="center"/>
                </w:tcPr>
                <w:p w14:paraId="75DBEFC8">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15</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87</w:t>
                  </w:r>
                </w:p>
              </w:tc>
              <w:tc>
                <w:tcPr>
                  <w:tcW w:w="435" w:type="pct"/>
                  <w:noWrap w:val="0"/>
                  <w:vAlign w:val="center"/>
                </w:tcPr>
                <w:p w14:paraId="4E6097EE">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54" w:type="pct"/>
                  <w:noWrap w:val="0"/>
                  <w:vAlign w:val="center"/>
                </w:tcPr>
                <w:p w14:paraId="635311BF">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1E08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continue"/>
                  <w:noWrap w:val="0"/>
                  <w:vAlign w:val="center"/>
                </w:tcPr>
                <w:p w14:paraId="42BC1BBA">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vMerge w:val="restart"/>
                  <w:noWrap w:val="0"/>
                  <w:vAlign w:val="center"/>
                </w:tcPr>
                <w:p w14:paraId="4013FDA8">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403" w:type="pct"/>
                  <w:noWrap w:val="0"/>
                  <w:vAlign w:val="center"/>
                </w:tcPr>
                <w:p w14:paraId="6E9320BC">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24h平均第98百分位数</w:t>
                  </w:r>
                </w:p>
              </w:tc>
              <w:tc>
                <w:tcPr>
                  <w:tcW w:w="627" w:type="pct"/>
                  <w:noWrap w:val="0"/>
                  <w:vAlign w:val="center"/>
                </w:tcPr>
                <w:p w14:paraId="7B5C229D">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658" w:type="pct"/>
                  <w:noWrap w:val="0"/>
                  <w:vAlign w:val="center"/>
                </w:tcPr>
                <w:p w14:paraId="59E48063">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p>
              </w:tc>
              <w:tc>
                <w:tcPr>
                  <w:tcW w:w="445" w:type="pct"/>
                  <w:noWrap w:val="0"/>
                  <w:vAlign w:val="center"/>
                </w:tcPr>
                <w:p w14:paraId="3F1BDDBC">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31</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25</w:t>
                  </w:r>
                </w:p>
              </w:tc>
              <w:tc>
                <w:tcPr>
                  <w:tcW w:w="435" w:type="pct"/>
                  <w:noWrap w:val="0"/>
                  <w:vAlign w:val="center"/>
                </w:tcPr>
                <w:p w14:paraId="607F4C5F">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54" w:type="pct"/>
                  <w:noWrap w:val="0"/>
                  <w:vAlign w:val="center"/>
                </w:tcPr>
                <w:p w14:paraId="2A0B9C6E">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5DEE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continue"/>
                  <w:noWrap w:val="0"/>
                  <w:vAlign w:val="center"/>
                </w:tcPr>
                <w:p w14:paraId="239BE3FC">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vMerge w:val="continue"/>
                  <w:noWrap w:val="0"/>
                  <w:vAlign w:val="center"/>
                </w:tcPr>
                <w:p w14:paraId="38BBF703">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3" w:type="pct"/>
                  <w:noWrap w:val="0"/>
                  <w:vAlign w:val="center"/>
                </w:tcPr>
                <w:p w14:paraId="61F206DE">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627" w:type="pct"/>
                  <w:noWrap w:val="0"/>
                  <w:vAlign w:val="center"/>
                </w:tcPr>
                <w:p w14:paraId="2ACE2BB8">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658" w:type="pct"/>
                  <w:noWrap w:val="0"/>
                  <w:vAlign w:val="center"/>
                </w:tcPr>
                <w:p w14:paraId="37927563">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43</w:t>
                  </w:r>
                </w:p>
              </w:tc>
              <w:tc>
                <w:tcPr>
                  <w:tcW w:w="445" w:type="pct"/>
                  <w:noWrap w:val="0"/>
                  <w:vAlign w:val="center"/>
                </w:tcPr>
                <w:p w14:paraId="4E48DF60">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36</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08</w:t>
                  </w:r>
                </w:p>
              </w:tc>
              <w:tc>
                <w:tcPr>
                  <w:tcW w:w="435" w:type="pct"/>
                  <w:noWrap w:val="0"/>
                  <w:vAlign w:val="center"/>
                </w:tcPr>
                <w:p w14:paraId="67F29032">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54" w:type="pct"/>
                  <w:noWrap w:val="0"/>
                  <w:vAlign w:val="center"/>
                </w:tcPr>
                <w:p w14:paraId="6523D08C">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430B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continue"/>
                  <w:noWrap w:val="0"/>
                  <w:vAlign w:val="center"/>
                </w:tcPr>
                <w:p w14:paraId="4FD26464">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vMerge w:val="restart"/>
                  <w:noWrap w:val="0"/>
                  <w:vAlign w:val="center"/>
                </w:tcPr>
                <w:p w14:paraId="022F6F12">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p>
              </w:tc>
              <w:tc>
                <w:tcPr>
                  <w:tcW w:w="1403" w:type="pct"/>
                  <w:noWrap w:val="0"/>
                  <w:vAlign w:val="center"/>
                </w:tcPr>
                <w:p w14:paraId="4DA0DFE5">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24h平均第95百分位数</w:t>
                  </w:r>
                </w:p>
              </w:tc>
              <w:tc>
                <w:tcPr>
                  <w:tcW w:w="627" w:type="pct"/>
                  <w:noWrap w:val="0"/>
                  <w:vAlign w:val="center"/>
                </w:tcPr>
                <w:p w14:paraId="45E9E917">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w:t>
                  </w:r>
                </w:p>
              </w:tc>
              <w:tc>
                <w:tcPr>
                  <w:tcW w:w="658" w:type="pct"/>
                  <w:noWrap w:val="0"/>
                  <w:vAlign w:val="center"/>
                </w:tcPr>
                <w:p w14:paraId="7B6F16DE">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95</w:t>
                  </w:r>
                </w:p>
              </w:tc>
              <w:tc>
                <w:tcPr>
                  <w:tcW w:w="445" w:type="pct"/>
                  <w:noWrap w:val="0"/>
                  <w:vAlign w:val="center"/>
                </w:tcPr>
                <w:p w14:paraId="63B7608C">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50</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63</w:t>
                  </w:r>
                </w:p>
              </w:tc>
              <w:tc>
                <w:tcPr>
                  <w:tcW w:w="435" w:type="pct"/>
                  <w:noWrap w:val="0"/>
                  <w:vAlign w:val="center"/>
                </w:tcPr>
                <w:p w14:paraId="4D4E7571">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54" w:type="pct"/>
                  <w:noWrap w:val="0"/>
                  <w:vAlign w:val="center"/>
                </w:tcPr>
                <w:p w14:paraId="4660C6E0">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3530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continue"/>
                  <w:noWrap w:val="0"/>
                  <w:vAlign w:val="center"/>
                </w:tcPr>
                <w:p w14:paraId="68CA4DDF">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vMerge w:val="continue"/>
                  <w:noWrap w:val="0"/>
                  <w:vAlign w:val="center"/>
                </w:tcPr>
                <w:p w14:paraId="20F390DA">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3" w:type="pct"/>
                  <w:noWrap w:val="0"/>
                  <w:vAlign w:val="center"/>
                </w:tcPr>
                <w:p w14:paraId="346A3177">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627" w:type="pct"/>
                  <w:noWrap w:val="0"/>
                  <w:vAlign w:val="center"/>
                </w:tcPr>
                <w:p w14:paraId="2B2E500E">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658" w:type="pct"/>
                  <w:noWrap w:val="0"/>
                  <w:vAlign w:val="center"/>
                </w:tcPr>
                <w:p w14:paraId="2131AB34">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03</w:t>
                  </w:r>
                </w:p>
              </w:tc>
              <w:tc>
                <w:tcPr>
                  <w:tcW w:w="445" w:type="pct"/>
                  <w:noWrap w:val="0"/>
                  <w:vAlign w:val="center"/>
                </w:tcPr>
                <w:p w14:paraId="1F41E9E4">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48</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61</w:t>
                  </w:r>
                </w:p>
              </w:tc>
              <w:tc>
                <w:tcPr>
                  <w:tcW w:w="435" w:type="pct"/>
                  <w:noWrap w:val="0"/>
                  <w:vAlign w:val="center"/>
                </w:tcPr>
                <w:p w14:paraId="3A52F413">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54" w:type="pct"/>
                  <w:noWrap w:val="0"/>
                  <w:vAlign w:val="center"/>
                </w:tcPr>
                <w:p w14:paraId="59EB4FE9">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17D0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continue"/>
                  <w:noWrap w:val="0"/>
                  <w:vAlign w:val="center"/>
                </w:tcPr>
                <w:p w14:paraId="469CB063">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vMerge w:val="restart"/>
                  <w:noWrap w:val="0"/>
                  <w:vAlign w:val="center"/>
                </w:tcPr>
                <w:p w14:paraId="6E23181E">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1403" w:type="pct"/>
                  <w:noWrap w:val="0"/>
                  <w:vAlign w:val="center"/>
                </w:tcPr>
                <w:p w14:paraId="7886DAC8">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24h平均第95百分位数</w:t>
                  </w:r>
                </w:p>
              </w:tc>
              <w:tc>
                <w:tcPr>
                  <w:tcW w:w="627" w:type="pct"/>
                  <w:noWrap w:val="0"/>
                  <w:vAlign w:val="center"/>
                </w:tcPr>
                <w:p w14:paraId="7D8CAD32">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w:t>
                  </w:r>
                </w:p>
              </w:tc>
              <w:tc>
                <w:tcPr>
                  <w:tcW w:w="658" w:type="pct"/>
                  <w:noWrap w:val="0"/>
                  <w:vAlign w:val="center"/>
                </w:tcPr>
                <w:p w14:paraId="25118014">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45" w:type="pct"/>
                  <w:noWrap w:val="0"/>
                  <w:vAlign w:val="center"/>
                </w:tcPr>
                <w:p w14:paraId="2F6C645C">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63</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47</w:t>
                  </w:r>
                </w:p>
              </w:tc>
              <w:tc>
                <w:tcPr>
                  <w:tcW w:w="435" w:type="pct"/>
                  <w:noWrap w:val="0"/>
                  <w:vAlign w:val="center"/>
                </w:tcPr>
                <w:p w14:paraId="71FDFD14">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54" w:type="pct"/>
                  <w:noWrap w:val="0"/>
                  <w:vAlign w:val="center"/>
                </w:tcPr>
                <w:p w14:paraId="4757808C">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6301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continue"/>
                  <w:noWrap w:val="0"/>
                  <w:vAlign w:val="center"/>
                </w:tcPr>
                <w:p w14:paraId="4C6C44D4">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vMerge w:val="continue"/>
                  <w:noWrap w:val="0"/>
                  <w:vAlign w:val="center"/>
                </w:tcPr>
                <w:p w14:paraId="1A55F633">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3" w:type="pct"/>
                  <w:noWrap w:val="0"/>
                  <w:vAlign w:val="center"/>
                </w:tcPr>
                <w:p w14:paraId="64909251">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627" w:type="pct"/>
                  <w:noWrap w:val="0"/>
                  <w:vAlign w:val="center"/>
                </w:tcPr>
                <w:p w14:paraId="39DBCF68">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658" w:type="pct"/>
                  <w:noWrap w:val="0"/>
                  <w:vAlign w:val="center"/>
                </w:tcPr>
                <w:p w14:paraId="59647136">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445" w:type="pct"/>
                  <w:noWrap w:val="0"/>
                  <w:vAlign w:val="center"/>
                </w:tcPr>
                <w:p w14:paraId="09370EC4">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59</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0</w:t>
                  </w:r>
                </w:p>
              </w:tc>
              <w:tc>
                <w:tcPr>
                  <w:tcW w:w="435" w:type="pct"/>
                  <w:noWrap w:val="0"/>
                  <w:vAlign w:val="center"/>
                </w:tcPr>
                <w:p w14:paraId="222F2C81">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54" w:type="pct"/>
                  <w:noWrap w:val="0"/>
                  <w:vAlign w:val="center"/>
                </w:tcPr>
                <w:p w14:paraId="0E3982E5">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29AB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continue"/>
                  <w:noWrap w:val="0"/>
                  <w:vAlign w:val="center"/>
                </w:tcPr>
                <w:p w14:paraId="357CA07A">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noWrap w:val="0"/>
                  <w:vAlign w:val="center"/>
                </w:tcPr>
                <w:p w14:paraId="6D2D1FB2">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p>
                <w:p w14:paraId="265D597F">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mg/m³</w:t>
                  </w:r>
                </w:p>
              </w:tc>
              <w:tc>
                <w:tcPr>
                  <w:tcW w:w="1403" w:type="pct"/>
                  <w:noWrap w:val="0"/>
                  <w:vAlign w:val="center"/>
                </w:tcPr>
                <w:p w14:paraId="17675922">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24h平均第95百分位数</w:t>
                  </w:r>
                </w:p>
              </w:tc>
              <w:tc>
                <w:tcPr>
                  <w:tcW w:w="627" w:type="pct"/>
                  <w:noWrap w:val="0"/>
                  <w:vAlign w:val="center"/>
                </w:tcPr>
                <w:p w14:paraId="45265E0C">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658" w:type="pct"/>
                  <w:noWrap w:val="0"/>
                  <w:vAlign w:val="center"/>
                </w:tcPr>
                <w:p w14:paraId="47176732">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5" w:type="pct"/>
                  <w:noWrap w:val="0"/>
                  <w:vAlign w:val="center"/>
                </w:tcPr>
                <w:p w14:paraId="1C868632">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30</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0</w:t>
                  </w:r>
                </w:p>
              </w:tc>
              <w:tc>
                <w:tcPr>
                  <w:tcW w:w="435" w:type="pct"/>
                  <w:noWrap w:val="0"/>
                  <w:vAlign w:val="center"/>
                </w:tcPr>
                <w:p w14:paraId="3ED741A8">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54" w:type="pct"/>
                  <w:noWrap w:val="0"/>
                  <w:vAlign w:val="center"/>
                </w:tcPr>
                <w:p w14:paraId="47E8CB55">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3C13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pct"/>
                  <w:vMerge w:val="continue"/>
                  <w:noWrap w:val="0"/>
                  <w:vAlign w:val="center"/>
                </w:tcPr>
                <w:p w14:paraId="2136D94B">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noWrap w:val="0"/>
                  <w:vAlign w:val="center"/>
                </w:tcPr>
                <w:p w14:paraId="16E401B1">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1403" w:type="pct"/>
                  <w:noWrap w:val="0"/>
                  <w:vAlign w:val="center"/>
                </w:tcPr>
                <w:p w14:paraId="52C649B1">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日最大8h滑动平均值的第90百分位数</w:t>
                  </w:r>
                </w:p>
              </w:tc>
              <w:tc>
                <w:tcPr>
                  <w:tcW w:w="627" w:type="pct"/>
                  <w:noWrap w:val="0"/>
                  <w:vAlign w:val="center"/>
                </w:tcPr>
                <w:p w14:paraId="1E88241E">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c>
                <w:tcPr>
                  <w:tcW w:w="658" w:type="pct"/>
                  <w:noWrap w:val="0"/>
                  <w:vAlign w:val="center"/>
                </w:tcPr>
                <w:p w14:paraId="5209E11C">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45" w:type="pct"/>
                  <w:noWrap w:val="0"/>
                  <w:vAlign w:val="center"/>
                </w:tcPr>
                <w:p w14:paraId="3ED0CC96">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73</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bidi="ar"/>
                      <w14:textFill>
                        <w14:solidFill>
                          <w14:schemeClr w14:val="tx1"/>
                        </w14:solidFill>
                      </w14:textFill>
                    </w:rPr>
                    <w:t>63</w:t>
                  </w:r>
                </w:p>
              </w:tc>
              <w:tc>
                <w:tcPr>
                  <w:tcW w:w="435" w:type="pct"/>
                  <w:noWrap w:val="0"/>
                  <w:vAlign w:val="center"/>
                </w:tcPr>
                <w:p w14:paraId="223B8404">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454" w:type="pct"/>
                  <w:noWrap w:val="0"/>
                  <w:vAlign w:val="center"/>
                </w:tcPr>
                <w:p w14:paraId="504469F7">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14:paraId="023CEA1A">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根据上表所示：</w:t>
            </w:r>
            <w:r>
              <w:rPr>
                <w:rFonts w:hint="default" w:ascii="Times New Roman" w:hAnsi="Times New Roman" w:eastAsia="宋体" w:cs="Times New Roman"/>
                <w:bCs/>
                <w:color w:val="000000" w:themeColor="text1"/>
                <w:sz w:val="24"/>
                <w:szCs w:val="24"/>
                <w:highlight w:val="none"/>
                <w14:textFill>
                  <w14:solidFill>
                    <w14:schemeClr w14:val="tx1"/>
                  </w14:solidFill>
                </w14:textFill>
              </w:rPr>
              <w:t>20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23</w:t>
            </w:r>
            <w:r>
              <w:rPr>
                <w:rFonts w:hint="default" w:ascii="Times New Roman" w:hAnsi="Times New Roman" w:eastAsia="宋体" w:cs="Times New Roman"/>
                <w:bCs/>
                <w:color w:val="000000" w:themeColor="text1"/>
                <w:sz w:val="24"/>
                <w:szCs w:val="24"/>
                <w:highlight w:val="none"/>
                <w14:textFill>
                  <w14:solidFill>
                    <w14:schemeClr w14:val="tx1"/>
                  </w14:solidFill>
                </w14:textFill>
              </w:rPr>
              <w:t>年</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江川区</w:t>
            </w:r>
            <w:r>
              <w:rPr>
                <w:rFonts w:hint="default" w:ascii="Times New Roman" w:hAnsi="Times New Roman" w:eastAsia="宋体" w:cs="Times New Roman"/>
                <w:bCs/>
                <w:color w:val="000000" w:themeColor="text1"/>
                <w:sz w:val="24"/>
                <w:szCs w:val="24"/>
                <w:highlight w:val="none"/>
                <w14:textFill>
                  <w14:solidFill>
                    <w14:schemeClr w14:val="tx1"/>
                  </w14:solidFill>
                </w14:textFill>
              </w:rPr>
              <w:t>环境</w:t>
            </w:r>
            <w:r>
              <w:rPr>
                <w:rFonts w:hint="default" w:ascii="Times New Roman" w:hAnsi="Times New Roman" w:eastAsia="宋体" w:cs="Times New Roman"/>
                <w:bCs/>
                <w:color w:val="000000" w:themeColor="text1"/>
                <w:sz w:val="24"/>
                <w:szCs w:val="24"/>
                <w14:textFill>
                  <w14:solidFill>
                    <w14:schemeClr w14:val="tx1"/>
                  </w14:solidFill>
                </w14:textFill>
              </w:rPr>
              <w:t>空气PM</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bCs/>
                <w:color w:val="000000" w:themeColor="text1"/>
                <w:sz w:val="24"/>
                <w:szCs w:val="24"/>
                <w14:textFill>
                  <w14:solidFill>
                    <w14:schemeClr w14:val="tx1"/>
                  </w14:solidFill>
                </w14:textFill>
              </w:rPr>
              <w:t>、PM</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vertAlign w:val="subscript"/>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bCs/>
                <w:color w:val="000000" w:themeColor="text1"/>
                <w:sz w:val="24"/>
                <w:szCs w:val="24"/>
                <w14:textFill>
                  <w14:solidFill>
                    <w14:schemeClr w14:val="tx1"/>
                  </w14:solidFill>
                </w14:textFill>
              </w:rPr>
              <w:t>、SO</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、NO</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、CO、O</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均能满足要求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879F04F">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同时，参考玉溪市生态环境局发布《玉溪市生态环境状况公报（202</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eastAsia="zh-CN"/>
                <w14:textFill>
                  <w14:solidFill>
                    <w14:schemeClr w14:val="tx1"/>
                  </w14:solidFill>
                </w14:textFill>
              </w:rPr>
              <w:t>年度）》中相关数据，</w:t>
            </w:r>
            <w:r>
              <w:rPr>
                <w:rFonts w:hint="default" w:ascii="Times New Roman" w:hAnsi="Times New Roman" w:eastAsia="宋体" w:cs="Times New Roman"/>
                <w:color w:val="000000" w:themeColor="text1"/>
                <w:sz w:val="24"/>
                <w:lang w:val="en-US" w:eastAsia="zh-CN"/>
                <w14:textFill>
                  <w14:solidFill>
                    <w14:schemeClr w14:val="tx1"/>
                  </w14:solidFill>
                </w14:textFill>
              </w:rPr>
              <w:t>2024年江川区空气质量优良天数比率为99.4%。</w:t>
            </w:r>
          </w:p>
          <w:p w14:paraId="6B696009">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综上所述，项目</w:t>
            </w:r>
            <w:r>
              <w:rPr>
                <w:rFonts w:hint="default" w:ascii="Times New Roman" w:hAnsi="Times New Roman" w:eastAsia="宋体" w:cs="Times New Roman"/>
                <w:color w:val="000000" w:themeColor="text1"/>
                <w:kern w:val="0"/>
                <w:sz w:val="24"/>
                <w14:textFill>
                  <w14:solidFill>
                    <w14:schemeClr w14:val="tx1"/>
                  </w14:solidFill>
                </w14:textFill>
              </w:rPr>
              <w:t>所在区域</w:t>
            </w:r>
            <w:r>
              <w:rPr>
                <w:rFonts w:hint="default" w:ascii="Times New Roman" w:hAnsi="Times New Roman" w:eastAsia="宋体" w:cs="Times New Roman"/>
                <w:color w:val="000000" w:themeColor="text1"/>
                <w:kern w:val="0"/>
                <w:sz w:val="24"/>
                <w:lang w:eastAsia="zh-CN"/>
                <w14:textFill>
                  <w14:solidFill>
                    <w14:schemeClr w14:val="tx1"/>
                  </w14:solidFill>
                </w14:textFill>
              </w:rPr>
              <w:t>为</w:t>
            </w:r>
            <w:r>
              <w:rPr>
                <w:rFonts w:hint="default" w:ascii="Times New Roman" w:hAnsi="Times New Roman" w:eastAsia="宋体" w:cs="Times New Roman"/>
                <w:color w:val="000000" w:themeColor="text1"/>
                <w:kern w:val="0"/>
                <w:sz w:val="24"/>
                <w14:textFill>
                  <w14:solidFill>
                    <w14:schemeClr w14:val="tx1"/>
                  </w14:solidFill>
                </w14:textFill>
              </w:rPr>
              <w:t>环境空气质量达标区</w:t>
            </w:r>
            <w:r>
              <w:rPr>
                <w:rFonts w:hint="default" w:ascii="Times New Roman" w:hAnsi="Times New Roman" w:eastAsia="宋体" w:cs="Times New Roman"/>
                <w:color w:val="000000" w:themeColor="text1"/>
                <w:kern w:val="0"/>
                <w:sz w:val="24"/>
                <w:lang w:eastAsia="zh-CN"/>
                <w14:textFill>
                  <w14:solidFill>
                    <w14:schemeClr w14:val="tx1"/>
                  </w14:solidFill>
                </w14:textFill>
              </w:rPr>
              <w:t>。</w:t>
            </w:r>
          </w:p>
          <w:p w14:paraId="6D86B482">
            <w:pPr>
              <w:pageBreakBefore w:val="0"/>
              <w:kinsoku/>
              <w:overflowPunct/>
              <w:topLinePunct w:val="0"/>
              <w:bidi w:val="0"/>
              <w:adjustRightInd w:val="0"/>
              <w:snapToGrid w:val="0"/>
              <w:spacing w:line="356"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2、特征因子环境质量现状</w:t>
            </w:r>
          </w:p>
          <w:p w14:paraId="4989204B">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参考</w:t>
            </w:r>
            <w:r>
              <w:rPr>
                <w:rFonts w:hint="default" w:ascii="Times New Roman" w:hAnsi="Times New Roman" w:eastAsia="宋体" w:cs="Times New Roman"/>
                <w:color w:val="000000" w:themeColor="text1"/>
                <w:sz w:val="24"/>
                <w:szCs w:val="24"/>
                <w14:textFill>
                  <w14:solidFill>
                    <w14:schemeClr w14:val="tx1"/>
                  </w14:solidFill>
                </w14:textFill>
              </w:rPr>
              <w:t>生态环境部环境工程评估中心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2021年10月20日</w:t>
            </w:r>
            <w:r>
              <w:rPr>
                <w:rFonts w:hint="default" w:ascii="Times New Roman" w:hAnsi="Times New Roman" w:eastAsia="宋体" w:cs="Times New Roman"/>
                <w:color w:val="000000" w:themeColor="text1"/>
                <w:sz w:val="24"/>
                <w:szCs w:val="24"/>
                <w:lang w:eastAsia="zh-CN"/>
                <w14:textFill>
                  <w14:solidFill>
                    <w14:schemeClr w14:val="tx1"/>
                  </w14:solidFill>
                </w14:textFill>
              </w:rPr>
              <w:t>发布的</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建设项目环境影响报告表》内容、格式及编制技术指南常见问题解答</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技术指南中提到排放国家、地方环境空气质量标准中有标准限值要求的特征污染物，其中环境空气质量标准指《环境空气质量标准》（GB3095-2012）和地方的环境空气质量标准，不包括《环境影响评价技术导则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w:t>
            </w:r>
            <w:r>
              <w:rPr>
                <w:rFonts w:hint="eastAsia" w:cs="Times New Roman"/>
                <w:color w:val="000000" w:themeColor="text1"/>
                <w:sz w:val="24"/>
                <w:szCs w:val="24"/>
                <w:lang w:eastAsia="zh-CN"/>
                <w14:textFill>
                  <w14:solidFill>
                    <w14:schemeClr w14:val="tx1"/>
                  </w14:solidFill>
                </w14:textFill>
              </w:rPr>
              <w:t>”</w:t>
            </w:r>
          </w:p>
          <w:p w14:paraId="28E29230">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项目运营期特征污染物为颗粒物、NOx和挥发性有机废气，挥发性有机废气不属于《环境空气质量标准》（GB3095-2012），故可不纳入现状监测范围。</w:t>
            </w:r>
          </w:p>
          <w:p w14:paraId="4C8AB108">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本次</w:t>
            </w:r>
            <w:r>
              <w:rPr>
                <w:rFonts w:hint="default" w:ascii="Times New Roman" w:hAnsi="Times New Roman" w:eastAsia="宋体" w:cs="Times New Roman"/>
                <w:color w:val="000000" w:themeColor="text1"/>
                <w:kern w:val="0"/>
                <w:sz w:val="24"/>
                <w14:textFill>
                  <w14:solidFill>
                    <w14:schemeClr w14:val="tx1"/>
                  </w14:solidFill>
                </w14:textFill>
              </w:rPr>
              <w:t>为了解项目的特征因子环境质量现状，</w:t>
            </w:r>
            <w:r>
              <w:rPr>
                <w:rFonts w:hint="default" w:ascii="Times New Roman" w:hAnsi="Times New Roman" w:eastAsia="宋体" w:cs="Times New Roman"/>
                <w:color w:val="000000" w:themeColor="text1"/>
                <w:kern w:val="0"/>
                <w:sz w:val="24"/>
                <w:lang w:eastAsia="zh-CN"/>
                <w14:textFill>
                  <w14:solidFill>
                    <w14:schemeClr w14:val="tx1"/>
                  </w14:solidFill>
                </w14:textFill>
              </w:rPr>
              <w:t>故</w:t>
            </w:r>
            <w:r>
              <w:rPr>
                <w:rFonts w:hint="default" w:ascii="Times New Roman" w:hAnsi="Times New Roman" w:eastAsia="宋体" w:cs="Times New Roman"/>
                <w:color w:val="000000" w:themeColor="text1"/>
                <w:kern w:val="0"/>
                <w:sz w:val="24"/>
                <w14:textFill>
                  <w14:solidFill>
                    <w14:schemeClr w14:val="tx1"/>
                  </w14:solidFill>
                </w14:textFill>
              </w:rPr>
              <w:t>本次评价引用了</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2025年7月11~18日云南天籁环保科技有限公司《玉溪卓美塑料制品制造有限公司塑料制品项目》现状监测中总悬浮颗粒物TSP和非甲烷总烃NMHC的监测数据，该监测点位位于江川工业园区管委会处，该点位以S1计，位于本项目东北侧约40m处，位于项目下风向，</w:t>
            </w:r>
            <w:r>
              <w:rPr>
                <w:rFonts w:hint="default" w:ascii="Times New Roman" w:hAnsi="Times New Roman" w:eastAsia="宋体" w:cs="Times New Roman"/>
                <w:color w:val="000000" w:themeColor="text1"/>
                <w:sz w:val="24"/>
                <w:szCs w:val="24"/>
                <w:lang w:eastAsia="zh-CN"/>
                <w14:textFill>
                  <w14:solidFill>
                    <w14:schemeClr w14:val="tx1"/>
                  </w14:solidFill>
                </w14:textFill>
              </w:rPr>
              <w:t>该监测点</w:t>
            </w:r>
            <w:r>
              <w:rPr>
                <w:rFonts w:hint="default" w:ascii="Times New Roman" w:hAnsi="Times New Roman" w:eastAsia="宋体" w:cs="Times New Roman"/>
                <w:color w:val="000000" w:themeColor="text1"/>
                <w:sz w:val="24"/>
                <w:szCs w:val="24"/>
                <w14:textFill>
                  <w14:solidFill>
                    <w14:schemeClr w14:val="tx1"/>
                  </w14:solidFill>
                </w14:textFill>
              </w:rPr>
              <w:t>位于项目5km范围内，监测时间为近3年数据，</w:t>
            </w:r>
          </w:p>
          <w:p w14:paraId="498385CE">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本次</w:t>
            </w:r>
            <w:r>
              <w:rPr>
                <w:rFonts w:hint="default" w:ascii="Times New Roman" w:hAnsi="Times New Roman" w:eastAsia="宋体" w:cs="Times New Roman"/>
                <w:color w:val="000000" w:themeColor="text1"/>
                <w:kern w:val="0"/>
                <w:sz w:val="24"/>
                <w14:textFill>
                  <w14:solidFill>
                    <w14:schemeClr w14:val="tx1"/>
                  </w14:solidFill>
                </w14:textFill>
              </w:rPr>
              <w:t>为了解项目的特征因子环境质量现状，</w:t>
            </w:r>
            <w:r>
              <w:rPr>
                <w:rFonts w:hint="default" w:ascii="Times New Roman" w:hAnsi="Times New Roman" w:eastAsia="宋体" w:cs="Times New Roman"/>
                <w:color w:val="000000" w:themeColor="text1"/>
                <w:kern w:val="0"/>
                <w:sz w:val="24"/>
                <w:lang w:eastAsia="zh-CN"/>
                <w14:textFill>
                  <w14:solidFill>
                    <w14:schemeClr w14:val="tx1"/>
                  </w14:solidFill>
                </w14:textFill>
              </w:rPr>
              <w:t>故</w:t>
            </w:r>
            <w:r>
              <w:rPr>
                <w:rFonts w:hint="default" w:ascii="Times New Roman" w:hAnsi="Times New Roman" w:eastAsia="宋体" w:cs="Times New Roman"/>
                <w:color w:val="000000" w:themeColor="text1"/>
                <w:kern w:val="0"/>
                <w:sz w:val="24"/>
                <w14:textFill>
                  <w14:solidFill>
                    <w14:schemeClr w14:val="tx1"/>
                  </w14:solidFill>
                </w14:textFill>
              </w:rPr>
              <w:t>本次评价引用了</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2025年6月24~30日云南天倪检测有限公司《玉溪新天力农业装备制造有限公司年产3万辆电动摩托车生产项目》现状监测中氮氧化物NOx的监测数据，该监测点位位于赵官村处，该点位以S2计，位于本项目东北侧约1.1m处，位于项目下风向，</w:t>
            </w:r>
            <w:r>
              <w:rPr>
                <w:rFonts w:hint="default" w:ascii="Times New Roman" w:hAnsi="Times New Roman" w:eastAsia="宋体" w:cs="Times New Roman"/>
                <w:color w:val="000000" w:themeColor="text1"/>
                <w:sz w:val="24"/>
                <w:szCs w:val="24"/>
                <w:lang w:eastAsia="zh-CN"/>
                <w14:textFill>
                  <w14:solidFill>
                    <w14:schemeClr w14:val="tx1"/>
                  </w14:solidFill>
                </w14:textFill>
              </w:rPr>
              <w:t>该监测点</w:t>
            </w:r>
            <w:r>
              <w:rPr>
                <w:rFonts w:hint="default" w:ascii="Times New Roman" w:hAnsi="Times New Roman" w:eastAsia="宋体" w:cs="Times New Roman"/>
                <w:color w:val="000000" w:themeColor="text1"/>
                <w:sz w:val="24"/>
                <w:szCs w:val="24"/>
                <w14:textFill>
                  <w14:solidFill>
                    <w14:schemeClr w14:val="tx1"/>
                  </w14:solidFill>
                </w14:textFill>
              </w:rPr>
              <w:t>位于项目5km范围内，监测时间</w:t>
            </w:r>
            <w:r>
              <w:rPr>
                <w:rFonts w:hint="default" w:ascii="Times New Roman" w:hAnsi="Times New Roman" w:eastAsia="宋体" w:cs="Times New Roman"/>
                <w:color w:val="000000" w:themeColor="text1"/>
                <w:sz w:val="24"/>
                <w:szCs w:val="24"/>
                <w:lang w:eastAsia="zh-CN"/>
                <w14:textFill>
                  <w14:solidFill>
                    <w14:schemeClr w14:val="tx1"/>
                  </w14:solidFill>
                </w14:textFill>
              </w:rPr>
              <w:t>为近3年数据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4274275C">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参考</w:t>
            </w:r>
            <w:r>
              <w:rPr>
                <w:rFonts w:hint="default" w:ascii="Times New Roman" w:hAnsi="Times New Roman" w:eastAsia="宋体" w:cs="Times New Roman"/>
                <w:color w:val="000000" w:themeColor="text1"/>
                <w:sz w:val="24"/>
                <w:szCs w:val="24"/>
                <w14:textFill>
                  <w14:solidFill>
                    <w14:schemeClr w14:val="tx1"/>
                  </w14:solidFill>
                </w14:textFill>
              </w:rPr>
              <w:t>生态环境部环境工程评估中心</w:t>
            </w:r>
            <w:r>
              <w:rPr>
                <w:rFonts w:hint="default" w:ascii="Times New Roman" w:hAnsi="Times New Roman" w:eastAsia="宋体" w:cs="Times New Roman"/>
                <w:color w:val="000000" w:themeColor="text1"/>
                <w:sz w:val="24"/>
                <w:szCs w:val="24"/>
                <w:lang w:eastAsia="zh-CN"/>
                <w14:textFill>
                  <w14:solidFill>
                    <w14:schemeClr w14:val="tx1"/>
                  </w14:solidFill>
                </w14:textFill>
              </w:rPr>
              <w:t>发布的</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建设项目环境影响报告表》内容、格式及编制技术指南常见问题解答</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引用的数据要求为建设项目周边5千米范围内近3年的现有监测数据，建设项目周边5千米指厂界外延5千米的范围，引用的现状数据不限定当季主导风向下风向的数据。</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因此</w:t>
            </w:r>
            <w:r>
              <w:rPr>
                <w:rFonts w:hint="default" w:ascii="Times New Roman" w:hAnsi="Times New Roman" w:eastAsia="宋体" w:cs="Times New Roman"/>
                <w:color w:val="000000" w:themeColor="text1"/>
                <w:sz w:val="24"/>
                <w:szCs w:val="24"/>
                <w:lang w:eastAsia="zh-CN"/>
                <w14:textFill>
                  <w14:solidFill>
                    <w14:schemeClr w14:val="tx1"/>
                  </w14:solidFill>
                </w14:textFill>
              </w:rPr>
              <w:t>引用数据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S1、S2点位</w:t>
            </w:r>
            <w:r>
              <w:rPr>
                <w:rFonts w:hint="default" w:ascii="Times New Roman" w:hAnsi="Times New Roman" w:eastAsia="宋体" w:cs="Times New Roman"/>
                <w:color w:val="000000" w:themeColor="text1"/>
                <w:sz w:val="24"/>
                <w:szCs w:val="24"/>
                <w14:textFill>
                  <w14:solidFill>
                    <w14:schemeClr w14:val="tx1"/>
                  </w14:solidFill>
                </w14:textFill>
              </w:rPr>
              <w:t>监测数据</w:t>
            </w:r>
            <w:r>
              <w:rPr>
                <w:rFonts w:hint="default" w:ascii="Times New Roman" w:hAnsi="Times New Roman" w:eastAsia="宋体" w:cs="Times New Roman"/>
                <w:color w:val="000000" w:themeColor="text1"/>
                <w:sz w:val="24"/>
                <w:szCs w:val="24"/>
                <w:lang w:eastAsia="zh-CN"/>
                <w14:textFill>
                  <w14:solidFill>
                    <w14:schemeClr w14:val="tx1"/>
                  </w14:solidFill>
                </w14:textFill>
              </w:rPr>
              <w:t>均</w:t>
            </w:r>
            <w:r>
              <w:rPr>
                <w:rFonts w:hint="default" w:ascii="Times New Roman" w:hAnsi="Times New Roman" w:eastAsia="宋体" w:cs="Times New Roman"/>
                <w:color w:val="000000" w:themeColor="text1"/>
                <w:sz w:val="24"/>
                <w:szCs w:val="24"/>
                <w14:textFill>
                  <w14:solidFill>
                    <w14:schemeClr w14:val="tx1"/>
                  </w14:solidFill>
                </w14:textFill>
              </w:rPr>
              <w:t>为有效数据。</w:t>
            </w:r>
          </w:p>
          <w:p w14:paraId="4FB3A3BC">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监测结果如下表所示。</w:t>
            </w:r>
            <w:r>
              <w:rPr>
                <w:rFonts w:hint="default" w:ascii="Times New Roman" w:hAnsi="Times New Roman" w:eastAsia="宋体" w:cs="Times New Roman"/>
                <w:color w:val="000000" w:themeColor="text1"/>
                <w:sz w:val="24"/>
                <w:szCs w:val="24"/>
                <w:lang w:eastAsia="zh-CN"/>
                <w14:textFill>
                  <w14:solidFill>
                    <w14:schemeClr w14:val="tx1"/>
                  </w14:solidFill>
                </w14:textFill>
              </w:rPr>
              <w:t>引用监测点位图见图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3-1。</w:t>
            </w:r>
          </w:p>
          <w:p w14:paraId="2ADB9BEA">
            <w:pPr>
              <w:pStyle w:val="130"/>
              <w:pageBreakBefore w:val="0"/>
              <w:kinsoku/>
              <w:overflowPunct/>
              <w:topLinePunct w:val="0"/>
              <w:bidi w:val="0"/>
              <w:spacing w:before="0"/>
              <w:ind w:left="0" w:leftChars="0" w:right="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 xml:space="preserve">  环境质量现状监测结果</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881"/>
              <w:gridCol w:w="1491"/>
              <w:gridCol w:w="1932"/>
              <w:gridCol w:w="1240"/>
              <w:gridCol w:w="779"/>
              <w:gridCol w:w="999"/>
              <w:gridCol w:w="12"/>
            </w:tblGrid>
            <w:tr w14:paraId="5CEF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Align w:val="center"/>
                </w:tcPr>
                <w:p w14:paraId="2B5861AE">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监测点位</w:t>
                  </w:r>
                </w:p>
              </w:tc>
              <w:tc>
                <w:tcPr>
                  <w:tcW w:w="544" w:type="pct"/>
                  <w:vAlign w:val="center"/>
                </w:tcPr>
                <w:p w14:paraId="468C58C8">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检测项目</w:t>
                  </w:r>
                </w:p>
              </w:tc>
              <w:tc>
                <w:tcPr>
                  <w:tcW w:w="2114" w:type="pct"/>
                  <w:gridSpan w:val="2"/>
                  <w:vAlign w:val="center"/>
                </w:tcPr>
                <w:p w14:paraId="295FF56B">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监测日期/时段</w:t>
                  </w:r>
                </w:p>
              </w:tc>
              <w:tc>
                <w:tcPr>
                  <w:tcW w:w="766" w:type="pct"/>
                  <w:vAlign w:val="center"/>
                </w:tcPr>
                <w:p w14:paraId="02D93DB6">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检测结果（</w:t>
                  </w:r>
                  <w:r>
                    <w:rPr>
                      <w:rFonts w:hint="default" w:ascii="Times New Roman" w:hAnsi="Times New Roman" w:eastAsia="宋体" w:cs="Times New Roman"/>
                      <w:color w:val="000000" w:themeColor="text1"/>
                      <w14:textFill>
                        <w14:solidFill>
                          <w14:schemeClr w14:val="tx1"/>
                        </w14:solidFill>
                      </w14:textFill>
                    </w:rPr>
                    <w:t>μg/m³</w:t>
                  </w:r>
                  <w:r>
                    <w:rPr>
                      <w:rFonts w:hint="default" w:ascii="Times New Roman" w:hAnsi="Times New Roman" w:eastAsia="宋体" w:cs="Times New Roman"/>
                      <w:b/>
                      <w:bCs/>
                      <w:color w:val="000000" w:themeColor="text1"/>
                      <w14:textFill>
                        <w14:solidFill>
                          <w14:schemeClr w14:val="tx1"/>
                        </w14:solidFill>
                      </w14:textFill>
                    </w:rPr>
                    <w:t>）</w:t>
                  </w:r>
                </w:p>
              </w:tc>
              <w:tc>
                <w:tcPr>
                  <w:tcW w:w="481" w:type="pct"/>
                  <w:vAlign w:val="center"/>
                </w:tcPr>
                <w:p w14:paraId="1E164146">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标准限值</w:t>
                  </w:r>
                </w:p>
              </w:tc>
              <w:tc>
                <w:tcPr>
                  <w:tcW w:w="624" w:type="pct"/>
                  <w:gridSpan w:val="2"/>
                  <w:vAlign w:val="center"/>
                </w:tcPr>
                <w:p w14:paraId="757A980A">
                  <w:pPr>
                    <w:pStyle w:val="125"/>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达标情况</w:t>
                  </w:r>
                </w:p>
              </w:tc>
            </w:tr>
            <w:tr w14:paraId="4B97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90" w:hRule="atLeast"/>
              </w:trPr>
              <w:tc>
                <w:tcPr>
                  <w:tcW w:w="468" w:type="pct"/>
                  <w:vMerge w:val="restart"/>
                  <w:vAlign w:val="center"/>
                </w:tcPr>
                <w:p w14:paraId="1D47A0A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S1</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江川工业园区管委会处</w:t>
                  </w:r>
                </w:p>
              </w:tc>
              <w:tc>
                <w:tcPr>
                  <w:tcW w:w="544" w:type="pct"/>
                  <w:vMerge w:val="restart"/>
                  <w:vAlign w:val="center"/>
                </w:tcPr>
                <w:p w14:paraId="4D7C382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总悬浮颗粒物</w:t>
                  </w:r>
                  <w:r>
                    <w:rPr>
                      <w:rFonts w:hint="default" w:ascii="Times New Roman" w:hAnsi="Times New Roman" w:eastAsia="宋体" w:cs="Times New Roman"/>
                      <w:color w:val="000000" w:themeColor="text1"/>
                      <w:lang w:val="en-US" w:eastAsia="zh-CN"/>
                      <w14:textFill>
                        <w14:solidFill>
                          <w14:schemeClr w14:val="tx1"/>
                        </w14:solidFill>
                      </w14:textFill>
                    </w:rPr>
                    <w:t>TSP</w:t>
                  </w:r>
                </w:p>
              </w:tc>
              <w:tc>
                <w:tcPr>
                  <w:tcW w:w="2114" w:type="pct"/>
                  <w:gridSpan w:val="2"/>
                  <w:vAlign w:val="center"/>
                </w:tcPr>
                <w:p w14:paraId="3F07004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2025.7.11~12（16:00~次日16:00）</w:t>
                  </w:r>
                </w:p>
              </w:tc>
              <w:tc>
                <w:tcPr>
                  <w:tcW w:w="766" w:type="pct"/>
                  <w:vAlign w:val="center"/>
                </w:tcPr>
                <w:p w14:paraId="25B8C0D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147</w:t>
                  </w:r>
                </w:p>
              </w:tc>
              <w:tc>
                <w:tcPr>
                  <w:tcW w:w="481" w:type="pct"/>
                  <w:vMerge w:val="restart"/>
                  <w:vAlign w:val="center"/>
                </w:tcPr>
                <w:p w14:paraId="4244E3D0">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300</w:t>
                  </w:r>
                </w:p>
              </w:tc>
              <w:tc>
                <w:tcPr>
                  <w:tcW w:w="617" w:type="pct"/>
                  <w:vAlign w:val="center"/>
                </w:tcPr>
                <w:p w14:paraId="5EE8447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5099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7BAE4C7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3C61275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2114" w:type="pct"/>
                  <w:gridSpan w:val="2"/>
                  <w:vAlign w:val="center"/>
                </w:tcPr>
                <w:p w14:paraId="1D6F0BBC">
                  <w:pPr>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2025.7.12~13（16:10~次日16:10）</w:t>
                  </w:r>
                </w:p>
              </w:tc>
              <w:tc>
                <w:tcPr>
                  <w:tcW w:w="766" w:type="pct"/>
                  <w:vAlign w:val="center"/>
                </w:tcPr>
                <w:p w14:paraId="6C259B3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155</w:t>
                  </w:r>
                </w:p>
              </w:tc>
              <w:tc>
                <w:tcPr>
                  <w:tcW w:w="481" w:type="pct"/>
                  <w:vMerge w:val="continue"/>
                  <w:vAlign w:val="center"/>
                </w:tcPr>
                <w:p w14:paraId="3D27E70E">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Align w:val="center"/>
                </w:tcPr>
                <w:p w14:paraId="4401A21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44E8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2CDB682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21DFB12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2114" w:type="pct"/>
                  <w:gridSpan w:val="2"/>
                  <w:vAlign w:val="center"/>
                </w:tcPr>
                <w:p w14:paraId="057C885C">
                  <w:pPr>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2025.7.13~14（16:20~次日16:20）</w:t>
                  </w:r>
                </w:p>
              </w:tc>
              <w:tc>
                <w:tcPr>
                  <w:tcW w:w="766" w:type="pct"/>
                  <w:vAlign w:val="center"/>
                </w:tcPr>
                <w:p w14:paraId="1F305780">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152</w:t>
                  </w:r>
                </w:p>
              </w:tc>
              <w:tc>
                <w:tcPr>
                  <w:tcW w:w="481" w:type="pct"/>
                  <w:vMerge w:val="continue"/>
                  <w:vAlign w:val="center"/>
                </w:tcPr>
                <w:p w14:paraId="14F6DCB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Align w:val="center"/>
                </w:tcPr>
                <w:p w14:paraId="054AC8C0">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79A2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90" w:hRule="atLeast"/>
              </w:trPr>
              <w:tc>
                <w:tcPr>
                  <w:tcW w:w="468" w:type="pct"/>
                  <w:vMerge w:val="continue"/>
                  <w:vAlign w:val="center"/>
                </w:tcPr>
                <w:p w14:paraId="54F27188">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4C17447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2114" w:type="pct"/>
                  <w:gridSpan w:val="2"/>
                  <w:vAlign w:val="center"/>
                </w:tcPr>
                <w:p w14:paraId="3FB00454">
                  <w:pPr>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2025.7.14~15（16:30~次日16:30）</w:t>
                  </w:r>
                </w:p>
              </w:tc>
              <w:tc>
                <w:tcPr>
                  <w:tcW w:w="766" w:type="pct"/>
                  <w:vAlign w:val="center"/>
                </w:tcPr>
                <w:p w14:paraId="717FD8F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156</w:t>
                  </w:r>
                </w:p>
              </w:tc>
              <w:tc>
                <w:tcPr>
                  <w:tcW w:w="481" w:type="pct"/>
                  <w:vMerge w:val="continue"/>
                  <w:vAlign w:val="center"/>
                </w:tcPr>
                <w:p w14:paraId="3B538B5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Align w:val="center"/>
                </w:tcPr>
                <w:p w14:paraId="5DE1C600">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43DB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63876650">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358D763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2114" w:type="pct"/>
                  <w:gridSpan w:val="2"/>
                  <w:vAlign w:val="center"/>
                </w:tcPr>
                <w:p w14:paraId="27EB803A">
                  <w:pPr>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2025.7.15~16（16:40~次日16:40）</w:t>
                  </w:r>
                </w:p>
              </w:tc>
              <w:tc>
                <w:tcPr>
                  <w:tcW w:w="766" w:type="pct"/>
                  <w:vAlign w:val="center"/>
                </w:tcPr>
                <w:p w14:paraId="4E47775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148</w:t>
                  </w:r>
                </w:p>
              </w:tc>
              <w:tc>
                <w:tcPr>
                  <w:tcW w:w="481" w:type="pct"/>
                  <w:vMerge w:val="continue"/>
                  <w:vAlign w:val="center"/>
                </w:tcPr>
                <w:p w14:paraId="3040082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Align w:val="center"/>
                </w:tcPr>
                <w:p w14:paraId="0F44836E">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6E9D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5966DA9E">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0EBFC77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2114" w:type="pct"/>
                  <w:gridSpan w:val="2"/>
                  <w:vAlign w:val="center"/>
                </w:tcPr>
                <w:p w14:paraId="76ECDFF5">
                  <w:pPr>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2025.7.16~17（16:50~次日16:50）</w:t>
                  </w:r>
                </w:p>
              </w:tc>
              <w:tc>
                <w:tcPr>
                  <w:tcW w:w="766" w:type="pct"/>
                  <w:vAlign w:val="center"/>
                </w:tcPr>
                <w:p w14:paraId="02E5E13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151</w:t>
                  </w:r>
                </w:p>
              </w:tc>
              <w:tc>
                <w:tcPr>
                  <w:tcW w:w="481" w:type="pct"/>
                  <w:vMerge w:val="continue"/>
                  <w:vAlign w:val="center"/>
                </w:tcPr>
                <w:p w14:paraId="0EB7E8D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Align w:val="center"/>
                </w:tcPr>
                <w:p w14:paraId="65A65A8F">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0323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202" w:hRule="atLeast"/>
              </w:trPr>
              <w:tc>
                <w:tcPr>
                  <w:tcW w:w="468" w:type="pct"/>
                  <w:vMerge w:val="continue"/>
                  <w:vAlign w:val="center"/>
                </w:tcPr>
                <w:p w14:paraId="7432CF8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4B0ABF3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2114" w:type="pct"/>
                  <w:gridSpan w:val="2"/>
                  <w:vAlign w:val="center"/>
                </w:tcPr>
                <w:p w14:paraId="3018D48C">
                  <w:pPr>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2025.7.17~18（17:00~次日17:00）</w:t>
                  </w:r>
                </w:p>
              </w:tc>
              <w:tc>
                <w:tcPr>
                  <w:tcW w:w="766" w:type="pct"/>
                  <w:vAlign w:val="center"/>
                </w:tcPr>
                <w:p w14:paraId="2D890DB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155</w:t>
                  </w:r>
                </w:p>
              </w:tc>
              <w:tc>
                <w:tcPr>
                  <w:tcW w:w="481" w:type="pct"/>
                  <w:vMerge w:val="continue"/>
                  <w:vAlign w:val="center"/>
                </w:tcPr>
                <w:p w14:paraId="117DD070">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Align w:val="center"/>
                </w:tcPr>
                <w:p w14:paraId="329613E5">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4B9F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1E7FCAF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restart"/>
                  <w:vAlign w:val="center"/>
                </w:tcPr>
                <w:p w14:paraId="322D9C2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非甲烷总烃</w:t>
                  </w:r>
                  <w:r>
                    <w:rPr>
                      <w:rFonts w:hint="default" w:ascii="Times New Roman" w:hAnsi="Times New Roman" w:eastAsia="宋体" w:cs="Times New Roman"/>
                      <w:color w:val="000000" w:themeColor="text1"/>
                      <w:lang w:val="en-US" w:eastAsia="zh-CN"/>
                      <w14:textFill>
                        <w14:solidFill>
                          <w14:schemeClr w14:val="tx1"/>
                        </w14:solidFill>
                      </w14:textFill>
                    </w:rPr>
                    <w:t>NMHC</w:t>
                  </w:r>
                </w:p>
              </w:tc>
              <w:tc>
                <w:tcPr>
                  <w:tcW w:w="921" w:type="pct"/>
                  <w:vMerge w:val="restart"/>
                  <w:vAlign w:val="center"/>
                </w:tcPr>
                <w:p w14:paraId="155526A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2025.07.12</w:t>
                  </w:r>
                </w:p>
              </w:tc>
              <w:tc>
                <w:tcPr>
                  <w:tcW w:w="1193" w:type="pct"/>
                  <w:vAlign w:val="center"/>
                </w:tcPr>
                <w:p w14:paraId="3BA010F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02:00~02:03</w:t>
                  </w:r>
                </w:p>
              </w:tc>
              <w:tc>
                <w:tcPr>
                  <w:tcW w:w="766" w:type="pct"/>
                  <w:vAlign w:val="center"/>
                </w:tcPr>
                <w:p w14:paraId="6D0A26B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w:t>
                  </w:r>
                </w:p>
              </w:tc>
              <w:tc>
                <w:tcPr>
                  <w:tcW w:w="481" w:type="pct"/>
                  <w:vMerge w:val="restart"/>
                  <w:vAlign w:val="center"/>
                </w:tcPr>
                <w:p w14:paraId="13EDC26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617" w:type="pct"/>
                  <w:vMerge w:val="restart"/>
                  <w:vAlign w:val="center"/>
                </w:tcPr>
                <w:p w14:paraId="674CFD62">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150D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05824E3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744B78C7">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21" w:type="pct"/>
                  <w:vMerge w:val="continue"/>
                  <w:vAlign w:val="center"/>
                </w:tcPr>
                <w:p w14:paraId="71AEF622">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5FDF0E95">
                  <w:pPr>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08:00~08:03</w:t>
                  </w:r>
                </w:p>
              </w:tc>
              <w:tc>
                <w:tcPr>
                  <w:tcW w:w="766" w:type="pct"/>
                  <w:vAlign w:val="center"/>
                </w:tcPr>
                <w:p w14:paraId="0D930C8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481" w:type="pct"/>
                  <w:vMerge w:val="continue"/>
                  <w:vAlign w:val="center"/>
                </w:tcPr>
                <w:p w14:paraId="55FAA22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617" w:type="pct"/>
                  <w:vMerge w:val="continue"/>
                  <w:vAlign w:val="center"/>
                </w:tcPr>
                <w:p w14:paraId="1C8F526B">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503E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90" w:hRule="atLeast"/>
              </w:trPr>
              <w:tc>
                <w:tcPr>
                  <w:tcW w:w="468" w:type="pct"/>
                  <w:vMerge w:val="continue"/>
                  <w:vAlign w:val="center"/>
                </w:tcPr>
                <w:p w14:paraId="603EFE8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0BBEE542">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21" w:type="pct"/>
                  <w:vMerge w:val="continue"/>
                  <w:vAlign w:val="center"/>
                </w:tcPr>
                <w:p w14:paraId="600EF94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623FDFB1">
                  <w:pPr>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14:00~14:03</w:t>
                  </w:r>
                </w:p>
              </w:tc>
              <w:tc>
                <w:tcPr>
                  <w:tcW w:w="766" w:type="pct"/>
                  <w:vAlign w:val="center"/>
                </w:tcPr>
                <w:p w14:paraId="1A3CF38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1.34</w:t>
                  </w:r>
                </w:p>
              </w:tc>
              <w:tc>
                <w:tcPr>
                  <w:tcW w:w="481" w:type="pct"/>
                  <w:vMerge w:val="continue"/>
                  <w:vAlign w:val="center"/>
                </w:tcPr>
                <w:p w14:paraId="0425DF2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617" w:type="pct"/>
                  <w:vMerge w:val="continue"/>
                  <w:vAlign w:val="center"/>
                </w:tcPr>
                <w:p w14:paraId="319D90C1">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3FCE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0E32F31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4EAE68A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21" w:type="pct"/>
                  <w:vMerge w:val="continue"/>
                  <w:vAlign w:val="center"/>
                </w:tcPr>
                <w:p w14:paraId="49CBE55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6ED9D65B">
                  <w:pPr>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20:00~20:03</w:t>
                  </w:r>
                </w:p>
              </w:tc>
              <w:tc>
                <w:tcPr>
                  <w:tcW w:w="766" w:type="pct"/>
                  <w:vAlign w:val="center"/>
                </w:tcPr>
                <w:p w14:paraId="39299F3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1.41</w:t>
                  </w:r>
                </w:p>
              </w:tc>
              <w:tc>
                <w:tcPr>
                  <w:tcW w:w="481" w:type="pct"/>
                  <w:vMerge w:val="continue"/>
                  <w:vAlign w:val="center"/>
                </w:tcPr>
                <w:p w14:paraId="6123F198">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617" w:type="pct"/>
                  <w:vMerge w:val="continue"/>
                  <w:vAlign w:val="center"/>
                </w:tcPr>
                <w:p w14:paraId="08DE4ADD">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2DFE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90" w:hRule="atLeast"/>
              </w:trPr>
              <w:tc>
                <w:tcPr>
                  <w:tcW w:w="468" w:type="pct"/>
                  <w:vMerge w:val="continue"/>
                  <w:vAlign w:val="center"/>
                </w:tcPr>
                <w:p w14:paraId="198A3E87">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00DD2FF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21" w:type="pct"/>
                  <w:vMerge w:val="restart"/>
                  <w:vAlign w:val="center"/>
                </w:tcPr>
                <w:p w14:paraId="7A9CE80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2025.07.13</w:t>
                  </w:r>
                </w:p>
              </w:tc>
              <w:tc>
                <w:tcPr>
                  <w:tcW w:w="1193" w:type="pct"/>
                  <w:vAlign w:val="center"/>
                </w:tcPr>
                <w:p w14:paraId="436B8EB1">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02:00~02:03</w:t>
                  </w:r>
                </w:p>
              </w:tc>
              <w:tc>
                <w:tcPr>
                  <w:tcW w:w="766" w:type="pct"/>
                  <w:vAlign w:val="center"/>
                </w:tcPr>
                <w:p w14:paraId="6E7B50DE">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481" w:type="pct"/>
                  <w:vMerge w:val="restart"/>
                  <w:vAlign w:val="center"/>
                </w:tcPr>
                <w:p w14:paraId="01234AAB">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617" w:type="pct"/>
                  <w:vMerge w:val="restart"/>
                  <w:vAlign w:val="center"/>
                </w:tcPr>
                <w:p w14:paraId="379FE816">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147A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70D3AE42">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6124651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21" w:type="pct"/>
                  <w:vMerge w:val="continue"/>
                  <w:vAlign w:val="center"/>
                </w:tcPr>
                <w:p w14:paraId="1C18973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3B3615DC">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08:00~08:03</w:t>
                  </w:r>
                </w:p>
              </w:tc>
              <w:tc>
                <w:tcPr>
                  <w:tcW w:w="766" w:type="pct"/>
                  <w:vAlign w:val="center"/>
                </w:tcPr>
                <w:p w14:paraId="613B53E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1.46</w:t>
                  </w:r>
                </w:p>
              </w:tc>
              <w:tc>
                <w:tcPr>
                  <w:tcW w:w="481" w:type="pct"/>
                  <w:vMerge w:val="continue"/>
                  <w:vAlign w:val="center"/>
                </w:tcPr>
                <w:p w14:paraId="7DF21FAE">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617" w:type="pct"/>
                  <w:vMerge w:val="continue"/>
                  <w:vAlign w:val="center"/>
                </w:tcPr>
                <w:p w14:paraId="6541045C">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0A59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7019D417">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7FED2DE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21" w:type="pct"/>
                  <w:vMerge w:val="continue"/>
                  <w:vAlign w:val="center"/>
                </w:tcPr>
                <w:p w14:paraId="08C5453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01D76D63">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14:00~14:03</w:t>
                  </w:r>
                </w:p>
              </w:tc>
              <w:tc>
                <w:tcPr>
                  <w:tcW w:w="766" w:type="pct"/>
                  <w:vAlign w:val="center"/>
                </w:tcPr>
                <w:p w14:paraId="270DD98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1.39</w:t>
                  </w:r>
                </w:p>
              </w:tc>
              <w:tc>
                <w:tcPr>
                  <w:tcW w:w="481" w:type="pct"/>
                  <w:vMerge w:val="continue"/>
                  <w:vAlign w:val="center"/>
                </w:tcPr>
                <w:p w14:paraId="30D1EAA2">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617" w:type="pct"/>
                  <w:vMerge w:val="continue"/>
                  <w:vAlign w:val="center"/>
                </w:tcPr>
                <w:p w14:paraId="6A1D1139">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1000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3E7FDA3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7EB75C8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21" w:type="pct"/>
                  <w:vMerge w:val="continue"/>
                  <w:vAlign w:val="center"/>
                </w:tcPr>
                <w:p w14:paraId="52ECD22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7072432F">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20:00~20:03</w:t>
                  </w:r>
                </w:p>
              </w:tc>
              <w:tc>
                <w:tcPr>
                  <w:tcW w:w="766" w:type="pct"/>
                  <w:vAlign w:val="center"/>
                </w:tcPr>
                <w:p w14:paraId="7B06F4B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1.42</w:t>
                  </w:r>
                </w:p>
              </w:tc>
              <w:tc>
                <w:tcPr>
                  <w:tcW w:w="481" w:type="pct"/>
                  <w:vMerge w:val="continue"/>
                  <w:vAlign w:val="center"/>
                </w:tcPr>
                <w:p w14:paraId="565B4ACE">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617" w:type="pct"/>
                  <w:vMerge w:val="continue"/>
                  <w:vAlign w:val="center"/>
                </w:tcPr>
                <w:p w14:paraId="4CB20CB4">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0DD4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36E4C2B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67DFD4A7">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21" w:type="pct"/>
                  <w:vMerge w:val="restart"/>
                  <w:vAlign w:val="center"/>
                </w:tcPr>
                <w:p w14:paraId="0C551E0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2025.07.14</w:t>
                  </w:r>
                </w:p>
              </w:tc>
              <w:tc>
                <w:tcPr>
                  <w:tcW w:w="1193" w:type="pct"/>
                  <w:vAlign w:val="center"/>
                </w:tcPr>
                <w:p w14:paraId="3F37725D">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02:00~02:03</w:t>
                  </w:r>
                </w:p>
              </w:tc>
              <w:tc>
                <w:tcPr>
                  <w:tcW w:w="766" w:type="pct"/>
                  <w:vAlign w:val="center"/>
                </w:tcPr>
                <w:p w14:paraId="3241129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1.18</w:t>
                  </w:r>
                </w:p>
              </w:tc>
              <w:tc>
                <w:tcPr>
                  <w:tcW w:w="481" w:type="pct"/>
                  <w:vMerge w:val="restart"/>
                  <w:vAlign w:val="center"/>
                </w:tcPr>
                <w:p w14:paraId="51596A36">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617" w:type="pct"/>
                  <w:vMerge w:val="restart"/>
                  <w:vAlign w:val="center"/>
                </w:tcPr>
                <w:p w14:paraId="1C15D0FC">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0CCD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32962C00">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60A19A38">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4FBF6F5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797BD63E">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08:00~08:03</w:t>
                  </w:r>
                </w:p>
              </w:tc>
              <w:tc>
                <w:tcPr>
                  <w:tcW w:w="766" w:type="pct"/>
                  <w:vAlign w:val="center"/>
                </w:tcPr>
                <w:p w14:paraId="1032D6E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1.22</w:t>
                  </w:r>
                </w:p>
              </w:tc>
              <w:tc>
                <w:tcPr>
                  <w:tcW w:w="481" w:type="pct"/>
                  <w:vMerge w:val="continue"/>
                  <w:vAlign w:val="center"/>
                </w:tcPr>
                <w:p w14:paraId="13E81D5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46B21B7C">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1C57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41BAD0C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3F6CBC0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083F467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5080AEC8">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14:00~14:03</w:t>
                  </w:r>
                </w:p>
              </w:tc>
              <w:tc>
                <w:tcPr>
                  <w:tcW w:w="766" w:type="pct"/>
                  <w:vAlign w:val="center"/>
                </w:tcPr>
                <w:p w14:paraId="18336828">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1.23</w:t>
                  </w:r>
                </w:p>
              </w:tc>
              <w:tc>
                <w:tcPr>
                  <w:tcW w:w="481" w:type="pct"/>
                  <w:vMerge w:val="continue"/>
                  <w:vAlign w:val="center"/>
                </w:tcPr>
                <w:p w14:paraId="53034EB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1AE11264">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6C4E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0961EDD8">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15651CA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5758706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3357988E">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20:00~20:03</w:t>
                  </w:r>
                </w:p>
              </w:tc>
              <w:tc>
                <w:tcPr>
                  <w:tcW w:w="766" w:type="pct"/>
                  <w:vAlign w:val="center"/>
                </w:tcPr>
                <w:p w14:paraId="02CE88D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1.28</w:t>
                  </w:r>
                </w:p>
              </w:tc>
              <w:tc>
                <w:tcPr>
                  <w:tcW w:w="481" w:type="pct"/>
                  <w:vMerge w:val="continue"/>
                  <w:vAlign w:val="center"/>
                </w:tcPr>
                <w:p w14:paraId="2F576A4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3BA5CD4D">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6F91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7B4E7ED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074ED55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restart"/>
                  <w:vAlign w:val="center"/>
                </w:tcPr>
                <w:p w14:paraId="192EE57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2025.07.15</w:t>
                  </w:r>
                </w:p>
              </w:tc>
              <w:tc>
                <w:tcPr>
                  <w:tcW w:w="1193" w:type="pct"/>
                  <w:vAlign w:val="center"/>
                </w:tcPr>
                <w:p w14:paraId="5FD45CF0">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02:00~02:03</w:t>
                  </w:r>
                </w:p>
              </w:tc>
              <w:tc>
                <w:tcPr>
                  <w:tcW w:w="766" w:type="pct"/>
                  <w:vAlign w:val="center"/>
                </w:tcPr>
                <w:p w14:paraId="0171B91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w:t>
                  </w:r>
                </w:p>
              </w:tc>
              <w:tc>
                <w:tcPr>
                  <w:tcW w:w="481" w:type="pct"/>
                  <w:vMerge w:val="restart"/>
                  <w:vAlign w:val="center"/>
                </w:tcPr>
                <w:p w14:paraId="334FCB0D">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617" w:type="pct"/>
                  <w:vMerge w:val="restart"/>
                  <w:vAlign w:val="center"/>
                </w:tcPr>
                <w:p w14:paraId="6E1E9CE8">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09B2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77154EC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4DFBC03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11E8086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52906D59">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08:00~08:03</w:t>
                  </w:r>
                </w:p>
              </w:tc>
              <w:tc>
                <w:tcPr>
                  <w:tcW w:w="766" w:type="pct"/>
                  <w:vAlign w:val="center"/>
                </w:tcPr>
                <w:p w14:paraId="33A47BF2">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1.25</w:t>
                  </w:r>
                </w:p>
              </w:tc>
              <w:tc>
                <w:tcPr>
                  <w:tcW w:w="481" w:type="pct"/>
                  <w:vMerge w:val="continue"/>
                  <w:vAlign w:val="center"/>
                </w:tcPr>
                <w:p w14:paraId="2824A7B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50045201">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1A63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0BED64E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5550E87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33976F3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34E5F572">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14:00~14:03</w:t>
                  </w:r>
                </w:p>
              </w:tc>
              <w:tc>
                <w:tcPr>
                  <w:tcW w:w="766" w:type="pct"/>
                  <w:vAlign w:val="center"/>
                </w:tcPr>
                <w:p w14:paraId="097A4C5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1.46</w:t>
                  </w:r>
                </w:p>
              </w:tc>
              <w:tc>
                <w:tcPr>
                  <w:tcW w:w="481" w:type="pct"/>
                  <w:vMerge w:val="continue"/>
                  <w:vAlign w:val="center"/>
                </w:tcPr>
                <w:p w14:paraId="650BB3CE">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5850D944">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027B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1E8A8B8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1245FA4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023A62E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3B0B010B">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20:00~20:03</w:t>
                  </w:r>
                </w:p>
              </w:tc>
              <w:tc>
                <w:tcPr>
                  <w:tcW w:w="766" w:type="pct"/>
                  <w:vAlign w:val="center"/>
                </w:tcPr>
                <w:p w14:paraId="70EA94E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1.52</w:t>
                  </w:r>
                </w:p>
              </w:tc>
              <w:tc>
                <w:tcPr>
                  <w:tcW w:w="481" w:type="pct"/>
                  <w:vMerge w:val="continue"/>
                  <w:vAlign w:val="center"/>
                </w:tcPr>
                <w:p w14:paraId="19986127">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6342D7C1">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1D1A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140CC1A7">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7CDC027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restart"/>
                  <w:vAlign w:val="center"/>
                </w:tcPr>
                <w:p w14:paraId="6E254480">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2025.07.16</w:t>
                  </w:r>
                </w:p>
              </w:tc>
              <w:tc>
                <w:tcPr>
                  <w:tcW w:w="1193" w:type="pct"/>
                  <w:vAlign w:val="center"/>
                </w:tcPr>
                <w:p w14:paraId="42B63BCD">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02:00~02:03</w:t>
                  </w:r>
                </w:p>
              </w:tc>
              <w:tc>
                <w:tcPr>
                  <w:tcW w:w="766" w:type="pct"/>
                  <w:vAlign w:val="center"/>
                </w:tcPr>
                <w:p w14:paraId="607C49D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1.24</w:t>
                  </w:r>
                </w:p>
              </w:tc>
              <w:tc>
                <w:tcPr>
                  <w:tcW w:w="481" w:type="pct"/>
                  <w:vMerge w:val="restart"/>
                  <w:vAlign w:val="center"/>
                </w:tcPr>
                <w:p w14:paraId="3F3DAC8B">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617" w:type="pct"/>
                  <w:vMerge w:val="restart"/>
                  <w:vAlign w:val="center"/>
                </w:tcPr>
                <w:p w14:paraId="2257CEBC">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02B1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7295261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2946C2A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09CC8F6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507FDCDA">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08:00~08:03</w:t>
                  </w:r>
                </w:p>
              </w:tc>
              <w:tc>
                <w:tcPr>
                  <w:tcW w:w="766" w:type="pct"/>
                  <w:vAlign w:val="center"/>
                </w:tcPr>
                <w:p w14:paraId="774767A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1.29</w:t>
                  </w:r>
                </w:p>
              </w:tc>
              <w:tc>
                <w:tcPr>
                  <w:tcW w:w="481" w:type="pct"/>
                  <w:vMerge w:val="continue"/>
                  <w:vAlign w:val="center"/>
                </w:tcPr>
                <w:p w14:paraId="47461ED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2F9976A8">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31F8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1BEACA6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41B2FB3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3BA3463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553B403B">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14:00~14:03</w:t>
                  </w:r>
                </w:p>
              </w:tc>
              <w:tc>
                <w:tcPr>
                  <w:tcW w:w="766" w:type="pct"/>
                  <w:vAlign w:val="center"/>
                </w:tcPr>
                <w:p w14:paraId="4387723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1.24</w:t>
                  </w:r>
                </w:p>
              </w:tc>
              <w:tc>
                <w:tcPr>
                  <w:tcW w:w="481" w:type="pct"/>
                  <w:vMerge w:val="continue"/>
                  <w:vAlign w:val="center"/>
                </w:tcPr>
                <w:p w14:paraId="55BB46F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3B47277F">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012D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0EB0F68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111414D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66A912F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4885CCE7">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20:00~20:03</w:t>
                  </w:r>
                </w:p>
              </w:tc>
              <w:tc>
                <w:tcPr>
                  <w:tcW w:w="766" w:type="pct"/>
                  <w:vAlign w:val="center"/>
                </w:tcPr>
                <w:p w14:paraId="01A3752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1.23</w:t>
                  </w:r>
                </w:p>
              </w:tc>
              <w:tc>
                <w:tcPr>
                  <w:tcW w:w="481" w:type="pct"/>
                  <w:vMerge w:val="continue"/>
                  <w:vAlign w:val="center"/>
                </w:tcPr>
                <w:p w14:paraId="5DEA1DD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67A1E959">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69CF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37520B7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2C7AB1F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restart"/>
                  <w:vAlign w:val="center"/>
                </w:tcPr>
                <w:p w14:paraId="6A22BB4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2025.07.17</w:t>
                  </w:r>
                </w:p>
              </w:tc>
              <w:tc>
                <w:tcPr>
                  <w:tcW w:w="1193" w:type="pct"/>
                  <w:vAlign w:val="center"/>
                </w:tcPr>
                <w:p w14:paraId="0C06095A">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02:00~02:03</w:t>
                  </w:r>
                </w:p>
              </w:tc>
              <w:tc>
                <w:tcPr>
                  <w:tcW w:w="766" w:type="pct"/>
                  <w:vAlign w:val="center"/>
                </w:tcPr>
                <w:p w14:paraId="5D2976C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1.24</w:t>
                  </w:r>
                </w:p>
              </w:tc>
              <w:tc>
                <w:tcPr>
                  <w:tcW w:w="481" w:type="pct"/>
                  <w:vMerge w:val="restart"/>
                  <w:vAlign w:val="center"/>
                </w:tcPr>
                <w:p w14:paraId="482E5314">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617" w:type="pct"/>
                  <w:vMerge w:val="restart"/>
                  <w:vAlign w:val="center"/>
                </w:tcPr>
                <w:p w14:paraId="4D00D381">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0A8B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342140A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1703B68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35773B07">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7470FB9B">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08:00~08:03</w:t>
                  </w:r>
                </w:p>
              </w:tc>
              <w:tc>
                <w:tcPr>
                  <w:tcW w:w="766" w:type="pct"/>
                  <w:vAlign w:val="center"/>
                </w:tcPr>
                <w:p w14:paraId="603DC4B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0.97</w:t>
                  </w:r>
                </w:p>
              </w:tc>
              <w:tc>
                <w:tcPr>
                  <w:tcW w:w="481" w:type="pct"/>
                  <w:vMerge w:val="continue"/>
                  <w:vAlign w:val="center"/>
                </w:tcPr>
                <w:p w14:paraId="1D06790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3880DB06">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5B7C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40921828">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10A108C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364C377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0B19749D">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14:00~14:03</w:t>
                  </w:r>
                </w:p>
              </w:tc>
              <w:tc>
                <w:tcPr>
                  <w:tcW w:w="766" w:type="pct"/>
                  <w:vAlign w:val="center"/>
                </w:tcPr>
                <w:p w14:paraId="2F64A6E8">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0.95</w:t>
                  </w:r>
                </w:p>
              </w:tc>
              <w:tc>
                <w:tcPr>
                  <w:tcW w:w="481" w:type="pct"/>
                  <w:vMerge w:val="continue"/>
                  <w:vAlign w:val="center"/>
                </w:tcPr>
                <w:p w14:paraId="151439B7">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120DEBEB">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12EF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6CEA90E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10531C4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7F1B150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5DA0DD55">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20:00~20:03</w:t>
                  </w:r>
                </w:p>
              </w:tc>
              <w:tc>
                <w:tcPr>
                  <w:tcW w:w="766" w:type="pct"/>
                  <w:vAlign w:val="center"/>
                </w:tcPr>
                <w:p w14:paraId="01E7E5D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1.02</w:t>
                  </w:r>
                </w:p>
              </w:tc>
              <w:tc>
                <w:tcPr>
                  <w:tcW w:w="481" w:type="pct"/>
                  <w:vMerge w:val="continue"/>
                  <w:vAlign w:val="center"/>
                </w:tcPr>
                <w:p w14:paraId="2FAB8C2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3A5ED28C">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055F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4B1CF08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47E926E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restart"/>
                  <w:vAlign w:val="center"/>
                </w:tcPr>
                <w:p w14:paraId="3A75B03E">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2025.07.18</w:t>
                  </w:r>
                </w:p>
              </w:tc>
              <w:tc>
                <w:tcPr>
                  <w:tcW w:w="1193" w:type="pct"/>
                  <w:vAlign w:val="center"/>
                </w:tcPr>
                <w:p w14:paraId="39AD2108">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02:00~02:03</w:t>
                  </w:r>
                </w:p>
              </w:tc>
              <w:tc>
                <w:tcPr>
                  <w:tcW w:w="766" w:type="pct"/>
                  <w:vAlign w:val="center"/>
                </w:tcPr>
                <w:p w14:paraId="1EE0387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1.01</w:t>
                  </w:r>
                </w:p>
              </w:tc>
              <w:tc>
                <w:tcPr>
                  <w:tcW w:w="481" w:type="pct"/>
                  <w:vMerge w:val="restart"/>
                  <w:vAlign w:val="center"/>
                </w:tcPr>
                <w:p w14:paraId="6DBA89D0">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617" w:type="pct"/>
                  <w:vMerge w:val="restart"/>
                  <w:vAlign w:val="center"/>
                </w:tcPr>
                <w:p w14:paraId="298AACF6">
                  <w:pPr>
                    <w:pStyle w:val="125"/>
                    <w:pageBreakBefore w:val="0"/>
                    <w:kinsoku/>
                    <w:overflowPunct/>
                    <w:topLinePunct w:val="0"/>
                    <w:bidi w:val="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2EB3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5DE8960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717473D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1E1D623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1CAAAE8F">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08:00~08:03</w:t>
                  </w:r>
                </w:p>
              </w:tc>
              <w:tc>
                <w:tcPr>
                  <w:tcW w:w="766" w:type="pct"/>
                  <w:vAlign w:val="center"/>
                </w:tcPr>
                <w:p w14:paraId="2B77F16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1.19</w:t>
                  </w:r>
                </w:p>
              </w:tc>
              <w:tc>
                <w:tcPr>
                  <w:tcW w:w="481" w:type="pct"/>
                  <w:vMerge w:val="continue"/>
                  <w:vAlign w:val="center"/>
                </w:tcPr>
                <w:p w14:paraId="191CCF1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7888F909">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7BC9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636C3D2E">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29E662A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186204B2">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24A7213E">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14:00~14:03</w:t>
                  </w:r>
                </w:p>
              </w:tc>
              <w:tc>
                <w:tcPr>
                  <w:tcW w:w="766" w:type="pct"/>
                  <w:vAlign w:val="center"/>
                </w:tcPr>
                <w:p w14:paraId="70474EB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1.44</w:t>
                  </w:r>
                </w:p>
              </w:tc>
              <w:tc>
                <w:tcPr>
                  <w:tcW w:w="481" w:type="pct"/>
                  <w:vMerge w:val="continue"/>
                  <w:vAlign w:val="center"/>
                </w:tcPr>
                <w:p w14:paraId="2986D6C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656A35D6">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44BE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5335843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2065EB61">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Merge w:val="continue"/>
                  <w:vAlign w:val="center"/>
                </w:tcPr>
                <w:p w14:paraId="4419B3DA">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93" w:type="pct"/>
                  <w:vAlign w:val="center"/>
                </w:tcPr>
                <w:p w14:paraId="659D1EB4">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20:00~20:03</w:t>
                  </w:r>
                </w:p>
              </w:tc>
              <w:tc>
                <w:tcPr>
                  <w:tcW w:w="766" w:type="pct"/>
                  <w:vAlign w:val="center"/>
                </w:tcPr>
                <w:p w14:paraId="3A2EDE4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1.34</w:t>
                  </w:r>
                </w:p>
              </w:tc>
              <w:tc>
                <w:tcPr>
                  <w:tcW w:w="481" w:type="pct"/>
                  <w:vMerge w:val="continue"/>
                  <w:vAlign w:val="center"/>
                </w:tcPr>
                <w:p w14:paraId="4F76286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617" w:type="pct"/>
                  <w:vMerge w:val="continue"/>
                  <w:vAlign w:val="center"/>
                </w:tcPr>
                <w:p w14:paraId="5CDDF8ED">
                  <w:pPr>
                    <w:pStyle w:val="125"/>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r>
            <w:tr w14:paraId="532D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restart"/>
                  <w:vAlign w:val="center"/>
                </w:tcPr>
                <w:p w14:paraId="01F7D20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S2赵官村</w:t>
                  </w:r>
                </w:p>
              </w:tc>
              <w:tc>
                <w:tcPr>
                  <w:tcW w:w="544" w:type="pct"/>
                  <w:vMerge w:val="restart"/>
                  <w:vAlign w:val="center"/>
                </w:tcPr>
                <w:p w14:paraId="216A8B3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氮氧化物</w:t>
                  </w:r>
                  <w:r>
                    <w:rPr>
                      <w:rFonts w:hint="default" w:ascii="Times New Roman" w:hAnsi="Times New Roman" w:eastAsia="宋体" w:cs="Times New Roman"/>
                      <w:color w:val="000000" w:themeColor="text1"/>
                      <w:lang w:val="en-US" w:eastAsia="zh-CN"/>
                      <w14:textFill>
                        <w14:solidFill>
                          <w14:schemeClr w14:val="tx1"/>
                        </w14:solidFill>
                      </w14:textFill>
                    </w:rPr>
                    <w:t>NOx</w:t>
                  </w:r>
                </w:p>
              </w:tc>
              <w:tc>
                <w:tcPr>
                  <w:tcW w:w="921" w:type="pct"/>
                  <w:vAlign w:val="center"/>
                </w:tcPr>
                <w:p w14:paraId="0D93AE33">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2025.05.24</w:t>
                  </w:r>
                </w:p>
              </w:tc>
              <w:tc>
                <w:tcPr>
                  <w:tcW w:w="1193" w:type="pct"/>
                  <w:vAlign w:val="center"/>
                </w:tcPr>
                <w:p w14:paraId="377697DD">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09:00~次日09:00</w:t>
                  </w:r>
                </w:p>
              </w:tc>
              <w:tc>
                <w:tcPr>
                  <w:tcW w:w="766" w:type="pct"/>
                  <w:vAlign w:val="center"/>
                </w:tcPr>
                <w:p w14:paraId="6736EBB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0.023</w:t>
                  </w:r>
                </w:p>
              </w:tc>
              <w:tc>
                <w:tcPr>
                  <w:tcW w:w="481" w:type="pct"/>
                  <w:vAlign w:val="center"/>
                </w:tcPr>
                <w:p w14:paraId="5FBDD722">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0.25</w:t>
                  </w:r>
                </w:p>
              </w:tc>
              <w:tc>
                <w:tcPr>
                  <w:tcW w:w="617" w:type="pct"/>
                  <w:vAlign w:val="center"/>
                </w:tcPr>
                <w:p w14:paraId="3043EB1C">
                  <w:pPr>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5075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62F6044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63571A5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Align w:val="center"/>
                </w:tcPr>
                <w:p w14:paraId="33C2120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2025.05.25</w:t>
                  </w:r>
                </w:p>
              </w:tc>
              <w:tc>
                <w:tcPr>
                  <w:tcW w:w="1193" w:type="pct"/>
                  <w:vAlign w:val="center"/>
                </w:tcPr>
                <w:p w14:paraId="60976466">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09:05~次日09:05</w:t>
                  </w:r>
                </w:p>
              </w:tc>
              <w:tc>
                <w:tcPr>
                  <w:tcW w:w="766" w:type="pct"/>
                  <w:vAlign w:val="center"/>
                </w:tcPr>
                <w:p w14:paraId="6B2C7C5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0.028</w:t>
                  </w:r>
                </w:p>
              </w:tc>
              <w:tc>
                <w:tcPr>
                  <w:tcW w:w="481" w:type="pct"/>
                  <w:vAlign w:val="center"/>
                </w:tcPr>
                <w:p w14:paraId="4710B5FF">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0.25</w:t>
                  </w:r>
                </w:p>
              </w:tc>
              <w:tc>
                <w:tcPr>
                  <w:tcW w:w="617" w:type="pct"/>
                  <w:vAlign w:val="center"/>
                </w:tcPr>
                <w:p w14:paraId="341624A3">
                  <w:pPr>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6AF4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525B4720">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017A7A3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Align w:val="center"/>
                </w:tcPr>
                <w:p w14:paraId="01360DD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2025.05.26</w:t>
                  </w:r>
                </w:p>
              </w:tc>
              <w:tc>
                <w:tcPr>
                  <w:tcW w:w="1193" w:type="pct"/>
                  <w:vAlign w:val="center"/>
                </w:tcPr>
                <w:p w14:paraId="54EFEE31">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09:10~次日09:10</w:t>
                  </w:r>
                </w:p>
              </w:tc>
              <w:tc>
                <w:tcPr>
                  <w:tcW w:w="766" w:type="pct"/>
                  <w:vAlign w:val="center"/>
                </w:tcPr>
                <w:p w14:paraId="0D2E0B2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0.030</w:t>
                  </w:r>
                </w:p>
              </w:tc>
              <w:tc>
                <w:tcPr>
                  <w:tcW w:w="481" w:type="pct"/>
                  <w:vAlign w:val="center"/>
                </w:tcPr>
                <w:p w14:paraId="56A494F5">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0.25</w:t>
                  </w:r>
                </w:p>
              </w:tc>
              <w:tc>
                <w:tcPr>
                  <w:tcW w:w="617" w:type="pct"/>
                  <w:vAlign w:val="center"/>
                </w:tcPr>
                <w:p w14:paraId="182D73A5">
                  <w:pPr>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2817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497786CC">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0215867E">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Align w:val="center"/>
                </w:tcPr>
                <w:p w14:paraId="61043AC9">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2025.05.27</w:t>
                  </w:r>
                </w:p>
              </w:tc>
              <w:tc>
                <w:tcPr>
                  <w:tcW w:w="1193" w:type="pct"/>
                  <w:vAlign w:val="center"/>
                </w:tcPr>
                <w:p w14:paraId="6EEF2013">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09:15~次日09:15</w:t>
                  </w:r>
                </w:p>
              </w:tc>
              <w:tc>
                <w:tcPr>
                  <w:tcW w:w="766" w:type="pct"/>
                  <w:vAlign w:val="center"/>
                </w:tcPr>
                <w:p w14:paraId="0282FC1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0.025</w:t>
                  </w:r>
                </w:p>
              </w:tc>
              <w:tc>
                <w:tcPr>
                  <w:tcW w:w="481" w:type="pct"/>
                  <w:vAlign w:val="center"/>
                </w:tcPr>
                <w:p w14:paraId="1874B49F">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0.25</w:t>
                  </w:r>
                </w:p>
              </w:tc>
              <w:tc>
                <w:tcPr>
                  <w:tcW w:w="617" w:type="pct"/>
                  <w:vAlign w:val="center"/>
                </w:tcPr>
                <w:p w14:paraId="53101949">
                  <w:pPr>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7386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90" w:hRule="atLeast"/>
              </w:trPr>
              <w:tc>
                <w:tcPr>
                  <w:tcW w:w="468" w:type="pct"/>
                  <w:vMerge w:val="continue"/>
                  <w:vAlign w:val="center"/>
                </w:tcPr>
                <w:p w14:paraId="70DB46D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4F5057B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Align w:val="center"/>
                </w:tcPr>
                <w:p w14:paraId="56A5823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2025.05.28</w:t>
                  </w:r>
                </w:p>
              </w:tc>
              <w:tc>
                <w:tcPr>
                  <w:tcW w:w="1193" w:type="pct"/>
                  <w:vAlign w:val="center"/>
                </w:tcPr>
                <w:p w14:paraId="71FF02BE">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09:20~次日09:20</w:t>
                  </w:r>
                </w:p>
              </w:tc>
              <w:tc>
                <w:tcPr>
                  <w:tcW w:w="766" w:type="pct"/>
                  <w:vAlign w:val="center"/>
                </w:tcPr>
                <w:p w14:paraId="39B632CD">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0.028</w:t>
                  </w:r>
                </w:p>
              </w:tc>
              <w:tc>
                <w:tcPr>
                  <w:tcW w:w="481" w:type="pct"/>
                  <w:vAlign w:val="center"/>
                </w:tcPr>
                <w:p w14:paraId="42143712">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0.25</w:t>
                  </w:r>
                </w:p>
              </w:tc>
              <w:tc>
                <w:tcPr>
                  <w:tcW w:w="617" w:type="pct"/>
                  <w:vAlign w:val="center"/>
                </w:tcPr>
                <w:p w14:paraId="3D252772">
                  <w:pPr>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07A3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353093B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356EDADF">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Align w:val="center"/>
                </w:tcPr>
                <w:p w14:paraId="7D738E24">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2025.05.29</w:t>
                  </w:r>
                </w:p>
              </w:tc>
              <w:tc>
                <w:tcPr>
                  <w:tcW w:w="1193" w:type="pct"/>
                  <w:vAlign w:val="center"/>
                </w:tcPr>
                <w:p w14:paraId="332FAF8F">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09:25~次日09:25</w:t>
                  </w:r>
                </w:p>
              </w:tc>
              <w:tc>
                <w:tcPr>
                  <w:tcW w:w="766" w:type="pct"/>
                  <w:vAlign w:val="center"/>
                </w:tcPr>
                <w:p w14:paraId="39B6871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0.024</w:t>
                  </w:r>
                </w:p>
              </w:tc>
              <w:tc>
                <w:tcPr>
                  <w:tcW w:w="481" w:type="pct"/>
                  <w:vAlign w:val="center"/>
                </w:tcPr>
                <w:p w14:paraId="15EA563E">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0.25</w:t>
                  </w:r>
                </w:p>
              </w:tc>
              <w:tc>
                <w:tcPr>
                  <w:tcW w:w="617" w:type="pct"/>
                  <w:vAlign w:val="center"/>
                </w:tcPr>
                <w:p w14:paraId="2469119C">
                  <w:pPr>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14:paraId="6C3E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Pr>
              <w:tc>
                <w:tcPr>
                  <w:tcW w:w="468" w:type="pct"/>
                  <w:vMerge w:val="continue"/>
                  <w:vAlign w:val="center"/>
                </w:tcPr>
                <w:p w14:paraId="50714BF5">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544" w:type="pct"/>
                  <w:vMerge w:val="continue"/>
                  <w:vAlign w:val="center"/>
                </w:tcPr>
                <w:p w14:paraId="12215AB0">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p>
              </w:tc>
              <w:tc>
                <w:tcPr>
                  <w:tcW w:w="921" w:type="pct"/>
                  <w:vAlign w:val="center"/>
                </w:tcPr>
                <w:p w14:paraId="2E254096">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2025.05.30</w:t>
                  </w:r>
                </w:p>
              </w:tc>
              <w:tc>
                <w:tcPr>
                  <w:tcW w:w="1193" w:type="pct"/>
                  <w:vAlign w:val="center"/>
                </w:tcPr>
                <w:p w14:paraId="56A7C11C">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09:30~次日09:30</w:t>
                  </w:r>
                </w:p>
              </w:tc>
              <w:tc>
                <w:tcPr>
                  <w:tcW w:w="766" w:type="pct"/>
                  <w:vAlign w:val="center"/>
                </w:tcPr>
                <w:p w14:paraId="2313DA2B">
                  <w:pPr>
                    <w:pStyle w:val="125"/>
                    <w:pageBreakBefore w:val="0"/>
                    <w:kinsoku/>
                    <w:overflowPunct/>
                    <w:topLinePunct w:val="0"/>
                    <w:bidi w:val="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0.030</w:t>
                  </w:r>
                </w:p>
              </w:tc>
              <w:tc>
                <w:tcPr>
                  <w:tcW w:w="481" w:type="pct"/>
                  <w:vAlign w:val="center"/>
                </w:tcPr>
                <w:p w14:paraId="7ECACC35">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0.25</w:t>
                  </w:r>
                </w:p>
              </w:tc>
              <w:tc>
                <w:tcPr>
                  <w:tcW w:w="617" w:type="pct"/>
                  <w:vAlign w:val="center"/>
                </w:tcPr>
                <w:p w14:paraId="388F2AEC">
                  <w:pPr>
                    <w:pageBreakBefore w:val="0"/>
                    <w:kinsoku/>
                    <w:overflowPunct/>
                    <w:topLinePunct w:val="0"/>
                    <w:bidi w:val="0"/>
                    <w:ind w:left="0" w:leftChars="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bl>
          <w:p w14:paraId="65010BEC">
            <w:pPr>
              <w:pageBreakBefore w:val="0"/>
              <w:kinsoku/>
              <w:overflowPunct/>
              <w:topLinePunct w:val="0"/>
              <w:bidi w:val="0"/>
              <w:adjustRightInd w:val="0"/>
              <w:snapToGrid w:val="0"/>
              <w:spacing w:line="348" w:lineRule="auto"/>
              <w:ind w:left="0" w:leftChars="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由表3-2可知</w:t>
            </w:r>
            <w:r>
              <w:rPr>
                <w:rFonts w:hint="default" w:ascii="Times New Roman" w:hAnsi="Times New Roman" w:eastAsia="宋体" w:cs="Times New Roman"/>
                <w:color w:val="000000" w:themeColor="text1"/>
                <w:kern w:val="0"/>
                <w:sz w:val="24"/>
                <w:lang w:eastAsia="zh-CN"/>
                <w14:textFill>
                  <w14:solidFill>
                    <w14:schemeClr w14:val="tx1"/>
                  </w14:solidFill>
                </w14:textFill>
              </w:rPr>
              <w:t>，总悬浮颗粒物</w:t>
            </w:r>
            <w:r>
              <w:rPr>
                <w:rFonts w:hint="default" w:ascii="Times New Roman" w:hAnsi="Times New Roman" w:eastAsia="宋体" w:cs="Times New Roman"/>
                <w:color w:val="000000" w:themeColor="text1"/>
                <w:kern w:val="0"/>
                <w:sz w:val="24"/>
                <w14:textFill>
                  <w14:solidFill>
                    <w14:schemeClr w14:val="tx1"/>
                  </w14:solidFill>
                </w14:textFill>
              </w:rPr>
              <w:t>TSP</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氮氧化物NOx</w:t>
            </w:r>
            <w:r>
              <w:rPr>
                <w:rFonts w:hint="default" w:ascii="Times New Roman" w:hAnsi="Times New Roman" w:eastAsia="宋体" w:cs="Times New Roman"/>
                <w:color w:val="000000" w:themeColor="text1"/>
                <w:kern w:val="0"/>
                <w:sz w:val="24"/>
                <w14:textFill>
                  <w14:solidFill>
                    <w14:schemeClr w14:val="tx1"/>
                  </w14:solidFill>
                </w14:textFill>
              </w:rPr>
              <w:t>日均值浓度能够达到</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环境空气质量标准》（GB3095-2012）二级评价标准要求；</w:t>
            </w:r>
            <w:r>
              <w:rPr>
                <w:rFonts w:hint="default" w:ascii="Times New Roman" w:hAnsi="Times New Roman" w:eastAsia="宋体" w:cs="Times New Roman"/>
                <w:color w:val="000000" w:themeColor="text1"/>
                <w:kern w:val="0"/>
                <w:sz w:val="24"/>
                <w:lang w:eastAsia="zh-CN"/>
                <w14:textFill>
                  <w14:solidFill>
                    <w14:schemeClr w14:val="tx1"/>
                  </w14:solidFill>
                </w14:textFill>
              </w:rPr>
              <w:t>本次引用非甲烷总烃监测数据为每天等时间间隔采样</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4次，标准限值参考</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执行《大气污染物综合排放标准详解》P242中24h平均非甲烷总烃浓度限值，根据上表，</w:t>
            </w:r>
            <w:r>
              <w:rPr>
                <w:rFonts w:hint="default" w:ascii="Times New Roman" w:hAnsi="Times New Roman" w:eastAsia="宋体" w:cs="Times New Roman"/>
                <w:color w:val="000000" w:themeColor="text1"/>
                <w:kern w:val="0"/>
                <w:sz w:val="24"/>
                <w:lang w:eastAsia="zh-CN"/>
                <w14:textFill>
                  <w14:solidFill>
                    <w14:schemeClr w14:val="tx1"/>
                  </w14:solidFill>
                </w14:textFill>
              </w:rPr>
              <w:t>非甲烷总烃</w:t>
            </w:r>
            <w:r>
              <w:rPr>
                <w:rFonts w:hint="default" w:ascii="Times New Roman" w:hAnsi="Times New Roman" w:eastAsia="宋体" w:cs="Times New Roman"/>
                <w:color w:val="000000" w:themeColor="text1"/>
                <w:kern w:val="0"/>
                <w:sz w:val="24"/>
                <w14:textFill>
                  <w14:solidFill>
                    <w14:schemeClr w14:val="tx1"/>
                  </w14:solidFill>
                </w14:textFill>
              </w:rPr>
              <w:t>能满足</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《大气污染物综合排放标准详解》</w:t>
            </w:r>
            <w:r>
              <w:rPr>
                <w:rFonts w:hint="default" w:ascii="Times New Roman" w:hAnsi="Times New Roman" w:eastAsia="宋体" w:cs="Times New Roman"/>
                <w:color w:val="000000" w:themeColor="text1"/>
                <w:kern w:val="0"/>
                <w:sz w:val="24"/>
                <w14:textFill>
                  <w14:solidFill>
                    <w14:schemeClr w14:val="tx1"/>
                  </w14:solidFill>
                </w14:textFill>
              </w:rPr>
              <w:t>中浓度限值</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项目区环境空气质量满足功能区要求。项目区环境空气质量满足功能区要求。</w:t>
            </w:r>
          </w:p>
          <w:p w14:paraId="308E5B69">
            <w:pPr>
              <w:pageBreakBefore w:val="0"/>
              <w:kinsoku/>
              <w:overflowPunct/>
              <w:topLinePunct w:val="0"/>
              <w:bidi w:val="0"/>
              <w:adjustRightInd w:val="0"/>
              <w:snapToGrid w:val="0"/>
              <w:spacing w:line="348" w:lineRule="auto"/>
              <w:ind w:left="0" w:leftChars="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p>
          <w:p w14:paraId="4F905D86">
            <w:pPr>
              <w:pageBreakBefore w:val="0"/>
              <w:kinsoku/>
              <w:overflowPunct/>
              <w:topLinePunct w:val="0"/>
              <w:bidi w:val="0"/>
              <w:adjustRightInd w:val="0"/>
              <w:snapToGrid w:val="0"/>
              <w:spacing w:line="348" w:lineRule="auto"/>
              <w:ind w:left="0" w:leftChars="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p>
          <w:p w14:paraId="1AD9E730">
            <w:pPr>
              <w:pageBreakBefore w:val="0"/>
              <w:kinsoku/>
              <w:overflowPunct/>
              <w:topLinePunct w:val="0"/>
              <w:bidi w:val="0"/>
              <w:adjustRightInd w:val="0"/>
              <w:snapToGrid w:val="0"/>
              <w:spacing w:line="348" w:lineRule="auto"/>
              <w:ind w:left="0" w:leftChars="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p>
          <w:p w14:paraId="31B591BA">
            <w:pPr>
              <w:pageBreakBefore w:val="0"/>
              <w:kinsoku/>
              <w:overflowPunct/>
              <w:topLinePunct w:val="0"/>
              <w:bidi w:val="0"/>
              <w:adjustRightInd w:val="0"/>
              <w:snapToGrid w:val="0"/>
              <w:spacing w:line="348" w:lineRule="auto"/>
              <w:ind w:left="0" w:leftChars="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p>
          <w:p w14:paraId="1EB430B5">
            <w:pPr>
              <w:pageBreakBefore w:val="0"/>
              <w:kinsoku/>
              <w:overflowPunct/>
              <w:topLinePunct w:val="0"/>
              <w:bidi w:val="0"/>
              <w:adjustRightInd w:val="0"/>
              <w:snapToGrid w:val="0"/>
              <w:spacing w:line="348" w:lineRule="auto"/>
              <w:ind w:left="0" w:leftChars="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p>
          <w:p w14:paraId="0B611D28">
            <w:pPr>
              <w:pageBreakBefore w:val="0"/>
              <w:kinsoku/>
              <w:overflowPunct/>
              <w:topLinePunct w:val="0"/>
              <w:bidi w:val="0"/>
              <w:adjustRightInd w:val="0"/>
              <w:snapToGrid w:val="0"/>
              <w:spacing w:line="348" w:lineRule="auto"/>
              <w:ind w:left="0" w:leftChars="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p>
          <w:p w14:paraId="2FDDA5CB">
            <w:pPr>
              <w:pageBreakBefore w:val="0"/>
              <w:kinsoku/>
              <w:overflowPunct/>
              <w:topLinePunct w:val="0"/>
              <w:bidi w:val="0"/>
              <w:adjustRightInd w:val="0"/>
              <w:snapToGrid w:val="0"/>
              <w:spacing w:line="348" w:lineRule="auto"/>
              <w:ind w:right="0"/>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14:paraId="6F52FEC7">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3463925" cy="3892550"/>
                  <wp:effectExtent l="19050" t="19050" r="22225" b="3175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5"/>
                          <a:stretch>
                            <a:fillRect/>
                          </a:stretch>
                        </pic:blipFill>
                        <pic:spPr>
                          <a:xfrm>
                            <a:off x="0" y="0"/>
                            <a:ext cx="3463925" cy="3892550"/>
                          </a:xfrm>
                          <a:prstGeom prst="rect">
                            <a:avLst/>
                          </a:prstGeom>
                          <a:noFill/>
                          <a:ln w="19050">
                            <a:solidFill>
                              <a:schemeClr val="tx1"/>
                            </a:solidFill>
                          </a:ln>
                        </pic:spPr>
                      </pic:pic>
                    </a:graphicData>
                  </a:graphic>
                </wp:inline>
              </w:drawing>
            </w:r>
          </w:p>
          <w:p w14:paraId="26C468B0">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图</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3-1 引用监测点位图</w:t>
            </w:r>
          </w:p>
          <w:p w14:paraId="7CA50189">
            <w:pPr>
              <w:pStyle w:val="18"/>
              <w:pageBreakBefore w:val="0"/>
              <w:kinsoku/>
              <w:overflowPunct/>
              <w:topLinePunct w:val="0"/>
              <w:bidi w:val="0"/>
              <w:adjustRightInd w:val="0"/>
              <w:snapToGrid w:val="0"/>
              <w:spacing w:line="348"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2、地表水环境质量现状</w:t>
            </w:r>
          </w:p>
          <w:p w14:paraId="3BB301FD">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根据项目区域水系图可知，</w:t>
            </w:r>
            <w:r>
              <w:rPr>
                <w:rFonts w:hint="default" w:ascii="Times New Roman" w:hAnsi="Times New Roman" w:eastAsia="宋体" w:cs="Times New Roman"/>
                <w:color w:val="000000" w:themeColor="text1"/>
                <w:kern w:val="0"/>
                <w:sz w:val="24"/>
                <w:lang w:val="zh-CN"/>
                <w14:textFill>
                  <w14:solidFill>
                    <w14:schemeClr w14:val="tx1"/>
                  </w14:solidFill>
                </w14:textFill>
              </w:rPr>
              <w:t>本项目距离最近的地表水体</w:t>
            </w:r>
            <w:r>
              <w:rPr>
                <w:rFonts w:hint="default" w:ascii="Times New Roman" w:hAnsi="Times New Roman" w:eastAsia="宋体" w:cs="Times New Roman"/>
                <w:color w:val="000000" w:themeColor="text1"/>
                <w:sz w:val="24"/>
                <w14:textFill>
                  <w14:solidFill>
                    <w14:schemeClr w14:val="tx1"/>
                  </w14:solidFill>
                </w14:textFill>
              </w:rPr>
              <w:t>为项目区</w:t>
            </w:r>
            <w:r>
              <w:rPr>
                <w:rFonts w:hint="default" w:ascii="Times New Roman" w:hAnsi="Times New Roman" w:eastAsia="宋体" w:cs="Times New Roman"/>
                <w:color w:val="000000" w:themeColor="text1"/>
                <w:sz w:val="24"/>
                <w:lang w:eastAsia="zh-CN"/>
                <w14:textFill>
                  <w14:solidFill>
                    <w14:schemeClr w14:val="tx1"/>
                  </w14:solidFill>
                </w14:textFill>
              </w:rPr>
              <w:t>东北侧约</w:t>
            </w:r>
            <w:r>
              <w:rPr>
                <w:rFonts w:hint="default" w:ascii="Times New Roman" w:hAnsi="Times New Roman" w:eastAsia="宋体" w:cs="Times New Roman"/>
                <w:color w:val="000000" w:themeColor="text1"/>
                <w:sz w:val="24"/>
                <w:lang w:val="en-US" w:eastAsia="zh-CN"/>
                <w14:textFill>
                  <w14:solidFill>
                    <w14:schemeClr w14:val="tx1"/>
                  </w14:solidFill>
                </w14:textFill>
              </w:rPr>
              <w:t>200m处的玉江大沟，玉江大沟</w:t>
            </w:r>
            <w:r>
              <w:rPr>
                <w:rFonts w:hint="eastAsia" w:cs="Times New Roman"/>
                <w:color w:val="000000" w:themeColor="text1"/>
                <w:sz w:val="24"/>
                <w:lang w:val="en-US" w:eastAsia="zh-CN"/>
                <w14:textFill>
                  <w14:solidFill>
                    <w14:schemeClr w14:val="tx1"/>
                  </w14:solidFill>
                </w14:textFill>
              </w:rPr>
              <w:t>向北进入周官河，最终进入</w:t>
            </w:r>
            <w:r>
              <w:rPr>
                <w:rFonts w:hint="default" w:ascii="Times New Roman" w:hAnsi="Times New Roman" w:eastAsia="宋体" w:cs="Times New Roman"/>
                <w:color w:val="000000" w:themeColor="text1"/>
                <w:sz w:val="24"/>
                <w:lang w:val="en-US" w:eastAsia="zh-CN"/>
                <w14:textFill>
                  <w14:solidFill>
                    <w14:schemeClr w14:val="tx1"/>
                  </w14:solidFill>
                </w14:textFill>
              </w:rPr>
              <w:t>星云湖，属于星云湖流域范围。</w:t>
            </w:r>
            <w:r>
              <w:rPr>
                <w:rFonts w:hint="default" w:ascii="Times New Roman" w:hAnsi="Times New Roman" w:eastAsia="宋体" w:cs="Times New Roman"/>
                <w:color w:val="000000" w:themeColor="text1"/>
                <w:kern w:val="0"/>
                <w:sz w:val="24"/>
                <w14:textFill>
                  <w14:solidFill>
                    <w14:schemeClr w14:val="tx1"/>
                  </w14:solidFill>
                </w14:textFill>
              </w:rPr>
              <w:t>根据</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云南省水功能区划》（2014 年修订），涉及水功能区为</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星云湖江川开发利用区</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，2030年水质考核目标为</w:t>
            </w:r>
            <w:r>
              <w:rPr>
                <w:rFonts w:hint="default" w:ascii="Times New Roman" w:hAnsi="Times New Roman" w:eastAsia="宋体" w:cs="Times New Roman"/>
                <w:color w:val="000000" w:themeColor="text1"/>
                <w:kern w:val="0"/>
                <w:sz w:val="22"/>
                <w:szCs w:val="22"/>
                <w14:textFill>
                  <w14:solidFill>
                    <w14:schemeClr w14:val="tx1"/>
                  </w14:solidFill>
                </w14:textFill>
              </w:rPr>
              <w:t>Ⅲ</w:t>
            </w:r>
            <w:r>
              <w:rPr>
                <w:rFonts w:hint="default" w:ascii="Times New Roman" w:hAnsi="Times New Roman" w:eastAsia="宋体" w:cs="Times New Roman"/>
                <w:color w:val="000000" w:themeColor="text1"/>
                <w:kern w:val="0"/>
                <w:sz w:val="24"/>
                <w14:textFill>
                  <w14:solidFill>
                    <w14:schemeClr w14:val="tx1"/>
                  </w14:solidFill>
                </w14:textFill>
              </w:rPr>
              <w:t>类，执行</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地表水环境质量标准》（GB3838-2002）</w:t>
            </w:r>
            <w:r>
              <w:rPr>
                <w:rFonts w:hint="default" w:ascii="Times New Roman" w:hAnsi="Times New Roman" w:eastAsia="宋体" w:cs="Times New Roman"/>
                <w:color w:val="000000" w:themeColor="text1"/>
                <w:kern w:val="0"/>
                <w:sz w:val="22"/>
                <w:szCs w:val="22"/>
                <w14:textFill>
                  <w14:solidFill>
                    <w14:schemeClr w14:val="tx1"/>
                  </w14:solidFill>
                </w14:textFill>
              </w:rPr>
              <w:t>Ⅲ</w:t>
            </w:r>
            <w:r>
              <w:rPr>
                <w:rFonts w:hint="default" w:ascii="Times New Roman" w:hAnsi="Times New Roman" w:eastAsia="宋体" w:cs="Times New Roman"/>
                <w:color w:val="000000" w:themeColor="text1"/>
                <w:kern w:val="0"/>
                <w:sz w:val="24"/>
                <w14:textFill>
                  <w14:solidFill>
                    <w14:schemeClr w14:val="tx1"/>
                  </w14:solidFill>
                </w14:textFill>
              </w:rPr>
              <w:t>类水质标准。</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按上游功能不低于下游的原则，</w:t>
            </w:r>
            <w:r>
              <w:rPr>
                <w:rFonts w:hint="default" w:ascii="Times New Roman" w:hAnsi="Times New Roman" w:eastAsia="宋体" w:cs="Times New Roman"/>
                <w:color w:val="000000" w:themeColor="text1"/>
                <w:kern w:val="0"/>
                <w:sz w:val="24"/>
                <w:lang w:eastAsia="zh-CN"/>
                <w14:textFill>
                  <w14:solidFill>
                    <w14:schemeClr w14:val="tx1"/>
                  </w14:solidFill>
                </w14:textFill>
              </w:rPr>
              <w:t>玉江大沟</w:t>
            </w:r>
            <w:r>
              <w:rPr>
                <w:rFonts w:hint="eastAsia" w:cs="Times New Roman"/>
                <w:color w:val="000000" w:themeColor="text1"/>
                <w:kern w:val="0"/>
                <w:sz w:val="24"/>
                <w:lang w:eastAsia="zh-CN"/>
                <w14:textFill>
                  <w14:solidFill>
                    <w14:schemeClr w14:val="tx1"/>
                  </w14:solidFill>
                </w14:textFill>
              </w:rPr>
              <w:t>、周官河</w:t>
            </w:r>
            <w:r>
              <w:rPr>
                <w:rFonts w:hint="default" w:ascii="Times New Roman" w:hAnsi="Times New Roman" w:eastAsia="宋体" w:cs="Times New Roman"/>
                <w:color w:val="000000" w:themeColor="text1"/>
                <w:kern w:val="0"/>
                <w:sz w:val="24"/>
                <w:lang w:eastAsia="zh-CN"/>
                <w14:textFill>
                  <w14:solidFill>
                    <w14:schemeClr w14:val="tx1"/>
                  </w14:solidFill>
                </w14:textFill>
              </w:rPr>
              <w:t>参照执行《</w:t>
            </w:r>
            <w:r>
              <w:rPr>
                <w:rFonts w:hint="default" w:ascii="Times New Roman" w:hAnsi="Times New Roman" w:eastAsia="宋体" w:cs="Times New Roman"/>
                <w:color w:val="000000" w:themeColor="text1"/>
                <w:kern w:val="0"/>
                <w:sz w:val="24"/>
                <w14:textFill>
                  <w14:solidFill>
                    <w14:schemeClr w14:val="tx1"/>
                  </w14:solidFill>
                </w14:textFill>
              </w:rPr>
              <w:t>地表水环境质量标准》（GB3838-2002）</w:t>
            </w:r>
            <w:r>
              <w:rPr>
                <w:rFonts w:hint="default" w:ascii="Times New Roman" w:hAnsi="Times New Roman" w:eastAsia="宋体" w:cs="Times New Roman"/>
                <w:color w:val="000000" w:themeColor="text1"/>
                <w:kern w:val="0"/>
                <w:sz w:val="22"/>
                <w:szCs w:val="22"/>
                <w14:textFill>
                  <w14:solidFill>
                    <w14:schemeClr w14:val="tx1"/>
                  </w14:solidFill>
                </w14:textFill>
              </w:rPr>
              <w:t>Ⅲ</w:t>
            </w:r>
            <w:r>
              <w:rPr>
                <w:rFonts w:hint="default" w:ascii="Times New Roman" w:hAnsi="Times New Roman" w:eastAsia="宋体" w:cs="Times New Roman"/>
                <w:color w:val="000000" w:themeColor="text1"/>
                <w:kern w:val="0"/>
                <w:sz w:val="24"/>
                <w14:textFill>
                  <w14:solidFill>
                    <w14:schemeClr w14:val="tx1"/>
                  </w14:solidFill>
                </w14:textFill>
              </w:rPr>
              <w:t>类水质标准</w:t>
            </w:r>
            <w:r>
              <w:rPr>
                <w:rFonts w:hint="default" w:ascii="Times New Roman" w:hAnsi="Times New Roman" w:eastAsia="宋体" w:cs="Times New Roman"/>
                <w:color w:val="000000" w:themeColor="text1"/>
                <w:kern w:val="0"/>
                <w:sz w:val="24"/>
                <w:lang w:eastAsia="zh-CN"/>
                <w14:textFill>
                  <w14:solidFill>
                    <w14:schemeClr w14:val="tx1"/>
                  </w14:solidFill>
                </w14:textFill>
              </w:rPr>
              <w:t>。</w:t>
            </w:r>
          </w:p>
          <w:p w14:paraId="5A97D82A">
            <w:pPr>
              <w:keepNext w:val="0"/>
              <w:keepLines w:val="0"/>
              <w:pageBreakBefore w:val="0"/>
              <w:widowControl w:val="0"/>
              <w:kinsoku/>
              <w:wordWrap w:val="0"/>
              <w:overflowPunct/>
              <w:topLinePunct w:val="0"/>
              <w:autoSpaceDE/>
              <w:autoSpaceDN/>
              <w:bidi w:val="0"/>
              <w:adjustRightInd w:val="0"/>
              <w:snapToGrid w:val="0"/>
              <w:spacing w:line="348" w:lineRule="auto"/>
              <w:ind w:left="0" w:leftChars="0" w:right="0" w:firstLine="482" w:firstLineChars="200"/>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4"/>
                <w:lang w:eastAsia="zh-CN"/>
                <w14:textFill>
                  <w14:solidFill>
                    <w14:schemeClr w14:val="tx1"/>
                  </w14:solidFill>
                </w14:textFill>
              </w:rPr>
              <w:t>）达标区判定</w:t>
            </w:r>
          </w:p>
          <w:p w14:paraId="6F2BA82C">
            <w:pPr>
              <w:keepNext w:val="0"/>
              <w:keepLines w:val="0"/>
              <w:pageBreakBefore w:val="0"/>
              <w:widowControl w:val="0"/>
              <w:kinsoku/>
              <w:wordWrap w:val="0"/>
              <w:overflowPunct/>
              <w:topLinePunct w:val="0"/>
              <w:autoSpaceDE/>
              <w:autoSpaceDN/>
              <w:bidi w:val="0"/>
              <w:adjustRightInd w:val="0"/>
              <w:snapToGrid w:val="0"/>
              <w:spacing w:line="348" w:lineRule="auto"/>
              <w:ind w:left="0" w:leftChars="0" w:right="0" w:firstLine="480" w:firstLineChars="200"/>
              <w:textAlignment w:val="auto"/>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sz w:val="24"/>
                <w:lang w:eastAsia="zh-CN"/>
                <w14:textFill>
                  <w14:solidFill>
                    <w14:schemeClr w14:val="tx1"/>
                  </w14:solidFill>
                </w14:textFill>
              </w:rPr>
              <w:t>玉溪市生态环境局发布《玉溪市生态环境状况公报（202</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eastAsia="zh-CN"/>
                <w14:textFill>
                  <w14:solidFill>
                    <w14:schemeClr w14:val="tx1"/>
                  </w14:solidFill>
                </w14:textFill>
              </w:rPr>
              <w:t>年度）》星云湖水质为</w:t>
            </w:r>
            <w:r>
              <w:rPr>
                <w:rFonts w:hint="default" w:ascii="Times New Roman" w:hAnsi="Times New Roman" w:eastAsia="宋体" w:cs="Times New Roman"/>
                <w:color w:val="000000" w:themeColor="text1"/>
                <w:sz w:val="22"/>
                <w:szCs w:val="22"/>
                <w:lang w:eastAsia="zh-CN"/>
                <w14:textFill>
                  <w14:solidFill>
                    <w14:schemeClr w14:val="tx1"/>
                  </w14:solidFill>
                </w14:textFill>
              </w:rPr>
              <w:t>Ⅴ</w:t>
            </w:r>
            <w:r>
              <w:rPr>
                <w:rFonts w:hint="default" w:ascii="Times New Roman" w:hAnsi="Times New Roman" w:eastAsia="宋体" w:cs="Times New Roman"/>
                <w:color w:val="000000" w:themeColor="text1"/>
                <w:sz w:val="24"/>
                <w:lang w:eastAsia="zh-CN"/>
                <w14:textFill>
                  <w14:solidFill>
                    <w14:schemeClr w14:val="tx1"/>
                  </w14:solidFill>
                </w14:textFill>
              </w:rPr>
              <w:t>类，</w:t>
            </w:r>
            <w:r>
              <w:rPr>
                <w:rFonts w:hint="default" w:ascii="Times New Roman" w:hAnsi="Times New Roman" w:eastAsia="宋体" w:cs="Times New Roman"/>
                <w:color w:val="000000" w:themeColor="text1"/>
                <w:kern w:val="0"/>
                <w:sz w:val="24"/>
                <w:lang w:eastAsia="zh-CN"/>
                <w14:textFill>
                  <w14:solidFill>
                    <w14:schemeClr w14:val="tx1"/>
                  </w14:solidFill>
                </w14:textFill>
              </w:rPr>
              <w:t>不</w:t>
            </w:r>
            <w:r>
              <w:rPr>
                <w:rFonts w:hint="default" w:ascii="Times New Roman" w:hAnsi="Times New Roman" w:eastAsia="宋体" w:cs="Times New Roman"/>
                <w:color w:val="000000" w:themeColor="text1"/>
                <w:kern w:val="0"/>
                <w:sz w:val="24"/>
                <w14:textFill>
                  <w14:solidFill>
                    <w14:schemeClr w14:val="tx1"/>
                  </w14:solidFill>
                </w14:textFill>
              </w:rPr>
              <w:t>满足</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地表水环境质量标准》（GB3838-2002）中</w:t>
            </w:r>
            <w:r>
              <w:rPr>
                <w:rFonts w:hint="default" w:ascii="Times New Roman" w:hAnsi="Times New Roman" w:eastAsia="宋体" w:cs="Times New Roman"/>
                <w:color w:val="000000" w:themeColor="text1"/>
                <w:kern w:val="0"/>
                <w:sz w:val="22"/>
                <w:szCs w:val="22"/>
                <w14:textFill>
                  <w14:solidFill>
                    <w14:schemeClr w14:val="tx1"/>
                  </w14:solidFill>
                </w14:textFill>
              </w:rPr>
              <w:t>Ⅲ</w:t>
            </w:r>
            <w:r>
              <w:rPr>
                <w:rFonts w:hint="default" w:ascii="Times New Roman" w:hAnsi="Times New Roman" w:eastAsia="宋体" w:cs="Times New Roman"/>
                <w:color w:val="000000" w:themeColor="text1"/>
                <w:kern w:val="0"/>
                <w:sz w:val="24"/>
                <w14:textFill>
                  <w14:solidFill>
                    <w14:schemeClr w14:val="tx1"/>
                  </w14:solidFill>
                </w14:textFill>
              </w:rPr>
              <w:t>类标准，水质</w:t>
            </w:r>
            <w:r>
              <w:rPr>
                <w:rFonts w:hint="default" w:ascii="Times New Roman" w:hAnsi="Times New Roman" w:eastAsia="宋体" w:cs="Times New Roman"/>
                <w:color w:val="000000" w:themeColor="text1"/>
                <w:kern w:val="0"/>
                <w:sz w:val="24"/>
                <w:lang w:eastAsia="zh-CN"/>
                <w14:textFill>
                  <w14:solidFill>
                    <w14:schemeClr w14:val="tx1"/>
                  </w14:solidFill>
                </w14:textFill>
              </w:rPr>
              <w:t>不</w:t>
            </w:r>
            <w:r>
              <w:rPr>
                <w:rFonts w:hint="default" w:ascii="Times New Roman" w:hAnsi="Times New Roman" w:eastAsia="宋体" w:cs="Times New Roman"/>
                <w:color w:val="000000" w:themeColor="text1"/>
                <w:kern w:val="0"/>
                <w:sz w:val="24"/>
                <w14:textFill>
                  <w14:solidFill>
                    <w14:schemeClr w14:val="tx1"/>
                  </w14:solidFill>
                </w14:textFill>
              </w:rPr>
              <w:t>达到功能区划要求</w:t>
            </w:r>
            <w:r>
              <w:rPr>
                <w:rFonts w:hint="default" w:ascii="Times New Roman" w:hAnsi="Times New Roman" w:eastAsia="宋体" w:cs="Times New Roman"/>
                <w:color w:val="000000" w:themeColor="text1"/>
                <w:kern w:val="0"/>
                <w:sz w:val="24"/>
                <w:lang w:eastAsia="zh-CN"/>
                <w14:textFill>
                  <w14:solidFill>
                    <w14:schemeClr w14:val="tx1"/>
                  </w14:solidFill>
                </w14:textFill>
              </w:rPr>
              <w:t>。</w:t>
            </w:r>
          </w:p>
          <w:p w14:paraId="6302C7DC">
            <w:pPr>
              <w:keepNext w:val="0"/>
              <w:keepLines w:val="0"/>
              <w:pageBreakBefore w:val="0"/>
              <w:widowControl w:val="0"/>
              <w:kinsoku/>
              <w:wordWrap w:val="0"/>
              <w:overflowPunct/>
              <w:topLinePunct w:val="0"/>
              <w:autoSpaceDE/>
              <w:autoSpaceDN/>
              <w:bidi w:val="0"/>
              <w:adjustRightInd w:val="0"/>
              <w:snapToGrid w:val="0"/>
              <w:spacing w:line="348" w:lineRule="auto"/>
              <w:ind w:left="0" w:leftChars="0" w:right="0" w:firstLine="480" w:firstLineChars="200"/>
              <w:textAlignment w:val="auto"/>
              <w:rPr>
                <w:rFonts w:hint="eastAsia"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根据云南省生态环境厅发布《重点高原湖泊水质监测月报》（2024年11月~2025年10月）（https://sthjt.yn.gov.cn/hjzl/9dgyhpsjjcyb/）中“重点高原湖泊入湖河流水质状况表”中周官河水质数据。</w:t>
            </w:r>
          </w:p>
          <w:p w14:paraId="5A2F31EB">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default" w:cs="Times New Roman"/>
                <w:b/>
                <w:bCs/>
                <w:color w:val="000000" w:themeColor="text1"/>
                <w:kern w:val="0"/>
                <w:sz w:val="21"/>
                <w:szCs w:val="21"/>
                <w:lang w:val="en-US" w:eastAsia="zh-CN"/>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表3-4 周官河水质状况一览表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627"/>
              <w:gridCol w:w="1384"/>
              <w:gridCol w:w="1591"/>
              <w:gridCol w:w="2915"/>
            </w:tblGrid>
            <w:tr w14:paraId="143B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2A92CAC7">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b/>
                      <w:bCs/>
                      <w:color w:val="000000" w:themeColor="text1"/>
                      <w:kern w:val="0"/>
                      <w:sz w:val="21"/>
                      <w:szCs w:val="21"/>
                      <w:vertAlign w:val="baseline"/>
                      <w:lang w:val="en-US" w:eastAsia="zh-CN"/>
                      <w14:textFill>
                        <w14:solidFill>
                          <w14:schemeClr w14:val="tx1"/>
                        </w14:solidFill>
                      </w14:textFill>
                    </w:rPr>
                  </w:pPr>
                  <w:r>
                    <w:rPr>
                      <w:rFonts w:hint="eastAsia" w:cs="Times New Roman"/>
                      <w:b/>
                      <w:bCs/>
                      <w:color w:val="000000" w:themeColor="text1"/>
                      <w:kern w:val="0"/>
                      <w:sz w:val="21"/>
                      <w:szCs w:val="21"/>
                      <w:vertAlign w:val="baseline"/>
                      <w:lang w:val="en-US" w:eastAsia="zh-CN"/>
                      <w14:textFill>
                        <w14:solidFill>
                          <w14:schemeClr w14:val="tx1"/>
                        </w14:solidFill>
                      </w14:textFill>
                    </w:rPr>
                    <w:t>河流</w:t>
                  </w:r>
                </w:p>
              </w:tc>
              <w:tc>
                <w:tcPr>
                  <w:tcW w:w="1005" w:type="pct"/>
                  <w:vAlign w:val="center"/>
                </w:tcPr>
                <w:p w14:paraId="268FBC0E">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b/>
                      <w:bCs/>
                      <w:color w:val="000000" w:themeColor="text1"/>
                      <w:kern w:val="0"/>
                      <w:sz w:val="21"/>
                      <w:szCs w:val="21"/>
                      <w:vertAlign w:val="baseline"/>
                      <w:lang w:val="en-US" w:eastAsia="zh-CN"/>
                      <w14:textFill>
                        <w14:solidFill>
                          <w14:schemeClr w14:val="tx1"/>
                        </w14:solidFill>
                      </w14:textFill>
                    </w:rPr>
                  </w:pPr>
                  <w:r>
                    <w:rPr>
                      <w:rFonts w:hint="eastAsia" w:cs="Times New Roman"/>
                      <w:b/>
                      <w:bCs/>
                      <w:color w:val="000000" w:themeColor="text1"/>
                      <w:kern w:val="0"/>
                      <w:sz w:val="21"/>
                      <w:szCs w:val="21"/>
                      <w:vertAlign w:val="baseline"/>
                      <w:lang w:val="en-US" w:eastAsia="zh-CN"/>
                      <w14:textFill>
                        <w14:solidFill>
                          <w14:schemeClr w14:val="tx1"/>
                        </w14:solidFill>
                      </w14:textFill>
                    </w:rPr>
                    <w:t>月份</w:t>
                  </w:r>
                </w:p>
              </w:tc>
              <w:tc>
                <w:tcPr>
                  <w:tcW w:w="855" w:type="pct"/>
                  <w:vAlign w:val="center"/>
                </w:tcPr>
                <w:p w14:paraId="44A600CB">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b/>
                      <w:bCs/>
                      <w:color w:val="000000" w:themeColor="text1"/>
                      <w:kern w:val="0"/>
                      <w:sz w:val="21"/>
                      <w:szCs w:val="21"/>
                      <w:vertAlign w:val="baseline"/>
                      <w:lang w:val="en-US" w:eastAsia="zh-CN"/>
                      <w14:textFill>
                        <w14:solidFill>
                          <w14:schemeClr w14:val="tx1"/>
                        </w14:solidFill>
                      </w14:textFill>
                    </w:rPr>
                  </w:pPr>
                  <w:r>
                    <w:rPr>
                      <w:rFonts w:hint="eastAsia" w:cs="Times New Roman"/>
                      <w:b/>
                      <w:bCs/>
                      <w:color w:val="000000" w:themeColor="text1"/>
                      <w:kern w:val="0"/>
                      <w:sz w:val="21"/>
                      <w:szCs w:val="21"/>
                      <w:vertAlign w:val="baseline"/>
                      <w:lang w:val="en-US" w:eastAsia="zh-CN"/>
                      <w14:textFill>
                        <w14:solidFill>
                          <w14:schemeClr w14:val="tx1"/>
                        </w14:solidFill>
                      </w14:textFill>
                    </w:rPr>
                    <w:t>断面名称</w:t>
                  </w:r>
                </w:p>
              </w:tc>
              <w:tc>
                <w:tcPr>
                  <w:tcW w:w="983" w:type="pct"/>
                  <w:vAlign w:val="center"/>
                </w:tcPr>
                <w:p w14:paraId="63570009">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b/>
                      <w:bCs/>
                      <w:color w:val="000000" w:themeColor="text1"/>
                      <w:kern w:val="0"/>
                      <w:sz w:val="21"/>
                      <w:szCs w:val="21"/>
                      <w:vertAlign w:val="baseline"/>
                      <w:lang w:val="en-US" w:eastAsia="zh-CN"/>
                      <w14:textFill>
                        <w14:solidFill>
                          <w14:schemeClr w14:val="tx1"/>
                        </w14:solidFill>
                      </w14:textFill>
                    </w:rPr>
                  </w:pPr>
                  <w:r>
                    <w:rPr>
                      <w:rFonts w:hint="eastAsia" w:cs="Times New Roman"/>
                      <w:b/>
                      <w:bCs/>
                      <w:color w:val="000000" w:themeColor="text1"/>
                      <w:kern w:val="0"/>
                      <w:sz w:val="21"/>
                      <w:szCs w:val="21"/>
                      <w:vertAlign w:val="baseline"/>
                      <w:lang w:val="en-US" w:eastAsia="zh-CN"/>
                      <w14:textFill>
                        <w14:solidFill>
                          <w14:schemeClr w14:val="tx1"/>
                        </w14:solidFill>
                      </w14:textFill>
                    </w:rPr>
                    <w:t>水质类别</w:t>
                  </w:r>
                </w:p>
              </w:tc>
              <w:tc>
                <w:tcPr>
                  <w:tcW w:w="1800" w:type="pct"/>
                  <w:vAlign w:val="center"/>
                </w:tcPr>
                <w:p w14:paraId="34B2F239">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b/>
                      <w:bCs/>
                      <w:color w:val="000000" w:themeColor="text1"/>
                      <w:kern w:val="0"/>
                      <w:sz w:val="21"/>
                      <w:szCs w:val="21"/>
                      <w:vertAlign w:val="baseline"/>
                      <w:lang w:val="en-US" w:eastAsia="zh-CN"/>
                      <w14:textFill>
                        <w14:solidFill>
                          <w14:schemeClr w14:val="tx1"/>
                        </w14:solidFill>
                      </w14:textFill>
                    </w:rPr>
                  </w:pPr>
                  <w:r>
                    <w:rPr>
                      <w:rFonts w:hint="eastAsia" w:cs="Times New Roman"/>
                      <w:b/>
                      <w:bCs/>
                      <w:color w:val="000000" w:themeColor="text1"/>
                      <w:kern w:val="0"/>
                      <w:sz w:val="21"/>
                      <w:szCs w:val="21"/>
                      <w:vertAlign w:val="baseline"/>
                      <w:lang w:val="en-US" w:eastAsia="zh-CN"/>
                      <w14:textFill>
                        <w14:solidFill>
                          <w14:schemeClr w14:val="tx1"/>
                        </w14:solidFill>
                      </w14:textFill>
                    </w:rPr>
                    <w:t>超Ⅲ类项目</w:t>
                  </w:r>
                </w:p>
              </w:tc>
            </w:tr>
            <w:tr w14:paraId="3220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restart"/>
                  <w:vAlign w:val="center"/>
                </w:tcPr>
                <w:p w14:paraId="583EEC82">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周官河</w:t>
                  </w:r>
                </w:p>
              </w:tc>
              <w:tc>
                <w:tcPr>
                  <w:tcW w:w="1005" w:type="pct"/>
                  <w:vAlign w:val="center"/>
                </w:tcPr>
                <w:p w14:paraId="7FD6AAD6">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default"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2024年11月</w:t>
                  </w:r>
                </w:p>
              </w:tc>
              <w:tc>
                <w:tcPr>
                  <w:tcW w:w="855" w:type="pct"/>
                  <w:vAlign w:val="center"/>
                </w:tcPr>
                <w:p w14:paraId="1B8A88AF">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58E2A789">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2CE22EFD">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7AD3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 w:type="pct"/>
                  <w:vMerge w:val="continue"/>
                  <w:vAlign w:val="center"/>
                </w:tcPr>
                <w:p w14:paraId="28176DBE">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4C22EB37">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2024年12月</w:t>
                  </w:r>
                </w:p>
              </w:tc>
              <w:tc>
                <w:tcPr>
                  <w:tcW w:w="855" w:type="pct"/>
                  <w:vAlign w:val="center"/>
                </w:tcPr>
                <w:p w14:paraId="5A21D68F">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71987740">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0F29206B">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6A13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37138011">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551EC63B">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2025年1月</w:t>
                  </w:r>
                </w:p>
              </w:tc>
              <w:tc>
                <w:tcPr>
                  <w:tcW w:w="855" w:type="pct"/>
                  <w:vAlign w:val="center"/>
                </w:tcPr>
                <w:p w14:paraId="2610D06F">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0EEB0333">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1482EEF2">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022D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562489B7">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35E7F5BF">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2025年2月</w:t>
                  </w:r>
                </w:p>
              </w:tc>
              <w:tc>
                <w:tcPr>
                  <w:tcW w:w="855" w:type="pct"/>
                  <w:vAlign w:val="center"/>
                </w:tcPr>
                <w:p w14:paraId="22060337">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237ECD8F">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7F120D93">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1F83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415A31B6">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1329DE90">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2025年3月</w:t>
                  </w:r>
                </w:p>
              </w:tc>
              <w:tc>
                <w:tcPr>
                  <w:tcW w:w="855" w:type="pct"/>
                  <w:vAlign w:val="center"/>
                </w:tcPr>
                <w:p w14:paraId="50FD53F6">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1765F3D1">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2C8132E6">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564D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1A16C0CB">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69ED02B1">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2025年4月</w:t>
                  </w:r>
                </w:p>
              </w:tc>
              <w:tc>
                <w:tcPr>
                  <w:tcW w:w="855" w:type="pct"/>
                  <w:vAlign w:val="center"/>
                </w:tcPr>
                <w:p w14:paraId="5B086C8D">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2DB8600D">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1AFCC6AC">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4DBA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5DCEC419">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66C29FD8">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2025年5月</w:t>
                  </w:r>
                </w:p>
              </w:tc>
              <w:tc>
                <w:tcPr>
                  <w:tcW w:w="855" w:type="pct"/>
                  <w:vAlign w:val="center"/>
                </w:tcPr>
                <w:p w14:paraId="4F6272B3">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29495BC2">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0790A85F">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4FB2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427FE1D8">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4856A99F">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2025年6月</w:t>
                  </w:r>
                </w:p>
              </w:tc>
              <w:tc>
                <w:tcPr>
                  <w:tcW w:w="855" w:type="pct"/>
                  <w:vAlign w:val="center"/>
                </w:tcPr>
                <w:p w14:paraId="08E8A7D7">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7234B504">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1EA37705">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716C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6E70DE18">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6C56E982">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2025年7月</w:t>
                  </w:r>
                </w:p>
              </w:tc>
              <w:tc>
                <w:tcPr>
                  <w:tcW w:w="855" w:type="pct"/>
                  <w:vAlign w:val="center"/>
                </w:tcPr>
                <w:p w14:paraId="5FC1123C">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2E28D04F">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劣Ⅴ类</w:t>
                  </w:r>
                </w:p>
              </w:tc>
              <w:tc>
                <w:tcPr>
                  <w:tcW w:w="1800" w:type="pct"/>
                  <w:vAlign w:val="center"/>
                </w:tcPr>
                <w:p w14:paraId="33056071">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总磷(劣Ⅴ类),化学需氧量(劣Ⅴ类),五日生化需氧量(Ⅴ类),高锰酸盐指数(Ⅳ类),氨氮(Ⅳ类)</w:t>
                  </w:r>
                </w:p>
              </w:tc>
            </w:tr>
            <w:tr w14:paraId="030F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3302D003">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7430DBAB">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2025年8月</w:t>
                  </w:r>
                </w:p>
              </w:tc>
              <w:tc>
                <w:tcPr>
                  <w:tcW w:w="855" w:type="pct"/>
                  <w:vAlign w:val="center"/>
                </w:tcPr>
                <w:p w14:paraId="4E6D6135">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79AD6A40">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default"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05061089">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313E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60B8BEB5">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0D3BF33C">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2025年9月</w:t>
                  </w:r>
                </w:p>
              </w:tc>
              <w:tc>
                <w:tcPr>
                  <w:tcW w:w="855" w:type="pct"/>
                  <w:vAlign w:val="center"/>
                </w:tcPr>
                <w:p w14:paraId="4286F97F">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02A78544">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629A2274">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r w14:paraId="27F4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146F8A0B">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p>
              </w:tc>
              <w:tc>
                <w:tcPr>
                  <w:tcW w:w="1005" w:type="pct"/>
                  <w:vAlign w:val="center"/>
                </w:tcPr>
                <w:p w14:paraId="2C28BD3E">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default"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2025年10月</w:t>
                  </w:r>
                </w:p>
              </w:tc>
              <w:tc>
                <w:tcPr>
                  <w:tcW w:w="855" w:type="pct"/>
                  <w:vAlign w:val="center"/>
                </w:tcPr>
                <w:p w14:paraId="1E3189C7">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入湖口</w:t>
                  </w:r>
                </w:p>
              </w:tc>
              <w:tc>
                <w:tcPr>
                  <w:tcW w:w="983" w:type="pct"/>
                  <w:vAlign w:val="center"/>
                </w:tcPr>
                <w:p w14:paraId="72D0C4A4">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default"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w:t>
                  </w:r>
                </w:p>
              </w:tc>
              <w:tc>
                <w:tcPr>
                  <w:tcW w:w="1800" w:type="pct"/>
                  <w:vAlign w:val="center"/>
                </w:tcPr>
                <w:p w14:paraId="13BD175E">
                  <w:pPr>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eastAsia"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断流</w:t>
                  </w:r>
                </w:p>
              </w:tc>
            </w:tr>
          </w:tbl>
          <w:p w14:paraId="0959A8F9">
            <w:pPr>
              <w:keepNext w:val="0"/>
              <w:keepLines w:val="0"/>
              <w:pageBreakBefore w:val="0"/>
              <w:widowControl w:val="0"/>
              <w:kinsoku/>
              <w:wordWrap w:val="0"/>
              <w:overflowPunct/>
              <w:topLinePunct w:val="0"/>
              <w:autoSpaceDE/>
              <w:autoSpaceDN/>
              <w:bidi w:val="0"/>
              <w:adjustRightInd w:val="0"/>
              <w:snapToGrid w:val="0"/>
              <w:spacing w:line="348" w:lineRule="auto"/>
              <w:ind w:left="0" w:leftChars="0" w:righ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周官河入湖口断面水质类别为劣</w:t>
            </w:r>
            <w:r>
              <w:rPr>
                <w:rFonts w:hint="default" w:ascii="Times New Roman" w:hAnsi="Times New Roman" w:eastAsia="宋体" w:cs="Times New Roman"/>
                <w:color w:val="000000" w:themeColor="text1"/>
                <w:sz w:val="22"/>
                <w:szCs w:val="22"/>
                <w:lang w:eastAsia="zh-CN"/>
                <w14:textFill>
                  <w14:solidFill>
                    <w14:schemeClr w14:val="tx1"/>
                  </w14:solidFill>
                </w14:textFill>
              </w:rPr>
              <w:t>Ⅴ</w:t>
            </w:r>
            <w:r>
              <w:rPr>
                <w:rFonts w:hint="default" w:ascii="Times New Roman" w:hAnsi="Times New Roman" w:eastAsia="宋体" w:cs="Times New Roman"/>
                <w:color w:val="000000" w:themeColor="text1"/>
                <w:sz w:val="24"/>
                <w:lang w:eastAsia="zh-CN"/>
                <w14:textFill>
                  <w14:solidFill>
                    <w14:schemeClr w14:val="tx1"/>
                  </w14:solidFill>
                </w14:textFill>
              </w:rPr>
              <w:t>类，</w:t>
            </w:r>
            <w:r>
              <w:rPr>
                <w:rFonts w:hint="default" w:ascii="Times New Roman" w:hAnsi="Times New Roman" w:eastAsia="宋体" w:cs="Times New Roman"/>
                <w:color w:val="000000" w:themeColor="text1"/>
                <w:kern w:val="0"/>
                <w:sz w:val="24"/>
                <w:lang w:eastAsia="zh-CN"/>
                <w14:textFill>
                  <w14:solidFill>
                    <w14:schemeClr w14:val="tx1"/>
                  </w14:solidFill>
                </w14:textFill>
              </w:rPr>
              <w:t>不</w:t>
            </w:r>
            <w:r>
              <w:rPr>
                <w:rFonts w:hint="default" w:ascii="Times New Roman" w:hAnsi="Times New Roman" w:eastAsia="宋体" w:cs="Times New Roman"/>
                <w:color w:val="000000" w:themeColor="text1"/>
                <w:kern w:val="0"/>
                <w:sz w:val="24"/>
                <w14:textFill>
                  <w14:solidFill>
                    <w14:schemeClr w14:val="tx1"/>
                  </w14:solidFill>
                </w14:textFill>
              </w:rPr>
              <w:t>满足</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地表水环境质量标准》（GB3838-2002）中</w:t>
            </w:r>
            <w:r>
              <w:rPr>
                <w:rFonts w:hint="default" w:ascii="Times New Roman" w:hAnsi="Times New Roman" w:eastAsia="宋体" w:cs="Times New Roman"/>
                <w:color w:val="000000" w:themeColor="text1"/>
                <w:kern w:val="0"/>
                <w:sz w:val="22"/>
                <w:szCs w:val="22"/>
                <w14:textFill>
                  <w14:solidFill>
                    <w14:schemeClr w14:val="tx1"/>
                  </w14:solidFill>
                </w14:textFill>
              </w:rPr>
              <w:t>Ⅲ</w:t>
            </w:r>
            <w:r>
              <w:rPr>
                <w:rFonts w:hint="default" w:ascii="Times New Roman" w:hAnsi="Times New Roman" w:eastAsia="宋体" w:cs="Times New Roman"/>
                <w:color w:val="000000" w:themeColor="text1"/>
                <w:kern w:val="0"/>
                <w:sz w:val="24"/>
                <w14:textFill>
                  <w14:solidFill>
                    <w14:schemeClr w14:val="tx1"/>
                  </w14:solidFill>
                </w14:textFill>
              </w:rPr>
              <w:t>类标准，水质</w:t>
            </w:r>
            <w:r>
              <w:rPr>
                <w:rFonts w:hint="default" w:ascii="Times New Roman" w:hAnsi="Times New Roman" w:eastAsia="宋体" w:cs="Times New Roman"/>
                <w:color w:val="000000" w:themeColor="text1"/>
                <w:kern w:val="0"/>
                <w:sz w:val="24"/>
                <w:lang w:eastAsia="zh-CN"/>
                <w14:textFill>
                  <w14:solidFill>
                    <w14:schemeClr w14:val="tx1"/>
                  </w14:solidFill>
                </w14:textFill>
              </w:rPr>
              <w:t>不</w:t>
            </w:r>
            <w:r>
              <w:rPr>
                <w:rFonts w:hint="default" w:ascii="Times New Roman" w:hAnsi="Times New Roman" w:eastAsia="宋体" w:cs="Times New Roman"/>
                <w:color w:val="000000" w:themeColor="text1"/>
                <w:kern w:val="0"/>
                <w:sz w:val="24"/>
                <w14:textFill>
                  <w14:solidFill>
                    <w14:schemeClr w14:val="tx1"/>
                  </w14:solidFill>
                </w14:textFill>
              </w:rPr>
              <w:t>达到功能区划要求</w:t>
            </w:r>
            <w:r>
              <w:rPr>
                <w:rFonts w:hint="default" w:ascii="Times New Roman" w:hAnsi="Times New Roman" w:eastAsia="宋体" w:cs="Times New Roman"/>
                <w:color w:val="000000" w:themeColor="text1"/>
                <w:kern w:val="0"/>
                <w:sz w:val="24"/>
                <w:lang w:eastAsia="zh-CN"/>
                <w14:textFill>
                  <w14:solidFill>
                    <w14:schemeClr w14:val="tx1"/>
                  </w14:solidFill>
                </w14:textFill>
              </w:rPr>
              <w:t>。</w:t>
            </w:r>
          </w:p>
          <w:p w14:paraId="72CAE3F4">
            <w:pPr>
              <w:keepNext w:val="0"/>
              <w:keepLines w:val="0"/>
              <w:pageBreakBefore w:val="0"/>
              <w:widowControl w:val="0"/>
              <w:kinsoku/>
              <w:wordWrap w:val="0"/>
              <w:overflowPunct/>
              <w:topLinePunct w:val="0"/>
              <w:autoSpaceDE/>
              <w:autoSpaceDN/>
              <w:bidi w:val="0"/>
              <w:adjustRightInd w:val="0"/>
              <w:snapToGrid w:val="0"/>
              <w:spacing w:line="348" w:lineRule="auto"/>
              <w:ind w:left="0" w:leftChars="0" w:righ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生产过程中不产生生产废水，对印刷设备进行清理时均采用抹布蘸取少量油墨清洗剂对设备进行擦拭，无清洗废水产生。近期由于园区污水处理厂暂未正常运行，生活污水经化粪池预处理后进入自建生活污水处理设施处理达标后用于厂区周边绿化，</w:t>
            </w:r>
            <w:r>
              <w:rPr>
                <w:rFonts w:hint="eastAsia" w:cs="Times New Roman"/>
                <w:color w:val="000000" w:themeColor="text1"/>
                <w:kern w:val="0"/>
                <w:sz w:val="24"/>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留待晴天使用；远期待园区污水处理厂正常运行后，产生的生活污水通过化粪池预处理后排入园区市政污水管网，进入园区污水处理厂处理。本项目无生产废水产生，生活污水合理处置，本项目的建设对地表水环境影响较小。</w:t>
            </w:r>
          </w:p>
          <w:p w14:paraId="034E5C50">
            <w:pPr>
              <w:pStyle w:val="18"/>
              <w:pageBreakBefore w:val="0"/>
              <w:kinsoku/>
              <w:overflowPunct/>
              <w:topLinePunct w:val="0"/>
              <w:bidi w:val="0"/>
              <w:adjustRightInd w:val="0"/>
              <w:snapToGrid w:val="0"/>
              <w:spacing w:line="346"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3、声环境质量现状</w:t>
            </w:r>
          </w:p>
          <w:p w14:paraId="1D6DCCEF">
            <w:pPr>
              <w:pStyle w:val="84"/>
              <w:pageBreakBefore w:val="0"/>
              <w:kinsoku/>
              <w:overflowPunct/>
              <w:topLinePunct w:val="0"/>
              <w:bidi w:val="0"/>
              <w:snapToGrid w:val="0"/>
              <w:spacing w:line="346" w:lineRule="auto"/>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bidi="ar"/>
                <w14:textFill>
                  <w14:solidFill>
                    <w14:schemeClr w14:val="tx1"/>
                  </w14:solidFill>
                </w14:textFill>
              </w:rPr>
              <w:t>玉溪高新区龙泉片区</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属于</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玉溪高新区技术产业开发区</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玉溪高新区技术产业开发区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总体规划修编（2021-2035 年）环境影响报告书</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项目所在区域属于</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类声环境功能区，执行</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声环境质量标准》（GB3096-2008）</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类标准。</w:t>
            </w:r>
          </w:p>
          <w:p w14:paraId="6DF117E4">
            <w:pPr>
              <w:pageBreakBefore w:val="0"/>
              <w:kinsoku/>
              <w:overflowPunct/>
              <w:topLinePunct w:val="0"/>
              <w:bidi w:val="0"/>
              <w:ind w:left="0" w:leftChars="0" w:right="0"/>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表3-</w:t>
            </w:r>
            <w:r>
              <w:rPr>
                <w:rFonts w:hint="eastAsia" w:cs="Times New Roman"/>
                <w:b/>
                <w:color w:val="000000" w:themeColor="text1"/>
                <w:szCs w:val="21"/>
                <w:lang w:val="en-US" w:eastAsia="zh-CN"/>
                <w14:textFill>
                  <w14:solidFill>
                    <w14:schemeClr w14:val="tx1"/>
                  </w14:solidFill>
                </w14:textFill>
              </w:rPr>
              <w:t>5</w:t>
            </w:r>
            <w:r>
              <w:rPr>
                <w:rFonts w:hint="default" w:ascii="Times New Roman" w:hAnsi="Times New Roman" w:eastAsia="宋体" w:cs="Times New Roman"/>
                <w:b/>
                <w:color w:val="000000" w:themeColor="text1"/>
                <w:szCs w:val="21"/>
                <w14:textFill>
                  <w14:solidFill>
                    <w14:schemeClr w14:val="tx1"/>
                  </w14:solidFill>
                </w14:textFill>
              </w:rPr>
              <w:t xml:space="preserve"> 声环境质量标准  单位：dB</w:t>
            </w:r>
            <w:r>
              <w:rPr>
                <w:rFonts w:hint="default" w:ascii="Times New Roman" w:hAnsi="Times New Roman" w:eastAsia="宋体" w:cs="Times New Roman"/>
                <w:b/>
                <w:color w:val="000000" w:themeColor="text1"/>
                <w:szCs w:val="21"/>
                <w:lang w:eastAsia="zh-CN"/>
                <w14:textFill>
                  <w14:solidFill>
                    <w14:schemeClr w14:val="tx1"/>
                  </w14:solidFill>
                </w14:textFill>
              </w:rPr>
              <w:t>（</w:t>
            </w:r>
            <w:r>
              <w:rPr>
                <w:rFonts w:hint="default" w:ascii="Times New Roman" w:hAnsi="Times New Roman" w:eastAsia="宋体" w:cs="Times New Roman"/>
                <w:b/>
                <w:color w:val="000000" w:themeColor="text1"/>
                <w:szCs w:val="21"/>
                <w14:textFill>
                  <w14:solidFill>
                    <w14:schemeClr w14:val="tx1"/>
                  </w14:solidFill>
                </w14:textFill>
              </w:rPr>
              <w:t>A</w:t>
            </w:r>
            <w:r>
              <w:rPr>
                <w:rFonts w:hint="default" w:ascii="Times New Roman" w:hAnsi="Times New Roman" w:eastAsia="宋体" w:cs="Times New Roman"/>
                <w:b/>
                <w:color w:val="000000" w:themeColor="text1"/>
                <w:szCs w:val="21"/>
                <w:lang w:eastAsia="zh-CN"/>
                <w14:textFill>
                  <w14:solidFill>
                    <w14:schemeClr w14:val="tx1"/>
                  </w14:solidFill>
                </w14:textFill>
              </w:rPr>
              <w:t>）</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8"/>
              <w:gridCol w:w="2312"/>
              <w:gridCol w:w="2313"/>
            </w:tblGrid>
            <w:tr w14:paraId="06AA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42" w:type="pct"/>
                  <w:vAlign w:val="center"/>
                </w:tcPr>
                <w:p w14:paraId="54A558C7">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声环功能区类别</w:t>
                  </w:r>
                </w:p>
              </w:tc>
              <w:tc>
                <w:tcPr>
                  <w:tcW w:w="1428" w:type="pct"/>
                  <w:vAlign w:val="center"/>
                </w:tcPr>
                <w:p w14:paraId="6D5CFC96">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昼间</w:t>
                  </w:r>
                </w:p>
              </w:tc>
              <w:tc>
                <w:tcPr>
                  <w:tcW w:w="1428" w:type="pct"/>
                  <w:vAlign w:val="center"/>
                </w:tcPr>
                <w:p w14:paraId="767E956E">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夜间</w:t>
                  </w:r>
                </w:p>
              </w:tc>
            </w:tr>
            <w:tr w14:paraId="0655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2" w:type="pct"/>
                  <w:vAlign w:val="center"/>
                </w:tcPr>
                <w:p w14:paraId="2E0418A0">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3类标准</w:t>
                  </w:r>
                </w:p>
              </w:tc>
              <w:tc>
                <w:tcPr>
                  <w:tcW w:w="1428" w:type="pct"/>
                  <w:vAlign w:val="center"/>
                </w:tcPr>
                <w:p w14:paraId="64813304">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65</w:t>
                  </w:r>
                </w:p>
              </w:tc>
              <w:tc>
                <w:tcPr>
                  <w:tcW w:w="1428" w:type="pct"/>
                  <w:vAlign w:val="center"/>
                </w:tcPr>
                <w:p w14:paraId="41A8B7E7">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55</w:t>
                  </w:r>
                </w:p>
              </w:tc>
            </w:tr>
          </w:tbl>
          <w:p w14:paraId="410E9324">
            <w:pPr>
              <w:pStyle w:val="84"/>
              <w:pageBreakBefore w:val="0"/>
              <w:kinsoku/>
              <w:overflowPunct/>
              <w:topLinePunct w:val="0"/>
              <w:bidi w:val="0"/>
              <w:snapToGrid w:val="0"/>
              <w:spacing w:line="346" w:lineRule="auto"/>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据现场踏勘，</w:t>
            </w:r>
            <w:r>
              <w:rPr>
                <w:rFonts w:hint="default" w:ascii="Times New Roman" w:hAnsi="Times New Roman" w:eastAsia="宋体" w:cs="Times New Roman"/>
                <w:color w:val="000000" w:themeColor="text1"/>
                <w:lang w:eastAsia="zh-CN"/>
                <w14:textFill>
                  <w14:solidFill>
                    <w14:schemeClr w14:val="tx1"/>
                  </w14:solidFill>
                </w14:textFill>
              </w:rPr>
              <w:t>项目区厂房西南侧、西北侧为园区内现有厂房，东南侧隔道路为在建厂房，东北侧隔道路为江川工业园区管委会，周边多为工况企业</w:t>
            </w:r>
            <w:r>
              <w:rPr>
                <w:rFonts w:hint="default" w:ascii="Times New Roman" w:hAnsi="Times New Roman" w:eastAsia="宋体" w:cs="Times New Roman"/>
                <w:color w:val="000000" w:themeColor="text1"/>
                <w14:textFill>
                  <w14:solidFill>
                    <w14:schemeClr w14:val="tx1"/>
                  </w14:solidFill>
                </w14:textFill>
              </w:rPr>
              <w:t>，区域声环境</w:t>
            </w:r>
            <w:r>
              <w:rPr>
                <w:rFonts w:hint="default" w:ascii="Times New Roman" w:hAnsi="Times New Roman" w:eastAsia="宋体" w:cs="Times New Roman"/>
                <w:color w:val="000000" w:themeColor="text1"/>
                <w:lang w:eastAsia="zh-CN"/>
                <w14:textFill>
                  <w14:solidFill>
                    <w14:schemeClr w14:val="tx1"/>
                  </w14:solidFill>
                </w14:textFill>
              </w:rPr>
              <w:t>质量一般。</w:t>
            </w:r>
          </w:p>
          <w:p w14:paraId="44306A32">
            <w:pPr>
              <w:pStyle w:val="144"/>
              <w:pageBreakBefore w:val="0"/>
              <w:tabs>
                <w:tab w:val="left" w:pos="4830"/>
              </w:tabs>
              <w:kinsoku/>
              <w:overflowPunct/>
              <w:topLinePunct w:val="0"/>
              <w:bidi w:val="0"/>
              <w:spacing w:line="360" w:lineRule="auto"/>
              <w:ind w:left="0" w:leftChars="0" w:right="0"/>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建设项目环境影响评价报告表编制技术指南（污染影响类）（试行）》中区域环境质量现状声环境：厂界周边50m范围内存在声环境保护目标的建设项目，应监测保护目标声环境质量现状并评价达标情况。</w:t>
            </w:r>
          </w:p>
          <w:p w14:paraId="0174C421">
            <w:pPr>
              <w:pStyle w:val="144"/>
              <w:pageBreakBefore w:val="0"/>
              <w:tabs>
                <w:tab w:val="left" w:pos="4830"/>
              </w:tabs>
              <w:kinsoku/>
              <w:overflowPunct/>
              <w:topLinePunct w:val="0"/>
              <w:bidi w:val="0"/>
              <w:spacing w:line="360" w:lineRule="auto"/>
              <w:ind w:left="0" w:leftChars="0" w:right="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项目区东北侧约</w:t>
            </w:r>
            <w:r>
              <w:rPr>
                <w:rFonts w:hint="default" w:ascii="Times New Roman" w:hAnsi="Times New Roman" w:eastAsia="宋体" w:cs="Times New Roman"/>
                <w:color w:val="000000" w:themeColor="text1"/>
                <w:lang w:val="en-US" w:eastAsia="zh-CN"/>
                <w14:textFill>
                  <w14:solidFill>
                    <w14:schemeClr w14:val="tx1"/>
                  </w14:solidFill>
                </w14:textFill>
              </w:rPr>
              <w:t>40m处为</w:t>
            </w:r>
            <w:r>
              <w:rPr>
                <w:rFonts w:hint="default" w:ascii="Times New Roman" w:hAnsi="Times New Roman" w:eastAsia="宋体" w:cs="Times New Roman"/>
                <w:color w:val="000000" w:themeColor="text1"/>
                <w:lang w:eastAsia="zh-CN"/>
                <w14:textFill>
                  <w14:solidFill>
                    <w14:schemeClr w14:val="tx1"/>
                  </w14:solidFill>
                </w14:textFill>
              </w:rPr>
              <w:t>江川工业园区管委会，本次引用</w:t>
            </w:r>
            <w:r>
              <w:rPr>
                <w:rFonts w:hint="default" w:ascii="Times New Roman" w:hAnsi="Times New Roman" w:eastAsia="宋体" w:cs="Times New Roman"/>
                <w:color w:val="000000" w:themeColor="text1"/>
                <w:lang w:val="en-US" w:eastAsia="zh-CN"/>
                <w14:textFill>
                  <w14:solidFill>
                    <w14:schemeClr w14:val="tx1"/>
                  </w14:solidFill>
                </w14:textFill>
              </w:rPr>
              <w:t>《玉溪卓美塑料制品制造有限公司塑料制品项目》2025年07月12~13日中环境噪声监测点位N5（</w:t>
            </w:r>
            <w:r>
              <w:rPr>
                <w:rFonts w:hint="default" w:ascii="Times New Roman" w:hAnsi="Times New Roman" w:eastAsia="宋体" w:cs="Times New Roman"/>
                <w:color w:val="000000" w:themeColor="text1"/>
                <w:lang w:eastAsia="zh-CN"/>
                <w14:textFill>
                  <w14:solidFill>
                    <w14:schemeClr w14:val="tx1"/>
                  </w14:solidFill>
                </w14:textFill>
              </w:rPr>
              <w:t>江川工业园区管委会</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声环境质量现状监测结果。</w:t>
            </w:r>
            <w:r>
              <w:rPr>
                <w:rFonts w:hint="default" w:ascii="Times New Roman" w:hAnsi="Times New Roman" w:eastAsia="宋体"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玉溪高新区技术产业开发区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总体规划修编（2021-2035 年）环境影响报告书</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》，该点位执行</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声环境质量标准》（GB3096-2008）</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类标准</w:t>
            </w:r>
            <w:r>
              <w:rPr>
                <w:rFonts w:hint="default" w:ascii="Times New Roman" w:hAnsi="Times New Roman" w:eastAsia="宋体" w:cs="Times New Roman"/>
                <w:color w:val="000000" w:themeColor="text1"/>
                <w:lang w:eastAsia="zh-CN"/>
                <w14:textFill>
                  <w14:solidFill>
                    <w14:schemeClr w14:val="tx1"/>
                  </w14:solidFill>
                </w14:textFill>
              </w:rPr>
              <w:t>。</w:t>
            </w:r>
          </w:p>
          <w:p w14:paraId="7F866D8C">
            <w:pPr>
              <w:pageBreakBefore w:val="0"/>
              <w:kinsoku/>
              <w:overflowPunct/>
              <w:topLinePunct w:val="0"/>
              <w:bidi w:val="0"/>
              <w:ind w:left="0" w:leftChars="0" w:right="0"/>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表3-</w:t>
            </w:r>
            <w:r>
              <w:rPr>
                <w:rFonts w:hint="eastAsia" w:cs="Times New Roman"/>
                <w:b/>
                <w:color w:val="000000" w:themeColor="text1"/>
                <w:szCs w:val="21"/>
                <w:lang w:val="en-US" w:eastAsia="zh-CN"/>
                <w14:textFill>
                  <w14:solidFill>
                    <w14:schemeClr w14:val="tx1"/>
                  </w14:solidFill>
                </w14:textFill>
              </w:rPr>
              <w:t>6</w:t>
            </w:r>
            <w:r>
              <w:rPr>
                <w:rFonts w:hint="default" w:ascii="Times New Roman" w:hAnsi="Times New Roman" w:eastAsia="宋体" w:cs="Times New Roman"/>
                <w:b/>
                <w:color w:val="000000" w:themeColor="text1"/>
                <w:szCs w:val="21"/>
                <w14:textFill>
                  <w14:solidFill>
                    <w14:schemeClr w14:val="tx1"/>
                  </w14:solidFill>
                </w14:textFill>
              </w:rPr>
              <w:t xml:space="preserve"> </w:t>
            </w:r>
            <w:r>
              <w:rPr>
                <w:rFonts w:hint="default" w:ascii="Times New Roman" w:hAnsi="Times New Roman" w:eastAsia="宋体" w:cs="Times New Roman"/>
                <w:b/>
                <w:color w:val="000000" w:themeColor="text1"/>
                <w:szCs w:val="21"/>
                <w:lang w:eastAsia="zh-CN"/>
                <w14:textFill>
                  <w14:solidFill>
                    <w14:schemeClr w14:val="tx1"/>
                  </w14:solidFill>
                </w14:textFill>
              </w:rPr>
              <w:t>环境噪声监测结果</w:t>
            </w:r>
            <w:r>
              <w:rPr>
                <w:rFonts w:hint="default" w:ascii="Times New Roman" w:hAnsi="Times New Roman" w:eastAsia="宋体" w:cs="Times New Roman"/>
                <w:b/>
                <w:color w:val="000000" w:themeColor="text1"/>
                <w:szCs w:val="21"/>
                <w14:textFill>
                  <w14:solidFill>
                    <w14:schemeClr w14:val="tx1"/>
                  </w14:solidFill>
                </w14:textFill>
              </w:rPr>
              <w:t xml:space="preserve">  单位：dB</w:t>
            </w:r>
            <w:r>
              <w:rPr>
                <w:rFonts w:hint="default" w:ascii="Times New Roman" w:hAnsi="Times New Roman" w:eastAsia="宋体" w:cs="Times New Roman"/>
                <w:b/>
                <w:color w:val="000000" w:themeColor="text1"/>
                <w:szCs w:val="21"/>
                <w:lang w:eastAsia="zh-CN"/>
                <w14:textFill>
                  <w14:solidFill>
                    <w14:schemeClr w14:val="tx1"/>
                  </w14:solidFill>
                </w14:textFill>
              </w:rPr>
              <w:t>（</w:t>
            </w:r>
            <w:r>
              <w:rPr>
                <w:rFonts w:hint="default" w:ascii="Times New Roman" w:hAnsi="Times New Roman" w:eastAsia="宋体" w:cs="Times New Roman"/>
                <w:b/>
                <w:color w:val="000000" w:themeColor="text1"/>
                <w:szCs w:val="21"/>
                <w14:textFill>
                  <w14:solidFill>
                    <w14:schemeClr w14:val="tx1"/>
                  </w14:solidFill>
                </w14:textFill>
              </w:rPr>
              <w:t>A</w:t>
            </w:r>
            <w:r>
              <w:rPr>
                <w:rFonts w:hint="default" w:ascii="Times New Roman" w:hAnsi="Times New Roman" w:eastAsia="宋体" w:cs="Times New Roman"/>
                <w:b/>
                <w:color w:val="000000" w:themeColor="text1"/>
                <w:szCs w:val="21"/>
                <w:lang w:eastAsia="zh-CN"/>
                <w14:textFill>
                  <w14:solidFill>
                    <w14:schemeClr w14:val="tx1"/>
                  </w14:solidFill>
                </w14:textFill>
              </w:rPr>
              <w:t>）</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1797"/>
              <w:gridCol w:w="1799"/>
              <w:gridCol w:w="1799"/>
            </w:tblGrid>
            <w:tr w14:paraId="6F7E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13CF232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监测点位</w:t>
                  </w:r>
                </w:p>
              </w:tc>
              <w:tc>
                <w:tcPr>
                  <w:tcW w:w="1110" w:type="pct"/>
                  <w:vAlign w:val="center"/>
                </w:tcPr>
                <w:p w14:paraId="1A5190B7">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检测日期</w:t>
                  </w:r>
                </w:p>
              </w:tc>
              <w:tc>
                <w:tcPr>
                  <w:tcW w:w="1111" w:type="pct"/>
                  <w:vAlign w:val="center"/>
                </w:tcPr>
                <w:p w14:paraId="361071CD">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检测时间</w:t>
                  </w:r>
                </w:p>
              </w:tc>
              <w:tc>
                <w:tcPr>
                  <w:tcW w:w="1111" w:type="pct"/>
                  <w:vAlign w:val="center"/>
                </w:tcPr>
                <w:p w14:paraId="3B8BAC83">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检测结果Leq</w:t>
                  </w:r>
                </w:p>
              </w:tc>
            </w:tr>
            <w:tr w14:paraId="0480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restart"/>
                  <w:vAlign w:val="center"/>
                </w:tcPr>
                <w:p w14:paraId="18BE39AB">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N5：</w:t>
                  </w:r>
                  <w:r>
                    <w:rPr>
                      <w:rFonts w:hint="default" w:ascii="Times New Roman" w:hAnsi="Times New Roman" w:eastAsia="宋体" w:cs="Times New Roman"/>
                      <w:color w:val="000000" w:themeColor="text1"/>
                      <w:lang w:eastAsia="zh-CN"/>
                      <w14:textFill>
                        <w14:solidFill>
                          <w14:schemeClr w14:val="tx1"/>
                        </w14:solidFill>
                      </w14:textFill>
                    </w:rPr>
                    <w:t>江川工业园区管委会</w:t>
                  </w:r>
                </w:p>
              </w:tc>
              <w:tc>
                <w:tcPr>
                  <w:tcW w:w="1110" w:type="pct"/>
                  <w:vMerge w:val="restart"/>
                  <w:vAlign w:val="center"/>
                </w:tcPr>
                <w:p w14:paraId="11E54B0E">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2025.07.12</w:t>
                  </w:r>
                </w:p>
              </w:tc>
              <w:tc>
                <w:tcPr>
                  <w:tcW w:w="1111" w:type="pct"/>
                  <w:vAlign w:val="center"/>
                </w:tcPr>
                <w:p w14:paraId="12846A6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昼间15:39</w:t>
                  </w:r>
                </w:p>
              </w:tc>
              <w:tc>
                <w:tcPr>
                  <w:tcW w:w="1111" w:type="pct"/>
                  <w:vAlign w:val="center"/>
                </w:tcPr>
                <w:p w14:paraId="475DF560">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51</w:t>
                  </w:r>
                </w:p>
              </w:tc>
            </w:tr>
            <w:tr w14:paraId="5F65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continue"/>
                  <w:vAlign w:val="center"/>
                </w:tcPr>
                <w:p w14:paraId="72BBCC03">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110" w:type="pct"/>
                  <w:vMerge w:val="continue"/>
                  <w:vAlign w:val="center"/>
                </w:tcPr>
                <w:p w14:paraId="5AF6D2A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111" w:type="pct"/>
                  <w:vAlign w:val="center"/>
                </w:tcPr>
                <w:p w14:paraId="18EE975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夜间23:29</w:t>
                  </w:r>
                </w:p>
              </w:tc>
              <w:tc>
                <w:tcPr>
                  <w:tcW w:w="1111" w:type="pct"/>
                  <w:vAlign w:val="center"/>
                </w:tcPr>
                <w:p w14:paraId="71E76AC2">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41</w:t>
                  </w:r>
                </w:p>
              </w:tc>
            </w:tr>
            <w:tr w14:paraId="1D6F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continue"/>
                  <w:vAlign w:val="center"/>
                </w:tcPr>
                <w:p w14:paraId="37E936CF">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110" w:type="pct"/>
                  <w:vMerge w:val="restart"/>
                  <w:vAlign w:val="center"/>
                </w:tcPr>
                <w:p w14:paraId="2CBEB48C">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2025.07.13</w:t>
                  </w:r>
                </w:p>
              </w:tc>
              <w:tc>
                <w:tcPr>
                  <w:tcW w:w="1111" w:type="pct"/>
                  <w:vAlign w:val="center"/>
                </w:tcPr>
                <w:p w14:paraId="1F81124A">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昼间15:40</w:t>
                  </w:r>
                </w:p>
              </w:tc>
              <w:tc>
                <w:tcPr>
                  <w:tcW w:w="1111" w:type="pct"/>
                  <w:vAlign w:val="center"/>
                </w:tcPr>
                <w:p w14:paraId="3AEA896E">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52</w:t>
                  </w:r>
                </w:p>
              </w:tc>
            </w:tr>
            <w:tr w14:paraId="3DDA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continue"/>
                  <w:vAlign w:val="center"/>
                </w:tcPr>
                <w:p w14:paraId="2D38B30B">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110" w:type="pct"/>
                  <w:vMerge w:val="continue"/>
                  <w:vAlign w:val="center"/>
                </w:tcPr>
                <w:p w14:paraId="66268C2A">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111" w:type="pct"/>
                  <w:vAlign w:val="center"/>
                </w:tcPr>
                <w:p w14:paraId="3C4F5FC6">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夜间23:27</w:t>
                  </w:r>
                </w:p>
              </w:tc>
              <w:tc>
                <w:tcPr>
                  <w:tcW w:w="1111" w:type="pct"/>
                  <w:vAlign w:val="center"/>
                </w:tcPr>
                <w:p w14:paraId="30BE112E">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41</w:t>
                  </w:r>
                </w:p>
              </w:tc>
            </w:tr>
          </w:tbl>
          <w:p w14:paraId="00EBF233">
            <w:pPr>
              <w:pStyle w:val="144"/>
              <w:pageBreakBefore w:val="0"/>
              <w:tabs>
                <w:tab w:val="left" w:pos="4830"/>
              </w:tabs>
              <w:kinsoku/>
              <w:overflowPunct/>
              <w:topLinePunct w:val="0"/>
              <w:bidi w:val="0"/>
              <w:spacing w:line="360" w:lineRule="auto"/>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根据监测结果，该点位声环境满足《</w:t>
            </w:r>
            <w:r>
              <w:rPr>
                <w:rFonts w:hint="default" w:ascii="Times New Roman" w:hAnsi="Times New Roman" w:eastAsia="宋体" w:cs="Times New Roman"/>
                <w:color w:val="000000" w:themeColor="text1"/>
                <w14:textFill>
                  <w14:solidFill>
                    <w14:schemeClr w14:val="tx1"/>
                  </w14:solidFill>
                </w14:textFill>
              </w:rPr>
              <w:t>声环境质量标准》（GB3096-2008）</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类标准</w:t>
            </w:r>
            <w:r>
              <w:rPr>
                <w:rFonts w:hint="default" w:ascii="Times New Roman" w:hAnsi="Times New Roman" w:eastAsia="宋体" w:cs="Times New Roman"/>
                <w:color w:val="000000" w:themeColor="text1"/>
                <w:lang w:eastAsia="zh-CN"/>
                <w14:textFill>
                  <w14:solidFill>
                    <w14:schemeClr w14:val="tx1"/>
                  </w14:solidFill>
                </w14:textFill>
              </w:rPr>
              <w:t>要求。</w:t>
            </w:r>
          </w:p>
          <w:p w14:paraId="02A6791B">
            <w:pPr>
              <w:pStyle w:val="18"/>
              <w:pageBreakBefore w:val="0"/>
              <w:kinsoku/>
              <w:overflowPunct/>
              <w:topLinePunct w:val="0"/>
              <w:bidi w:val="0"/>
              <w:adjustRightInd w:val="0"/>
              <w:snapToGrid w:val="0"/>
              <w:spacing w:line="346"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4、生态环境质量现状</w:t>
            </w:r>
          </w:p>
          <w:p w14:paraId="25577048">
            <w:pPr>
              <w:pageBreakBefore w:val="0"/>
              <w:kinsoku/>
              <w:overflowPunct/>
              <w:topLinePunct w:val="0"/>
              <w:bidi w:val="0"/>
              <w:snapToGrid w:val="0"/>
              <w:spacing w:line="346" w:lineRule="auto"/>
              <w:ind w:left="0" w:leftChars="0" w:right="0"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Style w:val="47"/>
                <w:rFonts w:hint="default" w:ascii="Times New Roman" w:hAnsi="Times New Roman" w:eastAsia="宋体" w:cs="Times New Roman"/>
                <w:color w:val="000000" w:themeColor="text1"/>
                <w:lang w:val="zh-CN"/>
                <w14:textFill>
                  <w14:solidFill>
                    <w14:schemeClr w14:val="tx1"/>
                  </w14:solidFill>
                </w14:textFill>
              </w:rPr>
              <w:t>项目位于</w:t>
            </w:r>
            <w:r>
              <w:rPr>
                <w:rFonts w:hint="default" w:ascii="Times New Roman" w:hAnsi="Times New Roman" w:eastAsia="宋体" w:cs="Times New Roman"/>
                <w:color w:val="000000" w:themeColor="text1"/>
                <w:sz w:val="24"/>
                <w:lang w:val="en-US" w:eastAsia="zh-CN" w:bidi="ar"/>
                <w14:textFill>
                  <w14:solidFill>
                    <w14:schemeClr w14:val="tx1"/>
                  </w14:solidFill>
                </w14:textFill>
              </w:rPr>
              <w:t>玉溪高新区龙泉片区</w:t>
            </w:r>
            <w:r>
              <w:rPr>
                <w:rStyle w:val="47"/>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sz w:val="24"/>
                <w:lang w:val="zh-CN"/>
                <w14:textFill>
                  <w14:solidFill>
                    <w14:schemeClr w14:val="tx1"/>
                  </w14:solidFill>
                </w14:textFill>
              </w:rPr>
              <w:t>项</w:t>
            </w:r>
            <w:r>
              <w:rPr>
                <w:rFonts w:hint="default" w:ascii="Times New Roman" w:hAnsi="Times New Roman" w:eastAsia="宋体" w:cs="Times New Roman"/>
                <w:b w:val="0"/>
                <w:bCs w:val="0"/>
                <w:color w:val="000000" w:themeColor="text1"/>
                <w:sz w:val="24"/>
                <w:lang w:val="zh-CN"/>
                <w14:textFill>
                  <w14:solidFill>
                    <w14:schemeClr w14:val="tx1"/>
                  </w14:solidFill>
                </w14:textFill>
              </w:rPr>
              <w:t>目</w:t>
            </w:r>
            <w:r>
              <w:rPr>
                <w:rFonts w:hint="default" w:ascii="Times New Roman" w:hAnsi="Times New Roman" w:eastAsia="宋体" w:cs="Times New Roman"/>
                <w:b w:val="0"/>
                <w:bCs w:val="0"/>
                <w:color w:val="000000" w:themeColor="text1"/>
                <w:sz w:val="24"/>
                <w14:textFill>
                  <w14:solidFill>
                    <w14:schemeClr w14:val="tx1"/>
                  </w14:solidFill>
                </w14:textFill>
              </w:rPr>
              <w:t>厂址</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范围内</w:t>
            </w:r>
            <w:r>
              <w:rPr>
                <w:rFonts w:hint="default" w:ascii="Times New Roman" w:hAnsi="Times New Roman" w:eastAsia="宋体" w:cs="Times New Roman"/>
                <w:color w:val="000000" w:themeColor="text1"/>
                <w:sz w:val="24"/>
                <w:lang w:val="zh-CN"/>
                <w14:textFill>
                  <w14:solidFill>
                    <w14:schemeClr w14:val="tx1"/>
                  </w14:solidFill>
                </w14:textFill>
              </w:rPr>
              <w:t>由于受人为活动的开发和破坏，地表植被已无原生植被，主要为人工种植的绿化植物</w:t>
            </w:r>
            <w:r>
              <w:rPr>
                <w:rFonts w:hint="default" w:ascii="Times New Roman" w:hAnsi="Times New Roman" w:eastAsia="宋体" w:cs="Times New Roman"/>
                <w:color w:val="000000" w:themeColor="text1"/>
                <w:sz w:val="24"/>
                <w14:textFill>
                  <w14:solidFill>
                    <w14:schemeClr w14:val="tx1"/>
                  </w14:solidFill>
                </w14:textFill>
              </w:rPr>
              <w:t>和</w:t>
            </w:r>
            <w:r>
              <w:rPr>
                <w:rFonts w:hint="default" w:ascii="Times New Roman" w:hAnsi="Times New Roman" w:eastAsia="宋体" w:cs="Times New Roman"/>
                <w:color w:val="000000" w:themeColor="text1"/>
                <w:sz w:val="24"/>
                <w:lang w:val="zh-CN"/>
                <w14:textFill>
                  <w14:solidFill>
                    <w14:schemeClr w14:val="tx1"/>
                  </w14:solidFill>
                </w14:textFill>
              </w:rPr>
              <w:t>低矮灌木，植物种类较少，生物结构单一，生态环境自我调节能力低。</w:t>
            </w:r>
          </w:p>
          <w:p w14:paraId="1C3B2203">
            <w:pPr>
              <w:pageBreakBefore w:val="0"/>
              <w:kinsoku/>
              <w:overflowPunct/>
              <w:topLinePunct w:val="0"/>
              <w:bidi w:val="0"/>
              <w:snapToGrid w:val="0"/>
              <w:spacing w:line="346" w:lineRule="auto"/>
              <w:ind w:left="0" w:leftChars="0" w:right="0"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zh-CN"/>
                <w14:textFill>
                  <w14:solidFill>
                    <w14:schemeClr w14:val="tx1"/>
                  </w14:solidFill>
                </w14:textFill>
              </w:rPr>
              <w:t>根据调查，项目周边调查范围内未涉及国家保护的珍贵野生动、植物。</w:t>
            </w:r>
            <w:r>
              <w:rPr>
                <w:rFonts w:hint="default" w:ascii="Times New Roman" w:hAnsi="Times New Roman" w:eastAsia="宋体" w:cs="Times New Roman"/>
                <w:color w:val="000000" w:themeColor="text1"/>
                <w:sz w:val="24"/>
                <w14:textFill>
                  <w14:solidFill>
                    <w14:schemeClr w14:val="tx1"/>
                  </w14:solidFill>
                </w14:textFill>
              </w:rPr>
              <w:t>评价范围</w:t>
            </w:r>
            <w:r>
              <w:rPr>
                <w:rFonts w:hint="default" w:ascii="Times New Roman" w:hAnsi="Times New Roman" w:eastAsia="宋体" w:cs="Times New Roman"/>
                <w:color w:val="000000" w:themeColor="text1"/>
                <w:sz w:val="24"/>
                <w:lang w:val="zh-CN"/>
                <w14:textFill>
                  <w14:solidFill>
                    <w14:schemeClr w14:val="tx1"/>
                  </w14:solidFill>
                </w14:textFill>
              </w:rPr>
              <w:t>内无自然保护区、风景名胜区、森林公园、历史文化遗迹等需要特殊保护的生态敏感目标，无国家珍稀濒危保护物种、国家重点保护野生植物和云南省级重点野生保护动物，也没有特有种类存在</w:t>
            </w:r>
            <w:r>
              <w:rPr>
                <w:rFonts w:hint="default" w:ascii="Times New Roman" w:hAnsi="Times New Roman" w:eastAsia="宋体" w:cs="Times New Roman"/>
                <w:color w:val="000000" w:themeColor="text1"/>
                <w:sz w:val="24"/>
                <w:lang w:eastAsia="zh-CN"/>
                <w14:textFill>
                  <w14:solidFill>
                    <w14:schemeClr w14:val="tx1"/>
                  </w14:solidFill>
                </w14:textFill>
              </w:rPr>
              <w:t>，生物多样性一般。</w:t>
            </w:r>
          </w:p>
          <w:p w14:paraId="6CA69716">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5、地下水、土壤环境</w:t>
            </w:r>
          </w:p>
          <w:p w14:paraId="4F1C7CAC">
            <w:pPr>
              <w:pageBreakBefore w:val="0"/>
              <w:kinsoku/>
              <w:overflowPunct/>
              <w:topLinePunct w:val="0"/>
              <w:bidi w:val="0"/>
              <w:snapToGrid w:val="0"/>
              <w:spacing w:line="346"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10" w:name="_Toc14125"/>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eastAsia="zh-CN"/>
                <w14:textFill>
                  <w14:solidFill>
                    <w14:schemeClr w14:val="tx1"/>
                  </w14:solidFill>
                </w14:textFill>
              </w:rPr>
              <w:t>租用现有闲置厂房进行建设，项目生产车间地面硬化平整。本项目为软包装、新能源包装材料项目，项目建设完成后，有机废气经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RTO蓄热燃烧装置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处理达标后经排气筒排放；</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生产</w:t>
            </w:r>
            <w:r>
              <w:rPr>
                <w:rFonts w:hint="default" w:ascii="Times New Roman" w:hAnsi="Times New Roman" w:eastAsia="宋体" w:cs="Times New Roman"/>
                <w:color w:val="000000" w:themeColor="text1"/>
                <w:sz w:val="24"/>
                <w:szCs w:val="24"/>
                <w:lang w:eastAsia="zh-CN"/>
                <w14:textFill>
                  <w14:solidFill>
                    <w14:schemeClr w14:val="tx1"/>
                  </w14:solidFill>
                </w14:textFill>
              </w:rPr>
              <w:t>过程中不产生生产废水，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对印刷设备进行清理时均采用抹布蘸取少量油墨清洗剂对设备进行擦拭，无清洗废水产生</w:t>
            </w:r>
            <w:r>
              <w:rPr>
                <w:rFonts w:hint="default" w:ascii="Times New Roman" w:hAnsi="Times New Roman" w:eastAsia="宋体" w:cs="Times New Roman"/>
                <w:color w:val="000000" w:themeColor="text1"/>
                <w:sz w:val="24"/>
                <w:lang w:eastAsia="zh-CN"/>
                <w14:textFill>
                  <w14:solidFill>
                    <w14:schemeClr w14:val="tx1"/>
                  </w14:solidFill>
                </w14:textFill>
              </w:rPr>
              <w:t>；生活污水近期经化粪池预处理后进入自建一体化污水处理设施处理达标后回用于绿化，远期经化粪池处理后进入园区污水管网。</w:t>
            </w:r>
          </w:p>
          <w:p w14:paraId="17CA9AEA">
            <w:pPr>
              <w:pageBreakBefore w:val="0"/>
              <w:kinsoku/>
              <w:overflowPunct/>
              <w:topLinePunct w:val="0"/>
              <w:bidi w:val="0"/>
              <w:snapToGrid w:val="0"/>
              <w:spacing w:line="346" w:lineRule="auto"/>
              <w:ind w:left="0" w:leftChars="0" w:right="0" w:firstLine="48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项目在采取本环评提出的防渗措施后，对周边环境的影响不大</w:t>
            </w:r>
            <w:r>
              <w:rPr>
                <w:rFonts w:hint="default" w:ascii="Times New Roman" w:hAnsi="Times New Roman" w:eastAsia="宋体" w:cs="Times New Roman"/>
                <w:color w:val="000000" w:themeColor="text1"/>
                <w:sz w:val="24"/>
                <w14:textFill>
                  <w14:solidFill>
                    <w14:schemeClr w14:val="tx1"/>
                  </w14:solidFill>
                </w14:textFill>
              </w:rPr>
              <w:t>，可不开展环境质量现状调查</w:t>
            </w:r>
            <w:bookmarkEnd w:id="10"/>
            <w:r>
              <w:rPr>
                <w:rFonts w:hint="default" w:ascii="Times New Roman" w:hAnsi="Times New Roman" w:eastAsia="宋体" w:cs="Times New Roman"/>
                <w:color w:val="000000" w:themeColor="text1"/>
                <w:sz w:val="24"/>
                <w:lang w:eastAsia="zh-CN"/>
                <w14:textFill>
                  <w14:solidFill>
                    <w14:schemeClr w14:val="tx1"/>
                  </w14:solidFill>
                </w14:textFill>
              </w:rPr>
              <w:t>。</w:t>
            </w:r>
          </w:p>
        </w:tc>
      </w:tr>
      <w:tr w14:paraId="0B852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40" w:type="dxa"/>
            <w:vAlign w:val="center"/>
          </w:tcPr>
          <w:p w14:paraId="05601864">
            <w:pPr>
              <w:pageBreakBefore w:val="0"/>
              <w:kinsoku/>
              <w:overflowPunct/>
              <w:topLinePunct w:val="0"/>
              <w:bidi w:val="0"/>
              <w:ind w:left="0" w:leftChars="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环境</w:t>
            </w:r>
          </w:p>
          <w:p w14:paraId="09BFD5F5">
            <w:pPr>
              <w:pageBreakBefore w:val="0"/>
              <w:kinsoku/>
              <w:overflowPunct/>
              <w:topLinePunct w:val="0"/>
              <w:bidi w:val="0"/>
              <w:ind w:left="0" w:leftChars="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保护</w:t>
            </w:r>
          </w:p>
          <w:p w14:paraId="413345BF">
            <w:pPr>
              <w:pageBreakBefore w:val="0"/>
              <w:kinsoku/>
              <w:overflowPunct/>
              <w:topLinePunct w:val="0"/>
              <w:bidi w:val="0"/>
              <w:ind w:left="0" w:leftChars="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目标</w:t>
            </w:r>
          </w:p>
        </w:tc>
        <w:tc>
          <w:tcPr>
            <w:tcW w:w="8321" w:type="dxa"/>
            <w:vAlign w:val="center"/>
          </w:tcPr>
          <w:p w14:paraId="4D1EBB3E">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1、大气环境保护目标</w:t>
            </w:r>
          </w:p>
          <w:p w14:paraId="034603CF">
            <w:pPr>
              <w:pStyle w:val="90"/>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项目厂界外500m范围内主要环境保护目标见下表。</w:t>
            </w:r>
          </w:p>
          <w:p w14:paraId="5A31C9A7">
            <w:pPr>
              <w:pStyle w:val="30"/>
              <w:pageBreakBefore w:val="0"/>
              <w:kinsoku/>
              <w:overflowPunct/>
              <w:topLinePunct w:val="0"/>
              <w:bidi w:val="0"/>
              <w:snapToGrid/>
              <w:spacing w:after="0" w:line="240" w:lineRule="auto"/>
              <w:ind w:left="0" w:leftChars="0" w:right="0" w:firstLine="0" w:firstLineChars="0"/>
              <w:jc w:val="center"/>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表3-</w:t>
            </w:r>
            <w:r>
              <w:rPr>
                <w:rFonts w:hint="eastAsia" w:cs="Times New Roman"/>
                <w:b/>
                <w:bCs/>
                <w:color w:val="000000" w:themeColor="text1"/>
                <w:sz w:val="21"/>
                <w:szCs w:val="18"/>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18"/>
                <w14:textFill>
                  <w14:solidFill>
                    <w14:schemeClr w14:val="tx1"/>
                  </w14:solidFill>
                </w14:textFill>
              </w:rPr>
              <w:t xml:space="preserve">  大气环境保护目标一览表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825"/>
              <w:gridCol w:w="1816"/>
              <w:gridCol w:w="705"/>
              <w:gridCol w:w="669"/>
              <w:gridCol w:w="1839"/>
              <w:gridCol w:w="613"/>
              <w:gridCol w:w="813"/>
            </w:tblGrid>
            <w:tr w14:paraId="439D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pct"/>
                  <w:vAlign w:val="center"/>
                </w:tcPr>
                <w:p w14:paraId="1CF68603">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w:t>
                  </w:r>
                </w:p>
                <w:p w14:paraId="70C849D9">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要素</w:t>
                  </w:r>
                </w:p>
              </w:tc>
              <w:tc>
                <w:tcPr>
                  <w:tcW w:w="509" w:type="pct"/>
                  <w:vAlign w:val="center"/>
                </w:tcPr>
                <w:p w14:paraId="684A1C4A">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1121" w:type="pct"/>
                  <w:vAlign w:val="center"/>
                </w:tcPr>
                <w:p w14:paraId="31A02353">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中心地理坐标</w:t>
                  </w:r>
                </w:p>
              </w:tc>
              <w:tc>
                <w:tcPr>
                  <w:tcW w:w="435" w:type="pct"/>
                  <w:vAlign w:val="center"/>
                </w:tcPr>
                <w:p w14:paraId="48AD7E8A">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保护对象</w:t>
                  </w:r>
                </w:p>
              </w:tc>
              <w:tc>
                <w:tcPr>
                  <w:tcW w:w="413" w:type="pct"/>
                  <w:vAlign w:val="center"/>
                </w:tcPr>
                <w:p w14:paraId="30987E85">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保护内容</w:t>
                  </w:r>
                </w:p>
              </w:tc>
              <w:tc>
                <w:tcPr>
                  <w:tcW w:w="1135" w:type="pct"/>
                  <w:vAlign w:val="center"/>
                </w:tcPr>
                <w:p w14:paraId="3D22CC1F">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环境功能区</w:t>
                  </w:r>
                </w:p>
              </w:tc>
              <w:tc>
                <w:tcPr>
                  <w:tcW w:w="378" w:type="pct"/>
                  <w:vAlign w:val="center"/>
                </w:tcPr>
                <w:p w14:paraId="0F8F51ED">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相对厂址</w:t>
                  </w:r>
                  <w:r>
                    <w:rPr>
                      <w:rFonts w:hint="default" w:ascii="Times New Roman" w:hAnsi="Times New Roman" w:eastAsia="宋体" w:cs="Times New Roman"/>
                      <w:b/>
                      <w:bCs/>
                      <w:color w:val="000000" w:themeColor="text1"/>
                      <w:sz w:val="21"/>
                      <w:szCs w:val="21"/>
                      <w14:textFill>
                        <w14:solidFill>
                          <w14:schemeClr w14:val="tx1"/>
                        </w14:solidFill>
                      </w14:textFill>
                    </w:rPr>
                    <w:t>方位</w:t>
                  </w:r>
                </w:p>
              </w:tc>
              <w:tc>
                <w:tcPr>
                  <w:tcW w:w="502" w:type="pct"/>
                  <w:vAlign w:val="center"/>
                </w:tcPr>
                <w:p w14:paraId="6468E1CF">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相对厂界</w:t>
                  </w:r>
                  <w:r>
                    <w:rPr>
                      <w:rFonts w:hint="default" w:ascii="Times New Roman" w:hAnsi="Times New Roman" w:eastAsia="宋体" w:cs="Times New Roman"/>
                      <w:b/>
                      <w:bCs/>
                      <w:color w:val="000000" w:themeColor="text1"/>
                      <w:sz w:val="21"/>
                      <w:szCs w:val="21"/>
                      <w14:textFill>
                        <w14:solidFill>
                          <w14:schemeClr w14:val="tx1"/>
                        </w14:solidFill>
                      </w14:textFill>
                    </w:rPr>
                    <w:t>距离（m）</w:t>
                  </w:r>
                </w:p>
              </w:tc>
            </w:tr>
            <w:tr w14:paraId="5221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pct"/>
                  <w:vAlign w:val="center"/>
                </w:tcPr>
                <w:p w14:paraId="0B27DF27">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w:t>
                  </w:r>
                </w:p>
              </w:tc>
              <w:tc>
                <w:tcPr>
                  <w:tcW w:w="509" w:type="pct"/>
                  <w:vAlign w:val="center"/>
                </w:tcPr>
                <w:p w14:paraId="639EA41F">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江川工业园区管委会</w:t>
                  </w:r>
                </w:p>
              </w:tc>
              <w:tc>
                <w:tcPr>
                  <w:tcW w:w="1121" w:type="pct"/>
                  <w:vAlign w:val="center"/>
                </w:tcPr>
                <w:p w14:paraId="2A0DC226">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东经</w:t>
                  </w:r>
                  <w:r>
                    <w:rPr>
                      <w:rFonts w:hint="default" w:ascii="Times New Roman" w:hAnsi="Times New Roman" w:eastAsia="宋体" w:cs="Times New Roman"/>
                      <w:color w:val="000000" w:themeColor="text1"/>
                      <w:sz w:val="21"/>
                      <w:szCs w:val="21"/>
                      <w14:textFill>
                        <w14:solidFill>
                          <w14:schemeClr w14:val="tx1"/>
                        </w14:solidFill>
                      </w14:textFill>
                    </w:rPr>
                    <w:t>102°42′58.909″,</w:t>
                  </w:r>
                  <w:r>
                    <w:rPr>
                      <w:rFonts w:hint="default" w:ascii="Times New Roman" w:hAnsi="Times New Roman" w:eastAsia="宋体" w:cs="Times New Roman"/>
                      <w:color w:val="000000" w:themeColor="text1"/>
                      <w:sz w:val="21"/>
                      <w:szCs w:val="21"/>
                      <w:lang w:eastAsia="zh-CN"/>
                      <w14:textFill>
                        <w14:solidFill>
                          <w14:schemeClr w14:val="tx1"/>
                        </w14:solidFill>
                      </w14:textFill>
                    </w:rPr>
                    <w:t>北纬</w:t>
                  </w:r>
                  <w:r>
                    <w:rPr>
                      <w:rFonts w:hint="default" w:ascii="Times New Roman" w:hAnsi="Times New Roman" w:eastAsia="宋体" w:cs="Times New Roman"/>
                      <w:color w:val="000000" w:themeColor="text1"/>
                      <w:sz w:val="21"/>
                      <w:szCs w:val="21"/>
                      <w14:textFill>
                        <w14:solidFill>
                          <w14:schemeClr w14:val="tx1"/>
                        </w14:solidFill>
                      </w14:textFill>
                    </w:rPr>
                    <w:t>24°18′28.828″</w:t>
                  </w:r>
                </w:p>
              </w:tc>
              <w:tc>
                <w:tcPr>
                  <w:tcW w:w="435" w:type="pct"/>
                  <w:vAlign w:val="center"/>
                </w:tcPr>
                <w:p w14:paraId="41BB5CBE">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人群</w:t>
                  </w:r>
                </w:p>
              </w:tc>
              <w:tc>
                <w:tcPr>
                  <w:tcW w:w="413" w:type="pct"/>
                  <w:vAlign w:val="center"/>
                </w:tcPr>
                <w:p w14:paraId="2CA3D44D">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135" w:type="pct"/>
                  <w:vAlign w:val="center"/>
                </w:tcPr>
                <w:p w14:paraId="1D98350F">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环境空气质量标准》（GB3095-2012）二类区</w:t>
                  </w:r>
                </w:p>
              </w:tc>
              <w:tc>
                <w:tcPr>
                  <w:tcW w:w="378" w:type="pct"/>
                  <w:vAlign w:val="center"/>
                </w:tcPr>
                <w:p w14:paraId="0FBE85B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东北</w:t>
                  </w:r>
                </w:p>
              </w:tc>
              <w:tc>
                <w:tcPr>
                  <w:tcW w:w="502" w:type="pct"/>
                  <w:vAlign w:val="center"/>
                </w:tcPr>
                <w:p w14:paraId="234D6A16">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r>
          </w:tbl>
          <w:p w14:paraId="52A1F1E1">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2、声环境保护目标</w:t>
            </w:r>
          </w:p>
          <w:p w14:paraId="71123BDC">
            <w:pPr>
              <w:pStyle w:val="90"/>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项目厂界外50m范围内主要</w:t>
            </w:r>
            <w:r>
              <w:rPr>
                <w:rFonts w:hint="default" w:ascii="Times New Roman" w:hAnsi="Times New Roman" w:eastAsia="宋体" w:cs="Times New Roman"/>
                <w:color w:val="000000" w:themeColor="text1"/>
                <w:sz w:val="24"/>
                <w14:textFill>
                  <w14:solidFill>
                    <w14:schemeClr w14:val="tx1"/>
                  </w14:solidFill>
                </w14:textFill>
              </w:rPr>
              <w:t>声环境保护</w:t>
            </w:r>
            <w:r>
              <w:rPr>
                <w:rFonts w:hint="default" w:ascii="Times New Roman" w:hAnsi="Times New Roman" w:eastAsia="宋体" w:cs="Times New Roman"/>
                <w:color w:val="000000" w:themeColor="text1"/>
                <w:sz w:val="24"/>
                <w:lang w:val="zh-CN"/>
                <w14:textFill>
                  <w14:solidFill>
                    <w14:schemeClr w14:val="tx1"/>
                  </w14:solidFill>
                </w14:textFill>
              </w:rPr>
              <w:t>目标见下表。</w:t>
            </w:r>
          </w:p>
          <w:p w14:paraId="56EDDF57">
            <w:pPr>
              <w:pStyle w:val="30"/>
              <w:pageBreakBefore w:val="0"/>
              <w:kinsoku/>
              <w:overflowPunct/>
              <w:topLinePunct w:val="0"/>
              <w:bidi w:val="0"/>
              <w:snapToGrid/>
              <w:spacing w:after="0" w:line="240" w:lineRule="auto"/>
              <w:ind w:left="0" w:leftChars="0" w:right="0" w:firstLine="0" w:firstLineChars="0"/>
              <w:jc w:val="center"/>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表3-</w:t>
            </w:r>
            <w:r>
              <w:rPr>
                <w:rFonts w:hint="eastAsia" w:cs="Times New Roman"/>
                <w:b/>
                <w:bCs/>
                <w:color w:val="000000" w:themeColor="text1"/>
                <w:sz w:val="21"/>
                <w:szCs w:val="18"/>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18"/>
                <w14:textFill>
                  <w14:solidFill>
                    <w14:schemeClr w14:val="tx1"/>
                  </w14:solidFill>
                </w14:textFill>
              </w:rPr>
              <w:t xml:space="preserve">  </w:t>
            </w:r>
            <w:r>
              <w:rPr>
                <w:rFonts w:hint="default" w:ascii="Times New Roman" w:hAnsi="Times New Roman" w:eastAsia="宋体" w:cs="Times New Roman"/>
                <w:b/>
                <w:bCs/>
                <w:color w:val="000000" w:themeColor="text1"/>
                <w:sz w:val="21"/>
                <w:szCs w:val="18"/>
                <w:lang w:eastAsia="zh-CN"/>
                <w14:textFill>
                  <w14:solidFill>
                    <w14:schemeClr w14:val="tx1"/>
                  </w14:solidFill>
                </w14:textFill>
              </w:rPr>
              <w:t>声</w:t>
            </w:r>
            <w:r>
              <w:rPr>
                <w:rFonts w:hint="default" w:ascii="Times New Roman" w:hAnsi="Times New Roman" w:eastAsia="宋体" w:cs="Times New Roman"/>
                <w:b/>
                <w:bCs/>
                <w:color w:val="000000" w:themeColor="text1"/>
                <w:sz w:val="21"/>
                <w:szCs w:val="18"/>
                <w14:textFill>
                  <w14:solidFill>
                    <w14:schemeClr w14:val="tx1"/>
                  </w14:solidFill>
                </w14:textFill>
              </w:rPr>
              <w:t>环境保护目标一览表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784"/>
              <w:gridCol w:w="981"/>
              <w:gridCol w:w="1012"/>
              <w:gridCol w:w="967"/>
              <w:gridCol w:w="714"/>
              <w:gridCol w:w="1468"/>
              <w:gridCol w:w="1468"/>
            </w:tblGrid>
            <w:tr w14:paraId="07DA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restart"/>
                  <w:vAlign w:val="center"/>
                </w:tcPr>
                <w:p w14:paraId="47846F48">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环境要素</w:t>
                  </w:r>
                </w:p>
              </w:tc>
              <w:tc>
                <w:tcPr>
                  <w:tcW w:w="484" w:type="pct"/>
                  <w:vMerge w:val="restart"/>
                  <w:vAlign w:val="center"/>
                </w:tcPr>
                <w:p w14:paraId="0FBD0D32">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名称</w:t>
                  </w:r>
                </w:p>
              </w:tc>
              <w:tc>
                <w:tcPr>
                  <w:tcW w:w="1231" w:type="pct"/>
                  <w:gridSpan w:val="2"/>
                  <w:vAlign w:val="center"/>
                </w:tcPr>
                <w:p w14:paraId="06A44AF6">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坐标</w:t>
                  </w:r>
                </w:p>
              </w:tc>
              <w:tc>
                <w:tcPr>
                  <w:tcW w:w="597" w:type="pct"/>
                  <w:vMerge w:val="restart"/>
                  <w:vAlign w:val="center"/>
                </w:tcPr>
                <w:p w14:paraId="74CF559A">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距厂界最近距离</w:t>
                  </w:r>
                </w:p>
              </w:tc>
              <w:tc>
                <w:tcPr>
                  <w:tcW w:w="441" w:type="pct"/>
                  <w:vMerge w:val="restart"/>
                  <w:vAlign w:val="center"/>
                </w:tcPr>
                <w:p w14:paraId="6158593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方位</w:t>
                  </w:r>
                </w:p>
              </w:tc>
              <w:tc>
                <w:tcPr>
                  <w:tcW w:w="907" w:type="pct"/>
                  <w:vMerge w:val="restart"/>
                  <w:vAlign w:val="center"/>
                </w:tcPr>
                <w:p w14:paraId="399AA917">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环境功能区</w:t>
                  </w:r>
                </w:p>
              </w:tc>
              <w:tc>
                <w:tcPr>
                  <w:tcW w:w="907" w:type="pct"/>
                  <w:vMerge w:val="restart"/>
                  <w:vAlign w:val="center"/>
                </w:tcPr>
                <w:p w14:paraId="58D69AE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声环境保护目标情况说明</w:t>
                  </w:r>
                </w:p>
              </w:tc>
            </w:tr>
            <w:tr w14:paraId="4415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064C35A1">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84" w:type="pct"/>
                  <w:vMerge w:val="continue"/>
                  <w:vAlign w:val="center"/>
                </w:tcPr>
                <w:p w14:paraId="13D8413C">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06" w:type="pct"/>
                  <w:vAlign w:val="center"/>
                </w:tcPr>
                <w:p w14:paraId="2F498978">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东经</w:t>
                  </w:r>
                </w:p>
              </w:tc>
              <w:tc>
                <w:tcPr>
                  <w:tcW w:w="625" w:type="pct"/>
                  <w:vAlign w:val="center"/>
                </w:tcPr>
                <w:p w14:paraId="1B497552">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北纬</w:t>
                  </w:r>
                </w:p>
              </w:tc>
              <w:tc>
                <w:tcPr>
                  <w:tcW w:w="597" w:type="pct"/>
                  <w:vMerge w:val="continue"/>
                  <w:vAlign w:val="center"/>
                </w:tcPr>
                <w:p w14:paraId="4DBEA36A">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41" w:type="pct"/>
                  <w:vMerge w:val="continue"/>
                  <w:vAlign w:val="center"/>
                </w:tcPr>
                <w:p w14:paraId="0ED8026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907" w:type="pct"/>
                  <w:vMerge w:val="continue"/>
                  <w:vAlign w:val="center"/>
                </w:tcPr>
                <w:p w14:paraId="7B329944">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907" w:type="pct"/>
                  <w:vMerge w:val="continue"/>
                  <w:vAlign w:val="center"/>
                </w:tcPr>
                <w:p w14:paraId="3E3D23F4">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041D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Align w:val="center"/>
                </w:tcPr>
                <w:p w14:paraId="1A7A55B4">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声环境</w:t>
                  </w:r>
                </w:p>
              </w:tc>
              <w:tc>
                <w:tcPr>
                  <w:tcW w:w="484" w:type="pct"/>
                  <w:vAlign w:val="center"/>
                </w:tcPr>
                <w:p w14:paraId="26D51F2C">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江川工业园区管委会</w:t>
                  </w:r>
                </w:p>
              </w:tc>
              <w:tc>
                <w:tcPr>
                  <w:tcW w:w="606" w:type="pct"/>
                  <w:vAlign w:val="center"/>
                </w:tcPr>
                <w:p w14:paraId="74E1903E">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102°42′58.909″</w:t>
                  </w:r>
                </w:p>
              </w:tc>
              <w:tc>
                <w:tcPr>
                  <w:tcW w:w="625" w:type="pct"/>
                  <w:vAlign w:val="center"/>
                </w:tcPr>
                <w:p w14:paraId="03AD4AC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24°18′28.828″</w:t>
                  </w:r>
                </w:p>
              </w:tc>
              <w:tc>
                <w:tcPr>
                  <w:tcW w:w="597" w:type="pct"/>
                  <w:vAlign w:val="center"/>
                </w:tcPr>
                <w:p w14:paraId="40E0E552">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40m</w:t>
                  </w:r>
                </w:p>
              </w:tc>
              <w:tc>
                <w:tcPr>
                  <w:tcW w:w="441" w:type="pct"/>
                  <w:vAlign w:val="center"/>
                </w:tcPr>
                <w:p w14:paraId="4BB81C2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东北</w:t>
                  </w:r>
                </w:p>
              </w:tc>
              <w:tc>
                <w:tcPr>
                  <w:tcW w:w="907" w:type="pct"/>
                  <w:vAlign w:val="center"/>
                </w:tcPr>
                <w:p w14:paraId="241AD057">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声环境质量标准》GB3096-2008中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c>
                <w:tcPr>
                  <w:tcW w:w="907" w:type="pct"/>
                  <w:vAlign w:val="center"/>
                </w:tcPr>
                <w:p w14:paraId="6BF7C590">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声环境保护目标主要为</w:t>
                  </w:r>
                  <w:r>
                    <w:rPr>
                      <w:rFonts w:hint="default" w:ascii="Times New Roman" w:hAnsi="Times New Roman" w:eastAsia="宋体" w:cs="Times New Roman"/>
                      <w:color w:val="000000" w:themeColor="text1"/>
                      <w:lang w:eastAsia="zh-CN"/>
                      <w14:textFill>
                        <w14:solidFill>
                          <w14:schemeClr w14:val="tx1"/>
                        </w14:solidFill>
                      </w14:textFill>
                    </w:rPr>
                    <w:t>江川工业园区管委会办公楼</w:t>
                  </w:r>
                </w:p>
              </w:tc>
            </w:tr>
          </w:tbl>
          <w:p w14:paraId="7549FD57">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w:t>
            </w:r>
            <w:r>
              <w:rPr>
                <w:rFonts w:hint="default" w:ascii="Times New Roman" w:hAnsi="Times New Roman" w:eastAsia="宋体" w:cs="Times New Roman"/>
                <w:b/>
                <w:color w:val="000000" w:themeColor="text1"/>
                <w:sz w:val="24"/>
                <w:lang w:eastAsia="zh-CN"/>
                <w14:textFill>
                  <w14:solidFill>
                    <w14:schemeClr w14:val="tx1"/>
                  </w14:solidFill>
                </w14:textFill>
              </w:rPr>
              <w:t>地表</w:t>
            </w:r>
            <w:r>
              <w:rPr>
                <w:rFonts w:hint="default" w:ascii="Times New Roman" w:hAnsi="Times New Roman" w:eastAsia="宋体" w:cs="Times New Roman"/>
                <w:b/>
                <w:color w:val="000000" w:themeColor="text1"/>
                <w:sz w:val="24"/>
                <w14:textFill>
                  <w14:solidFill>
                    <w14:schemeClr w14:val="tx1"/>
                  </w14:solidFill>
                </w14:textFill>
              </w:rPr>
              <w:t>水环境保护目标</w:t>
            </w:r>
          </w:p>
          <w:p w14:paraId="7B44F786">
            <w:pPr>
              <w:pStyle w:val="90"/>
              <w:pageBreakBefore w:val="0"/>
              <w:widowControl/>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kern w:val="0"/>
                <w:sz w:val="24"/>
                <w:lang w:val="zh-CN"/>
                <w14:textFill>
                  <w14:solidFill>
                    <w14:schemeClr w14:val="tx1"/>
                  </w14:solidFill>
                </w14:textFill>
              </w:rPr>
            </w:pPr>
            <w:r>
              <w:rPr>
                <w:rFonts w:hint="default" w:ascii="Times New Roman" w:hAnsi="Times New Roman" w:eastAsia="宋体" w:cs="Times New Roman"/>
                <w:color w:val="000000" w:themeColor="text1"/>
                <w:kern w:val="0"/>
                <w:sz w:val="24"/>
                <w:lang w:val="zh-CN"/>
                <w14:textFill>
                  <w14:solidFill>
                    <w14:schemeClr w14:val="tx1"/>
                  </w14:solidFill>
                </w14:textFill>
              </w:rPr>
              <w:t>本项目距离最近的地表水体</w:t>
            </w:r>
            <w:r>
              <w:rPr>
                <w:rFonts w:hint="default" w:ascii="Times New Roman" w:hAnsi="Times New Roman" w:eastAsia="宋体" w:cs="Times New Roman"/>
                <w:color w:val="000000" w:themeColor="text1"/>
                <w:sz w:val="24"/>
                <w14:textFill>
                  <w14:solidFill>
                    <w14:schemeClr w14:val="tx1"/>
                  </w14:solidFill>
                </w14:textFill>
              </w:rPr>
              <w:t>为项目区</w:t>
            </w:r>
            <w:r>
              <w:rPr>
                <w:rFonts w:hint="default" w:ascii="Times New Roman" w:hAnsi="Times New Roman" w:eastAsia="宋体" w:cs="Times New Roman"/>
                <w:color w:val="000000" w:themeColor="text1"/>
                <w:sz w:val="24"/>
                <w:lang w:eastAsia="zh-CN"/>
                <w14:textFill>
                  <w14:solidFill>
                    <w14:schemeClr w14:val="tx1"/>
                  </w14:solidFill>
                </w14:textFill>
              </w:rPr>
              <w:t>东北侧约</w:t>
            </w:r>
            <w:r>
              <w:rPr>
                <w:rFonts w:hint="default" w:ascii="Times New Roman" w:hAnsi="Times New Roman" w:eastAsia="宋体" w:cs="Times New Roman"/>
                <w:color w:val="000000" w:themeColor="text1"/>
                <w:sz w:val="24"/>
                <w:lang w:val="en-US" w:eastAsia="zh-CN"/>
                <w14:textFill>
                  <w14:solidFill>
                    <w14:schemeClr w14:val="tx1"/>
                  </w14:solidFill>
                </w14:textFill>
              </w:rPr>
              <w:t>200m处的玉江大沟，玉江大沟最终进入星云湖。</w:t>
            </w:r>
          </w:p>
          <w:p w14:paraId="06BA1CDA">
            <w:pPr>
              <w:pStyle w:val="30"/>
              <w:pageBreakBefore w:val="0"/>
              <w:kinsoku/>
              <w:overflowPunct/>
              <w:topLinePunct w:val="0"/>
              <w:bidi w:val="0"/>
              <w:snapToGrid/>
              <w:spacing w:after="0" w:line="240" w:lineRule="auto"/>
              <w:ind w:left="0" w:leftChars="0" w:right="0" w:firstLine="0" w:firstLineChars="0"/>
              <w:jc w:val="center"/>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表3-</w:t>
            </w:r>
            <w:r>
              <w:rPr>
                <w:rFonts w:hint="eastAsia" w:cs="Times New Roman"/>
                <w:b/>
                <w:bCs/>
                <w:color w:val="000000" w:themeColor="text1"/>
                <w:sz w:val="21"/>
                <w:szCs w:val="18"/>
                <w:lang w:val="en-US" w:eastAsia="zh-CN"/>
                <w14:textFill>
                  <w14:solidFill>
                    <w14:schemeClr w14:val="tx1"/>
                  </w14:solidFill>
                </w14:textFill>
              </w:rPr>
              <w:t xml:space="preserve">9 </w:t>
            </w:r>
            <w:r>
              <w:rPr>
                <w:rFonts w:hint="default" w:ascii="Times New Roman" w:hAnsi="Times New Roman" w:eastAsia="宋体" w:cs="Times New Roman"/>
                <w:b/>
                <w:bCs/>
                <w:color w:val="000000" w:themeColor="text1"/>
                <w:sz w:val="21"/>
                <w:szCs w:val="18"/>
                <w:lang w:eastAsia="zh-CN"/>
                <w14:textFill>
                  <w14:solidFill>
                    <w14:schemeClr w14:val="tx1"/>
                  </w14:solidFill>
                </w14:textFill>
              </w:rPr>
              <w:t>地表</w:t>
            </w:r>
            <w:r>
              <w:rPr>
                <w:rFonts w:hint="default" w:ascii="Times New Roman" w:hAnsi="Times New Roman" w:eastAsia="宋体" w:cs="Times New Roman"/>
                <w:b/>
                <w:bCs/>
                <w:color w:val="000000" w:themeColor="text1"/>
                <w:sz w:val="21"/>
                <w:szCs w:val="18"/>
                <w14:textFill>
                  <w14:solidFill>
                    <w14:schemeClr w14:val="tx1"/>
                  </w14:solidFill>
                </w14:textFill>
              </w:rPr>
              <w:t>水环境保护目标一览表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814"/>
              <w:gridCol w:w="1990"/>
              <w:gridCol w:w="686"/>
              <w:gridCol w:w="1090"/>
              <w:gridCol w:w="777"/>
              <w:gridCol w:w="2097"/>
            </w:tblGrid>
            <w:tr w14:paraId="6693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91" w:type="pct"/>
                  <w:vAlign w:val="center"/>
                </w:tcPr>
                <w:p w14:paraId="6CEEF69A">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w:t>
                  </w:r>
                </w:p>
                <w:p w14:paraId="29E4FDAF">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要素</w:t>
                  </w:r>
                </w:p>
              </w:tc>
              <w:tc>
                <w:tcPr>
                  <w:tcW w:w="503" w:type="pct"/>
                  <w:vAlign w:val="center"/>
                </w:tcPr>
                <w:p w14:paraId="10C34896">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1229" w:type="pct"/>
                  <w:vAlign w:val="center"/>
                </w:tcPr>
                <w:p w14:paraId="2844DBBA">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中心地理坐标</w:t>
                  </w:r>
                </w:p>
              </w:tc>
              <w:tc>
                <w:tcPr>
                  <w:tcW w:w="424" w:type="pct"/>
                  <w:vAlign w:val="center"/>
                </w:tcPr>
                <w:p w14:paraId="742595CF">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方位</w:t>
                  </w:r>
                </w:p>
              </w:tc>
              <w:tc>
                <w:tcPr>
                  <w:tcW w:w="673" w:type="pct"/>
                  <w:vAlign w:val="center"/>
                </w:tcPr>
                <w:p w14:paraId="6A275E7E">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距离（m）</w:t>
                  </w:r>
                </w:p>
              </w:tc>
              <w:tc>
                <w:tcPr>
                  <w:tcW w:w="480" w:type="pct"/>
                  <w:vAlign w:val="center"/>
                </w:tcPr>
                <w:p w14:paraId="36C15F49">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功能</w:t>
                  </w:r>
                </w:p>
              </w:tc>
              <w:tc>
                <w:tcPr>
                  <w:tcW w:w="1295" w:type="pct"/>
                  <w:vAlign w:val="center"/>
                </w:tcPr>
                <w:p w14:paraId="54E803BA">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功能要求</w:t>
                  </w:r>
                </w:p>
              </w:tc>
            </w:tr>
            <w:tr w14:paraId="4CEF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391" w:type="pct"/>
                  <w:vMerge w:val="restart"/>
                  <w:vAlign w:val="center"/>
                </w:tcPr>
                <w:p w14:paraId="3FA8F498">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水环境</w:t>
                  </w:r>
                </w:p>
              </w:tc>
              <w:tc>
                <w:tcPr>
                  <w:tcW w:w="503" w:type="pct"/>
                  <w:vAlign w:val="center"/>
                </w:tcPr>
                <w:p w14:paraId="46A612D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玉江大沟</w:t>
                  </w:r>
                </w:p>
              </w:tc>
              <w:tc>
                <w:tcPr>
                  <w:tcW w:w="1229" w:type="pct"/>
                  <w:vAlign w:val="center"/>
                </w:tcPr>
                <w:p w14:paraId="5379DC09">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E：</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2.776</w:t>
                  </w:r>
                  <w:r>
                    <w:rPr>
                      <w:rFonts w:hint="default" w:ascii="Times New Roman" w:hAnsi="Times New Roman" w:eastAsia="宋体" w:cs="Times New Roman"/>
                      <w:color w:val="000000" w:themeColor="text1"/>
                      <w:sz w:val="21"/>
                      <w:szCs w:val="21"/>
                      <w14:textFill>
                        <w14:solidFill>
                          <w14:schemeClr w14:val="tx1"/>
                        </w14:solidFill>
                      </w14:textFill>
                    </w:rPr>
                    <w:t>″，</w:t>
                  </w:r>
                </w:p>
                <w:p w14:paraId="66AEC1B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33.053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24" w:type="pct"/>
                  <w:vAlign w:val="center"/>
                </w:tcPr>
                <w:p w14:paraId="0D256944">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东北</w:t>
                  </w:r>
                </w:p>
              </w:tc>
              <w:tc>
                <w:tcPr>
                  <w:tcW w:w="673" w:type="pct"/>
                  <w:vAlign w:val="center"/>
                </w:tcPr>
                <w:p w14:paraId="76061277">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约200m</w:t>
                  </w:r>
                </w:p>
              </w:tc>
              <w:tc>
                <w:tcPr>
                  <w:tcW w:w="480" w:type="pct"/>
                  <w:vAlign w:val="center"/>
                </w:tcPr>
                <w:p w14:paraId="74EE74C5">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河流</w:t>
                  </w:r>
                </w:p>
              </w:tc>
              <w:tc>
                <w:tcPr>
                  <w:tcW w:w="1295" w:type="pct"/>
                  <w:vMerge w:val="restart"/>
                  <w:vAlign w:val="center"/>
                </w:tcPr>
                <w:p w14:paraId="682A0A47">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地表水环境质量标准》（GB3838-2002）</w:t>
                  </w:r>
                  <w:r>
                    <w:rPr>
                      <w:rFonts w:hint="default" w:ascii="Times New Roman" w:hAnsi="Times New Roman" w:eastAsia="宋体" w:cs="Times New Roman"/>
                      <w:color w:val="000000" w:themeColor="text1"/>
                      <w:sz w:val="20"/>
                      <w:szCs w:val="20"/>
                      <w14:textFill>
                        <w14:solidFill>
                          <w14:schemeClr w14:val="tx1"/>
                        </w14:solidFill>
                      </w14:textFill>
                    </w:rPr>
                    <w:t>Ⅲ</w:t>
                  </w:r>
                  <w:r>
                    <w:rPr>
                      <w:rFonts w:hint="default" w:ascii="Times New Roman" w:hAnsi="Times New Roman" w:eastAsia="宋体" w:cs="Times New Roman"/>
                      <w:color w:val="000000" w:themeColor="text1"/>
                      <w:sz w:val="21"/>
                      <w:szCs w:val="21"/>
                      <w14:textFill>
                        <w14:solidFill>
                          <w14:schemeClr w14:val="tx1"/>
                        </w14:solidFill>
                      </w14:textFill>
                    </w:rPr>
                    <w:t>类标准</w:t>
                  </w:r>
                </w:p>
              </w:tc>
            </w:tr>
            <w:tr w14:paraId="381B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391" w:type="pct"/>
                  <w:vMerge w:val="continue"/>
                  <w:vAlign w:val="center"/>
                </w:tcPr>
                <w:p w14:paraId="127700D9">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3" w:type="pct"/>
                  <w:vAlign w:val="center"/>
                </w:tcPr>
                <w:p w14:paraId="31CD1E81">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周官河</w:t>
                  </w:r>
                </w:p>
              </w:tc>
              <w:tc>
                <w:tcPr>
                  <w:tcW w:w="1229" w:type="pct"/>
                  <w:vAlign w:val="center"/>
                </w:tcPr>
                <w:p w14:paraId="4C404496">
                  <w:pPr>
                    <w:pageBreakBefore w:val="0"/>
                    <w:kinsoku/>
                    <w:overflowPunct/>
                    <w:topLinePunct w:val="0"/>
                    <w:bidi w:val="0"/>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E：</w:t>
                  </w:r>
                  <w:r>
                    <w:rPr>
                      <w:rFonts w:hint="default" w:ascii="Times New Roman" w:hAnsi="Times New Roman" w:eastAsia="宋体" w:cs="Times New Roman"/>
                      <w:color w:val="000000" w:themeColor="text1"/>
                      <w:sz w:val="21"/>
                      <w:szCs w:val="21"/>
                      <w14:textFill>
                        <w14:solidFill>
                          <w14:schemeClr w14:val="tx1"/>
                        </w14:solidFill>
                      </w14:textFill>
                    </w:rPr>
                    <w:t>102°42′53.119″</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14:textFill>
                        <w14:solidFill>
                          <w14:schemeClr w14:val="tx1"/>
                        </w14:solidFill>
                      </w14:textFill>
                    </w:rPr>
                    <w:t>24°19′3.377″</w:t>
                  </w:r>
                </w:p>
              </w:tc>
              <w:tc>
                <w:tcPr>
                  <w:tcW w:w="424" w:type="pct"/>
                  <w:vAlign w:val="center"/>
                </w:tcPr>
                <w:p w14:paraId="6023A05D">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北</w:t>
                  </w:r>
                </w:p>
              </w:tc>
              <w:tc>
                <w:tcPr>
                  <w:tcW w:w="673" w:type="pct"/>
                  <w:vAlign w:val="center"/>
                </w:tcPr>
                <w:p w14:paraId="463109E5">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约1000m</w:t>
                  </w:r>
                </w:p>
              </w:tc>
              <w:tc>
                <w:tcPr>
                  <w:tcW w:w="480" w:type="pct"/>
                  <w:vAlign w:val="center"/>
                </w:tcPr>
                <w:p w14:paraId="1970C8D8">
                  <w:pPr>
                    <w:pStyle w:val="11"/>
                    <w:pageBreakBefore w:val="0"/>
                    <w:kinsoku/>
                    <w:overflowPunct/>
                    <w:topLinePunct w:val="0"/>
                    <w:bidi w:val="0"/>
                    <w:spacing w:line="240" w:lineRule="auto"/>
                    <w:ind w:left="0" w:leftChars="0" w:right="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河流</w:t>
                  </w:r>
                </w:p>
              </w:tc>
              <w:tc>
                <w:tcPr>
                  <w:tcW w:w="1295" w:type="pct"/>
                  <w:vMerge w:val="continue"/>
                  <w:vAlign w:val="center"/>
                </w:tcPr>
                <w:p w14:paraId="2F068753">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14:paraId="4ACB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391" w:type="pct"/>
                  <w:vMerge w:val="continue"/>
                  <w:vAlign w:val="center"/>
                </w:tcPr>
                <w:p w14:paraId="793554F6">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3" w:type="pct"/>
                  <w:vAlign w:val="center"/>
                </w:tcPr>
                <w:p w14:paraId="65D2637B">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星云湖</w:t>
                  </w:r>
                </w:p>
              </w:tc>
              <w:tc>
                <w:tcPr>
                  <w:tcW w:w="1229" w:type="pct"/>
                  <w:vAlign w:val="center"/>
                </w:tcPr>
                <w:p w14:paraId="31B6A7DC">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E：</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35.709</w:t>
                  </w:r>
                  <w:r>
                    <w:rPr>
                      <w:rFonts w:hint="default" w:ascii="Times New Roman" w:hAnsi="Times New Roman" w:eastAsia="宋体" w:cs="Times New Roman"/>
                      <w:color w:val="000000" w:themeColor="text1"/>
                      <w:sz w:val="21"/>
                      <w:szCs w:val="21"/>
                      <w14:textFill>
                        <w14:solidFill>
                          <w14:schemeClr w14:val="tx1"/>
                        </w14:solidFill>
                      </w14:textFill>
                    </w:rPr>
                    <w:t>″，</w:t>
                  </w:r>
                </w:p>
                <w:p w14:paraId="6A820ECD">
                  <w:pPr>
                    <w:pageBreakBefore w:val="0"/>
                    <w:kinsoku/>
                    <w:overflowPunct/>
                    <w:topLinePunct w:val="0"/>
                    <w:bidi w:val="0"/>
                    <w:ind w:left="0" w:leftChars="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N：24°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19.132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24" w:type="pct"/>
                  <w:vAlign w:val="center"/>
                </w:tcPr>
                <w:p w14:paraId="19F528F4">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东</w:t>
                  </w:r>
                </w:p>
              </w:tc>
              <w:tc>
                <w:tcPr>
                  <w:tcW w:w="673" w:type="pct"/>
                  <w:vAlign w:val="center"/>
                </w:tcPr>
                <w:p w14:paraId="44CE9BA6">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约4000m</w:t>
                  </w:r>
                </w:p>
              </w:tc>
              <w:tc>
                <w:tcPr>
                  <w:tcW w:w="480" w:type="pct"/>
                  <w:vAlign w:val="center"/>
                </w:tcPr>
                <w:p w14:paraId="278ADCBD">
                  <w:pPr>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湖泊</w:t>
                  </w:r>
                </w:p>
              </w:tc>
              <w:tc>
                <w:tcPr>
                  <w:tcW w:w="1295" w:type="pct"/>
                  <w:vMerge w:val="continue"/>
                  <w:vAlign w:val="center"/>
                </w:tcPr>
                <w:p w14:paraId="2E026870">
                  <w:pPr>
                    <w:pStyle w:val="11"/>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2B51978E">
            <w:pPr>
              <w:pageBreakBefore w:val="0"/>
              <w:widowControl/>
              <w:kinsoku/>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4、生态环境保护目标</w:t>
            </w:r>
          </w:p>
          <w:p w14:paraId="281E583B">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w:t>
            </w:r>
            <w:r>
              <w:rPr>
                <w:rStyle w:val="47"/>
                <w:rFonts w:hint="default" w:ascii="Times New Roman" w:hAnsi="Times New Roman" w:eastAsia="宋体" w:cs="Times New Roman"/>
                <w:color w:val="000000" w:themeColor="text1"/>
                <w:lang w:val="zh-CN"/>
                <w14:textFill>
                  <w14:solidFill>
                    <w14:schemeClr w14:val="tx1"/>
                  </w14:solidFill>
                </w14:textFill>
              </w:rPr>
              <w:t>项目位于</w:t>
            </w:r>
            <w:r>
              <w:rPr>
                <w:rFonts w:hint="default" w:ascii="Times New Roman" w:hAnsi="Times New Roman" w:eastAsia="宋体" w:cs="Times New Roman"/>
                <w:color w:val="000000" w:themeColor="text1"/>
                <w:sz w:val="24"/>
                <w:lang w:val="en-US" w:eastAsia="zh-CN" w:bidi="ar"/>
                <w14:textFill>
                  <w14:solidFill>
                    <w14:schemeClr w14:val="tx1"/>
                  </w14:solidFill>
                </w14:textFill>
              </w:rPr>
              <w:t>玉溪高新区龙泉片区</w:t>
            </w:r>
            <w:r>
              <w:rPr>
                <w:rStyle w:val="47"/>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属于</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玉溪高新区技术产业开发区</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，不在产业园区外新增用地，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不涉及生态保护红线、不涉及基本农田、</w:t>
            </w:r>
            <w:r>
              <w:rPr>
                <w:rFonts w:hint="default" w:ascii="Times New Roman" w:hAnsi="Times New Roman" w:eastAsia="宋体" w:cs="Times New Roman"/>
                <w:color w:val="000000" w:themeColor="text1"/>
                <w:lang w:val="zh-CN"/>
                <w14:textFill>
                  <w14:solidFill>
                    <w14:schemeClr w14:val="tx1"/>
                  </w14:solidFill>
                </w14:textFill>
              </w:rPr>
              <w:t>不涉及《环境影响评价技术导则</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zh-CN"/>
                <w14:textFill>
                  <w14:solidFill>
                    <w14:schemeClr w14:val="tx1"/>
                  </w14:solidFill>
                </w14:textFill>
              </w:rPr>
              <w:t>生态环境》（HJ19-20</w:t>
            </w:r>
            <w:r>
              <w:rPr>
                <w:rFonts w:hint="default" w:ascii="Times New Roman" w:hAnsi="Times New Roman" w:eastAsia="宋体" w:cs="Times New Roman"/>
                <w:color w:val="000000" w:themeColor="text1"/>
                <w:lang w:val="en-US" w:eastAsia="zh-CN"/>
                <w14:textFill>
                  <w14:solidFill>
                    <w14:schemeClr w14:val="tx1"/>
                  </w14:solidFill>
                </w14:textFill>
              </w:rPr>
              <w:t>22</w:t>
            </w:r>
            <w:r>
              <w:rPr>
                <w:rFonts w:hint="default" w:ascii="Times New Roman" w:hAnsi="Times New Roman" w:eastAsia="宋体" w:cs="Times New Roman"/>
                <w:color w:val="000000" w:themeColor="text1"/>
                <w:lang w:val="zh-CN"/>
                <w14:textFill>
                  <w14:solidFill>
                    <w14:schemeClr w14:val="tx1"/>
                  </w14:solidFill>
                </w14:textFill>
              </w:rPr>
              <w:t>）中的特殊生态敏感区、重要生态敏感区等生态环境保护目标。</w:t>
            </w:r>
          </w:p>
          <w:p w14:paraId="64022744">
            <w:pPr>
              <w:pageBreakBefore w:val="0"/>
              <w:widowControl/>
              <w:kinsoku/>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5、地下水</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环境</w:t>
            </w:r>
            <w:r>
              <w:rPr>
                <w:rFonts w:hint="default" w:ascii="Times New Roman" w:hAnsi="Times New Roman" w:eastAsia="宋体" w:cs="Times New Roman"/>
                <w:b/>
                <w:bCs/>
                <w:color w:val="000000" w:themeColor="text1"/>
                <w:sz w:val="24"/>
                <w:highlight w:val="none"/>
                <w14:textFill>
                  <w14:solidFill>
                    <w14:schemeClr w14:val="tx1"/>
                  </w14:solidFill>
                </w14:textFill>
              </w:rPr>
              <w:t>保护目标</w:t>
            </w:r>
          </w:p>
          <w:p w14:paraId="30260250">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w:t>
            </w:r>
            <w:r>
              <w:rPr>
                <w:rStyle w:val="47"/>
                <w:rFonts w:hint="default" w:ascii="Times New Roman" w:hAnsi="Times New Roman" w:eastAsia="宋体" w:cs="Times New Roman"/>
                <w:color w:val="000000" w:themeColor="text1"/>
                <w:lang w:val="zh-CN"/>
                <w14:textFill>
                  <w14:solidFill>
                    <w14:schemeClr w14:val="tx1"/>
                  </w14:solidFill>
                </w14:textFill>
              </w:rPr>
              <w:t>项目位于</w:t>
            </w:r>
            <w:r>
              <w:rPr>
                <w:rFonts w:hint="default" w:ascii="Times New Roman" w:hAnsi="Times New Roman" w:eastAsia="宋体" w:cs="Times New Roman"/>
                <w:color w:val="000000" w:themeColor="text1"/>
                <w:sz w:val="24"/>
                <w:lang w:val="en-US" w:eastAsia="zh-CN" w:bidi="ar"/>
                <w14:textFill>
                  <w14:solidFill>
                    <w14:schemeClr w14:val="tx1"/>
                  </w14:solidFill>
                </w14:textFill>
              </w:rPr>
              <w:t>玉溪高新区龙泉片区</w:t>
            </w:r>
            <w:r>
              <w:rPr>
                <w:rFonts w:hint="default" w:ascii="Times New Roman" w:hAnsi="Times New Roman" w:eastAsia="宋体"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eastAsia="zh-CN"/>
                <w14:textFill>
                  <w14:solidFill>
                    <w14:schemeClr w14:val="tx1"/>
                  </w14:solidFill>
                </w14:textFill>
              </w:rPr>
              <w:t>根据《</w:t>
            </w:r>
            <w:r>
              <w:rPr>
                <w:rFonts w:hint="default" w:ascii="Times New Roman" w:hAnsi="Times New Roman" w:eastAsia="宋体" w:cs="Times New Roman"/>
                <w:color w:val="000000" w:themeColor="text1"/>
                <w:lang w:val="en-US" w:eastAsia="zh-CN"/>
                <w14:textFill>
                  <w14:solidFill>
                    <w14:schemeClr w14:val="tx1"/>
                  </w14:solidFill>
                </w14:textFill>
              </w:rPr>
              <w:t>建设项目环境影响报告表编制技术指南 （污染影响类）</w:t>
            </w:r>
            <w:r>
              <w:rPr>
                <w:rFonts w:hint="default" w:ascii="Times New Roman" w:hAnsi="Times New Roman" w:eastAsia="宋体" w:cs="Times New Roman"/>
                <w:color w:val="000000" w:themeColor="text1"/>
                <w:lang w:val="zh-CN" w:eastAsia="zh-CN"/>
                <w14:textFill>
                  <w14:solidFill>
                    <w14:schemeClr w14:val="tx1"/>
                  </w14:solidFill>
                </w14:textFill>
              </w:rPr>
              <w:t>》，</w:t>
            </w:r>
            <w:r>
              <w:rPr>
                <w:rFonts w:hint="eastAsia" w:cs="Times New Roman"/>
                <w:color w:val="000000" w:themeColor="text1"/>
                <w:lang w:val="zh-CN"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明确厂界外 500 米范围内的地下水集中式饮用水水源和热水、矿泉水、温泉等特殊地下水资源。</w:t>
            </w:r>
            <w:r>
              <w:rPr>
                <w:rFonts w:hint="eastAsia" w:cs="Times New Roman"/>
                <w:color w:val="000000" w:themeColor="text1"/>
                <w:lang w:val="zh-CN" w:eastAsia="zh-CN"/>
                <w14:textFill>
                  <w14:solidFill>
                    <w14:schemeClr w14:val="tx1"/>
                  </w14:solidFill>
                </w14:textFill>
              </w:rPr>
              <w:t>”</w:t>
            </w:r>
          </w:p>
          <w:p w14:paraId="158B491C">
            <w:pPr>
              <w:pageBreakBefore w:val="0"/>
              <w:widowControl/>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根据现场调查及查询相关资料，本项目</w:t>
            </w:r>
            <w:r>
              <w:rPr>
                <w:rFonts w:hint="default" w:ascii="Times New Roman" w:hAnsi="Times New Roman" w:eastAsia="宋体" w:cs="Times New Roman"/>
                <w:color w:val="000000" w:themeColor="text1"/>
                <w:sz w:val="24"/>
                <w14:textFill>
                  <w14:solidFill>
                    <w14:schemeClr w14:val="tx1"/>
                  </w14:solidFill>
                </w14:textFill>
              </w:rPr>
              <w:t>厂界外</w:t>
            </w:r>
            <w:r>
              <w:rPr>
                <w:rFonts w:hint="default" w:ascii="Times New Roman" w:hAnsi="Times New Roman" w:eastAsia="宋体" w:cs="Times New Roman"/>
                <w:color w:val="000000" w:themeColor="text1"/>
                <w:sz w:val="24"/>
                <w:lang w:val="zh-CN"/>
                <w14:textFill>
                  <w14:solidFill>
                    <w14:schemeClr w14:val="tx1"/>
                  </w14:solidFill>
                </w14:textFill>
              </w:rPr>
              <w:t>500m范围内无地下水集中式饮用水水源和热水、矿泉水、温泉等特殊地下水资源。</w:t>
            </w:r>
          </w:p>
        </w:tc>
      </w:tr>
      <w:tr w14:paraId="4527B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tcMar>
              <w:left w:w="28" w:type="dxa"/>
              <w:right w:w="28" w:type="dxa"/>
            </w:tcMar>
            <w:vAlign w:val="center"/>
          </w:tcPr>
          <w:p w14:paraId="77ACEA90">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污染</w:t>
            </w:r>
          </w:p>
          <w:p w14:paraId="494A27E6">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物排</w:t>
            </w:r>
          </w:p>
          <w:p w14:paraId="4C761544">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放控</w:t>
            </w:r>
          </w:p>
          <w:p w14:paraId="2804E25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制标</w:t>
            </w:r>
          </w:p>
          <w:p w14:paraId="1376443C">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准</w:t>
            </w:r>
          </w:p>
        </w:tc>
        <w:tc>
          <w:tcPr>
            <w:tcW w:w="8321" w:type="dxa"/>
            <w:vAlign w:val="center"/>
          </w:tcPr>
          <w:p w14:paraId="39A139AF">
            <w:pPr>
              <w:pStyle w:val="18"/>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1、废气</w:t>
            </w:r>
          </w:p>
          <w:p w14:paraId="251C48BE">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（1）施工期</w:t>
            </w:r>
          </w:p>
          <w:p w14:paraId="7E2F8588">
            <w:pPr>
              <w:pageBreakBefore w:val="0"/>
              <w:kinsoku/>
              <w:overflowPunct/>
              <w:topLinePunct w:val="0"/>
              <w:bidi w:val="0"/>
              <w:spacing w:line="360" w:lineRule="auto"/>
              <w:ind w:left="0" w:leftChars="0" w:right="0" w:firstLine="48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施工期无组织粉尘执行</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大气污染物综合排放标准》（GB16297-1996）表2中颗粒物无组织排放监控浓度限值要求。</w:t>
            </w:r>
          </w:p>
          <w:p w14:paraId="1066CDAF">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表3-</w:t>
            </w:r>
            <w:r>
              <w:rPr>
                <w:rFonts w:hint="eastAsia" w:cs="Times New Roman"/>
                <w:b/>
                <w:bCs/>
                <w:color w:val="000000" w:themeColor="text1"/>
                <w:szCs w:val="21"/>
                <w:lang w:val="en-US" w:eastAsia="zh-CN"/>
                <w14:textFill>
                  <w14:solidFill>
                    <w14:schemeClr w14:val="tx1"/>
                  </w14:solidFill>
                </w14:textFill>
              </w:rPr>
              <w:t>10</w:t>
            </w:r>
            <w:r>
              <w:rPr>
                <w:rFonts w:hint="default" w:ascii="Times New Roman" w:hAnsi="Times New Roman" w:eastAsia="宋体" w:cs="Times New Roman"/>
                <w:b/>
                <w:bCs/>
                <w:color w:val="000000" w:themeColor="text1"/>
                <w:szCs w:val="21"/>
                <w14:textFill>
                  <w14:solidFill>
                    <w14:schemeClr w14:val="tx1"/>
                  </w14:solidFill>
                </w14:textFill>
              </w:rPr>
              <w:t xml:space="preserve">   无组织颗粒物排放标准</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7"/>
              <w:gridCol w:w="2566"/>
              <w:gridCol w:w="3350"/>
            </w:tblGrid>
            <w:tr w14:paraId="41CF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vAlign w:val="center"/>
                </w:tcPr>
                <w:p w14:paraId="35C48644">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w:t>
                  </w:r>
                </w:p>
              </w:tc>
              <w:tc>
                <w:tcPr>
                  <w:tcW w:w="3654" w:type="pct"/>
                  <w:gridSpan w:val="2"/>
                  <w:vAlign w:val="center"/>
                </w:tcPr>
                <w:p w14:paraId="24A98EEA">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无组织排放监控浓度限值</w:t>
                  </w:r>
                </w:p>
              </w:tc>
            </w:tr>
            <w:tr w14:paraId="00C2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vAlign w:val="center"/>
                </w:tcPr>
                <w:p w14:paraId="61F2132F">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p>
              </w:tc>
              <w:tc>
                <w:tcPr>
                  <w:tcW w:w="1585" w:type="pct"/>
                  <w:vAlign w:val="center"/>
                </w:tcPr>
                <w:p w14:paraId="68F96591">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监控点</w:t>
                  </w:r>
                </w:p>
              </w:tc>
              <w:tc>
                <w:tcPr>
                  <w:tcW w:w="2068" w:type="pct"/>
                  <w:vAlign w:val="center"/>
                </w:tcPr>
                <w:p w14:paraId="6D26CD29">
                  <w:pPr>
                    <w:pageBreakBefore w:val="0"/>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浓度（mg/m</w:t>
                  </w:r>
                  <w:r>
                    <w:rPr>
                      <w:rFonts w:hint="default" w:ascii="Times New Roman" w:hAnsi="Times New Roman" w:eastAsia="宋体" w:cs="Times New Roman"/>
                      <w:b/>
                      <w:bCs/>
                      <w:color w:val="000000" w:themeColor="text1"/>
                      <w:vertAlign w:val="superscript"/>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w:t>
                  </w:r>
                </w:p>
              </w:tc>
            </w:tr>
            <w:tr w14:paraId="1C6D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vAlign w:val="center"/>
                </w:tcPr>
                <w:p w14:paraId="45B19BEF">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颗粒物</w:t>
                  </w:r>
                </w:p>
              </w:tc>
              <w:tc>
                <w:tcPr>
                  <w:tcW w:w="1585" w:type="pct"/>
                  <w:vAlign w:val="center"/>
                </w:tcPr>
                <w:p w14:paraId="78840A89">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周界外浓度最高点</w:t>
                  </w:r>
                </w:p>
              </w:tc>
              <w:tc>
                <w:tcPr>
                  <w:tcW w:w="2068" w:type="pct"/>
                  <w:vAlign w:val="center"/>
                </w:tcPr>
                <w:p w14:paraId="333F8079">
                  <w:pPr>
                    <w:pageBreakBefore w:val="0"/>
                    <w:kinsoku/>
                    <w:overflowPunct/>
                    <w:topLinePunct w:val="0"/>
                    <w:bidi w:val="0"/>
                    <w:ind w:left="0" w:leftChars="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r>
          </w:tbl>
          <w:p w14:paraId="4F1240DC">
            <w:pPr>
              <w:pageBreakBefore w:val="0"/>
              <w:kinsoku/>
              <w:overflowPunct/>
              <w:topLinePunct w:val="0"/>
              <w:bidi w:val="0"/>
              <w:adjustRightInd w:val="0"/>
              <w:snapToGrid w:val="0"/>
              <w:spacing w:line="360" w:lineRule="auto"/>
              <w:ind w:left="0" w:leftChars="0" w:right="0" w:firstLine="482" w:firstLineChars="200"/>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（2）运营期</w:t>
            </w:r>
          </w:p>
          <w:p w14:paraId="0A82FF90">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①有组织废气</w:t>
            </w:r>
          </w:p>
          <w:p w14:paraId="391DAB9F">
            <w:pPr>
              <w:pageBreakBefore w:val="0"/>
              <w:kinsoku/>
              <w:overflowPunct/>
              <w:topLinePunct w:val="0"/>
              <w:bidi w:val="0"/>
              <w:spacing w:line="360" w:lineRule="auto"/>
              <w:ind w:left="0" w:leftChars="0" w:right="0"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本项目生产过程中有机废气经</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RTO蓄热燃烧装置</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处理后通过1根22m高排气筒排放。废气执行执行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《印刷工业大气污染物排放标准》（GB41616-2022）中表1标准。</w:t>
            </w:r>
            <w:r>
              <w:rPr>
                <w:rFonts w:hint="default" w:ascii="Times New Roman" w:hAnsi="Times New Roman" w:eastAsia="宋体" w:cs="Times New Roman"/>
                <w:color w:val="000000" w:themeColor="text1"/>
                <w:sz w:val="24"/>
                <w:lang w:val="en-US" w:eastAsia="zh-CN"/>
                <w14:textFill>
                  <w14:solidFill>
                    <w14:schemeClr w14:val="tx1"/>
                  </w14:solidFill>
                </w14:textFill>
              </w:rPr>
              <w:t>项目有机废气以非甲烷总烃计。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《印刷工业大气污染物排放标准》（GB41616-2022）中表1标准，</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挤出复合工序车间或生产设施排气筒需监控颗粒物</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A9909F1">
            <w:pPr>
              <w:pageBreakBefore w:val="0"/>
              <w:kinsoku/>
              <w:overflowPunct/>
              <w:topLinePunct w:val="0"/>
              <w:bidi w:val="0"/>
              <w:spacing w:line="360" w:lineRule="auto"/>
              <w:ind w:left="0" w:leftChars="0" w:right="0"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根据《印刷工业大气污染物排放标准》（GB 41616-2022）中4.3相关要求，VOCs燃烧（焚烧、氧化）装置还需对排放烟气中的二氧化硫和氮氧化物进行控制，达到表2规定的限值。具体标准见下表。</w:t>
            </w:r>
          </w:p>
          <w:p w14:paraId="2E050FE7">
            <w:pPr>
              <w:pStyle w:val="130"/>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有组织</w:t>
            </w:r>
            <w:r>
              <w:rPr>
                <w:rFonts w:hint="default" w:ascii="Times New Roman" w:hAnsi="Times New Roman" w:eastAsia="宋体" w:cs="Times New Roman"/>
                <w:color w:val="000000" w:themeColor="text1"/>
                <w14:textFill>
                  <w14:solidFill>
                    <w14:schemeClr w14:val="tx1"/>
                  </w14:solidFill>
                </w14:textFill>
              </w:rPr>
              <w:t>废气排放标准一览表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2623"/>
              <w:gridCol w:w="1878"/>
              <w:gridCol w:w="1943"/>
            </w:tblGrid>
            <w:tr w14:paraId="3531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pct"/>
                  <w:tcBorders>
                    <w:top w:val="single" w:color="auto" w:sz="4" w:space="0"/>
                    <w:left w:val="single" w:color="auto" w:sz="4" w:space="0"/>
                    <w:right w:val="single" w:color="auto" w:sz="4" w:space="0"/>
                  </w:tcBorders>
                  <w:vAlign w:val="center"/>
                </w:tcPr>
                <w:p w14:paraId="0500D469">
                  <w:pPr>
                    <w:pStyle w:val="124"/>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污染物</w:t>
                  </w:r>
                </w:p>
              </w:tc>
              <w:tc>
                <w:tcPr>
                  <w:tcW w:w="1630" w:type="pct"/>
                  <w:tcBorders>
                    <w:top w:val="single" w:color="auto" w:sz="4" w:space="0"/>
                    <w:left w:val="single" w:color="auto" w:sz="4" w:space="0"/>
                    <w:bottom w:val="single" w:color="auto" w:sz="4" w:space="0"/>
                    <w:right w:val="single" w:color="auto" w:sz="4" w:space="0"/>
                  </w:tcBorders>
                  <w:vAlign w:val="center"/>
                </w:tcPr>
                <w:p w14:paraId="441A6FE9">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最高允许浓度（mg/m</w:t>
                  </w:r>
                  <w:r>
                    <w:rPr>
                      <w:rFonts w:hint="default" w:ascii="Times New Roman" w:hAnsi="Times New Roman" w:eastAsia="宋体" w:cs="Times New Roman"/>
                      <w:b/>
                      <w:bCs w:val="0"/>
                      <w:color w:val="000000" w:themeColor="text1"/>
                      <w:vertAlign w:val="superscript"/>
                      <w14:textFill>
                        <w14:solidFill>
                          <w14:schemeClr w14:val="tx1"/>
                        </w14:solidFill>
                      </w14:textFill>
                    </w:rPr>
                    <w:t>3</w:t>
                  </w:r>
                  <w:r>
                    <w:rPr>
                      <w:rFonts w:hint="default" w:ascii="Times New Roman" w:hAnsi="Times New Roman" w:eastAsia="宋体" w:cs="Times New Roman"/>
                      <w:b/>
                      <w:bCs w:val="0"/>
                      <w:color w:val="000000" w:themeColor="text1"/>
                      <w14:textFill>
                        <w14:solidFill>
                          <w14:schemeClr w14:val="tx1"/>
                        </w14:solidFill>
                      </w14:textFill>
                    </w:rPr>
                    <w:t>）</w:t>
                  </w:r>
                </w:p>
              </w:tc>
              <w:tc>
                <w:tcPr>
                  <w:tcW w:w="1170" w:type="pct"/>
                  <w:tcBorders>
                    <w:top w:val="single" w:color="auto" w:sz="4" w:space="0"/>
                    <w:left w:val="single" w:color="auto" w:sz="4" w:space="0"/>
                    <w:right w:val="single" w:color="auto" w:sz="4" w:space="0"/>
                  </w:tcBorders>
                  <w:vAlign w:val="center"/>
                </w:tcPr>
                <w:p w14:paraId="0120FD3D">
                  <w:pPr>
                    <w:pStyle w:val="124"/>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eastAsia="zh-CN"/>
                      <w14:textFill>
                        <w14:solidFill>
                          <w14:schemeClr w14:val="tx1"/>
                        </w14:solidFill>
                      </w14:textFill>
                    </w:rPr>
                  </w:pPr>
                  <w:r>
                    <w:rPr>
                      <w:rFonts w:hint="default" w:ascii="Times New Roman" w:hAnsi="Times New Roman" w:eastAsia="宋体" w:cs="Times New Roman"/>
                      <w:b/>
                      <w:bCs w:val="0"/>
                      <w:color w:val="000000" w:themeColor="text1"/>
                      <w:lang w:eastAsia="zh-CN"/>
                      <w14:textFill>
                        <w14:solidFill>
                          <w14:schemeClr w14:val="tx1"/>
                        </w14:solidFill>
                      </w14:textFill>
                    </w:rPr>
                    <w:t>污染物排放监控位置</w:t>
                  </w:r>
                </w:p>
              </w:tc>
              <w:tc>
                <w:tcPr>
                  <w:tcW w:w="1170" w:type="pct"/>
                  <w:tcBorders>
                    <w:top w:val="single" w:color="auto" w:sz="4" w:space="0"/>
                    <w:left w:val="single" w:color="auto" w:sz="4" w:space="0"/>
                    <w:right w:val="single" w:color="auto" w:sz="4" w:space="0"/>
                  </w:tcBorders>
                  <w:vAlign w:val="center"/>
                </w:tcPr>
                <w:p w14:paraId="47D3FE26">
                  <w:pPr>
                    <w:pStyle w:val="124"/>
                    <w:pageBreakBefore w:val="0"/>
                    <w:kinsoku/>
                    <w:overflowPunct/>
                    <w:topLinePunct w:val="0"/>
                    <w:bidi w:val="0"/>
                    <w:spacing w:before="0" w:after="0"/>
                    <w:ind w:left="0" w:leftChars="0" w:right="0" w:rightChars="0"/>
                    <w:rPr>
                      <w:rFonts w:hint="default" w:ascii="Times New Roman" w:hAnsi="Times New Roman" w:eastAsia="宋体" w:cs="Times New Roman"/>
                      <w:b/>
                      <w:bCs w:val="0"/>
                      <w:color w:val="000000" w:themeColor="text1"/>
                      <w:lang w:eastAsia="zh-CN"/>
                      <w14:textFill>
                        <w14:solidFill>
                          <w14:schemeClr w14:val="tx1"/>
                        </w14:solidFill>
                      </w14:textFill>
                    </w:rPr>
                  </w:pPr>
                  <w:r>
                    <w:rPr>
                      <w:rFonts w:hint="default" w:ascii="Times New Roman" w:hAnsi="Times New Roman" w:eastAsia="宋体" w:cs="Times New Roman"/>
                      <w:b/>
                      <w:bCs w:val="0"/>
                      <w:color w:val="000000" w:themeColor="text1"/>
                      <w:lang w:eastAsia="zh-CN"/>
                      <w14:textFill>
                        <w14:solidFill>
                          <w14:schemeClr w14:val="tx1"/>
                        </w14:solidFill>
                      </w14:textFill>
                    </w:rPr>
                    <w:t>标准来源</w:t>
                  </w:r>
                </w:p>
              </w:tc>
            </w:tr>
            <w:tr w14:paraId="0270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pct"/>
                  <w:tcBorders>
                    <w:top w:val="single" w:color="auto" w:sz="4" w:space="0"/>
                    <w:left w:val="single" w:color="auto" w:sz="4" w:space="0"/>
                    <w:right w:val="single" w:color="auto" w:sz="4" w:space="0"/>
                  </w:tcBorders>
                  <w:vAlign w:val="center"/>
                </w:tcPr>
                <w:p w14:paraId="512BBB40">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苯</w:t>
                  </w:r>
                </w:p>
              </w:tc>
              <w:tc>
                <w:tcPr>
                  <w:tcW w:w="1630" w:type="pct"/>
                  <w:tcBorders>
                    <w:top w:val="single" w:color="auto" w:sz="4" w:space="0"/>
                    <w:left w:val="single" w:color="auto" w:sz="4" w:space="0"/>
                    <w:bottom w:val="single" w:color="auto" w:sz="4" w:space="0"/>
                    <w:right w:val="single" w:color="auto" w:sz="4" w:space="0"/>
                  </w:tcBorders>
                  <w:vAlign w:val="center"/>
                </w:tcPr>
                <w:p w14:paraId="7DC8A565">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170" w:type="pct"/>
                  <w:vMerge w:val="restart"/>
                  <w:tcBorders>
                    <w:left w:val="single" w:color="auto" w:sz="4" w:space="0"/>
                    <w:right w:val="single" w:color="auto" w:sz="4" w:space="0"/>
                  </w:tcBorders>
                  <w:vAlign w:val="center"/>
                </w:tcPr>
                <w:p w14:paraId="6D5F33B7">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车间或生产设施排气筒</w:t>
                  </w:r>
                </w:p>
              </w:tc>
              <w:tc>
                <w:tcPr>
                  <w:tcW w:w="1170" w:type="pct"/>
                  <w:vMerge w:val="restart"/>
                  <w:tcBorders>
                    <w:left w:val="single" w:color="auto" w:sz="4" w:space="0"/>
                    <w:right w:val="single" w:color="auto" w:sz="4" w:space="0"/>
                  </w:tcBorders>
                  <w:vAlign w:val="center"/>
                </w:tcPr>
                <w:p w14:paraId="038BAE51">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《印刷工业大气污染物排放标准》（GB41616-2022）</w:t>
                  </w:r>
                </w:p>
              </w:tc>
            </w:tr>
            <w:tr w14:paraId="0E22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pct"/>
                  <w:tcBorders>
                    <w:top w:val="single" w:color="auto" w:sz="4" w:space="0"/>
                    <w:left w:val="single" w:color="auto" w:sz="4" w:space="0"/>
                    <w:right w:val="single" w:color="auto" w:sz="4" w:space="0"/>
                  </w:tcBorders>
                  <w:vAlign w:val="center"/>
                </w:tcPr>
                <w:p w14:paraId="7BA71396">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苯系物</w:t>
                  </w:r>
                </w:p>
              </w:tc>
              <w:tc>
                <w:tcPr>
                  <w:tcW w:w="1630" w:type="pct"/>
                  <w:tcBorders>
                    <w:top w:val="single" w:color="auto" w:sz="4" w:space="0"/>
                    <w:left w:val="single" w:color="auto" w:sz="4" w:space="0"/>
                    <w:bottom w:val="single" w:color="auto" w:sz="4" w:space="0"/>
                    <w:right w:val="single" w:color="auto" w:sz="4" w:space="0"/>
                  </w:tcBorders>
                  <w:vAlign w:val="center"/>
                </w:tcPr>
                <w:p w14:paraId="5CA5CDE7">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1170" w:type="pct"/>
                  <w:vMerge w:val="continue"/>
                  <w:tcBorders>
                    <w:left w:val="single" w:color="auto" w:sz="4" w:space="0"/>
                    <w:right w:val="single" w:color="auto" w:sz="4" w:space="0"/>
                  </w:tcBorders>
                  <w:vAlign w:val="center"/>
                </w:tcPr>
                <w:p w14:paraId="33667362">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0" w:type="pct"/>
                  <w:vMerge w:val="continue"/>
                  <w:tcBorders>
                    <w:left w:val="single" w:color="auto" w:sz="4" w:space="0"/>
                    <w:right w:val="single" w:color="auto" w:sz="4" w:space="0"/>
                  </w:tcBorders>
                  <w:vAlign w:val="center"/>
                </w:tcPr>
                <w:p w14:paraId="674BFEB7">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r>
            <w:tr w14:paraId="6A86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C58D832">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w:t>
                  </w:r>
                </w:p>
              </w:tc>
              <w:tc>
                <w:tcPr>
                  <w:tcW w:w="1630" w:type="pct"/>
                  <w:tcBorders>
                    <w:top w:val="single" w:color="auto" w:sz="4" w:space="0"/>
                    <w:left w:val="single" w:color="auto" w:sz="4" w:space="0"/>
                    <w:bottom w:val="single" w:color="auto" w:sz="4" w:space="0"/>
                    <w:right w:val="single" w:color="auto" w:sz="4" w:space="0"/>
                  </w:tcBorders>
                  <w:vAlign w:val="center"/>
                </w:tcPr>
                <w:p w14:paraId="5301BEB6">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70</w:t>
                  </w:r>
                </w:p>
              </w:tc>
              <w:tc>
                <w:tcPr>
                  <w:tcW w:w="1170" w:type="pct"/>
                  <w:vMerge w:val="continue"/>
                  <w:tcBorders>
                    <w:left w:val="single" w:color="auto" w:sz="4" w:space="0"/>
                    <w:right w:val="single" w:color="auto" w:sz="4" w:space="0"/>
                  </w:tcBorders>
                  <w:vAlign w:val="center"/>
                </w:tcPr>
                <w:p w14:paraId="68550E2E">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0" w:type="pct"/>
                  <w:vMerge w:val="continue"/>
                  <w:tcBorders>
                    <w:left w:val="single" w:color="auto" w:sz="4" w:space="0"/>
                    <w:right w:val="single" w:color="auto" w:sz="4" w:space="0"/>
                  </w:tcBorders>
                  <w:vAlign w:val="center"/>
                </w:tcPr>
                <w:p w14:paraId="5A6F64B5">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r>
            <w:tr w14:paraId="1215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435FBB8">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颗粒物</w:t>
                  </w:r>
                </w:p>
              </w:tc>
              <w:tc>
                <w:tcPr>
                  <w:tcW w:w="1630" w:type="pct"/>
                  <w:tcBorders>
                    <w:top w:val="single" w:color="auto" w:sz="4" w:space="0"/>
                    <w:left w:val="single" w:color="auto" w:sz="4" w:space="0"/>
                    <w:bottom w:val="single" w:color="auto" w:sz="4" w:space="0"/>
                    <w:right w:val="single" w:color="auto" w:sz="4" w:space="0"/>
                  </w:tcBorders>
                  <w:vAlign w:val="center"/>
                </w:tcPr>
                <w:p w14:paraId="3FC0C8FA">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w:t>
                  </w:r>
                </w:p>
              </w:tc>
              <w:tc>
                <w:tcPr>
                  <w:tcW w:w="1170" w:type="pct"/>
                  <w:vMerge w:val="continue"/>
                  <w:tcBorders>
                    <w:left w:val="single" w:color="auto" w:sz="4" w:space="0"/>
                    <w:right w:val="single" w:color="auto" w:sz="4" w:space="0"/>
                  </w:tcBorders>
                  <w:vAlign w:val="center"/>
                </w:tcPr>
                <w:p w14:paraId="5DAA4F5B">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0" w:type="pct"/>
                  <w:vMerge w:val="continue"/>
                  <w:tcBorders>
                    <w:left w:val="single" w:color="auto" w:sz="4" w:space="0"/>
                    <w:right w:val="single" w:color="auto" w:sz="4" w:space="0"/>
                  </w:tcBorders>
                  <w:vAlign w:val="center"/>
                </w:tcPr>
                <w:p w14:paraId="6D99DD7D">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r>
            <w:tr w14:paraId="6F48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254B66B9">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二氧化硫</w:t>
                  </w:r>
                </w:p>
              </w:tc>
              <w:tc>
                <w:tcPr>
                  <w:tcW w:w="1630" w:type="pct"/>
                  <w:tcBorders>
                    <w:top w:val="single" w:color="auto" w:sz="4" w:space="0"/>
                    <w:left w:val="single" w:color="auto" w:sz="4" w:space="0"/>
                    <w:bottom w:val="single" w:color="auto" w:sz="4" w:space="0"/>
                    <w:right w:val="single" w:color="auto" w:sz="4" w:space="0"/>
                  </w:tcBorders>
                  <w:vAlign w:val="center"/>
                </w:tcPr>
                <w:p w14:paraId="1921B404">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w:t>
                  </w:r>
                </w:p>
              </w:tc>
              <w:tc>
                <w:tcPr>
                  <w:tcW w:w="1170" w:type="pct"/>
                  <w:vMerge w:val="continue"/>
                  <w:tcBorders>
                    <w:left w:val="single" w:color="auto" w:sz="4" w:space="0"/>
                    <w:right w:val="single" w:color="auto" w:sz="4" w:space="0"/>
                  </w:tcBorders>
                  <w:vAlign w:val="center"/>
                </w:tcPr>
                <w:p w14:paraId="56040ACE">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0" w:type="pct"/>
                  <w:vMerge w:val="continue"/>
                  <w:tcBorders>
                    <w:left w:val="single" w:color="auto" w:sz="4" w:space="0"/>
                    <w:right w:val="single" w:color="auto" w:sz="4" w:space="0"/>
                  </w:tcBorders>
                  <w:vAlign w:val="center"/>
                </w:tcPr>
                <w:p w14:paraId="7F6EEE5E">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r>
            <w:tr w14:paraId="4796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EBA40C4">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氮氧化物</w:t>
                  </w:r>
                </w:p>
              </w:tc>
              <w:tc>
                <w:tcPr>
                  <w:tcW w:w="1630" w:type="pct"/>
                  <w:tcBorders>
                    <w:top w:val="single" w:color="auto" w:sz="4" w:space="0"/>
                    <w:left w:val="single" w:color="auto" w:sz="4" w:space="0"/>
                    <w:bottom w:val="single" w:color="auto" w:sz="4" w:space="0"/>
                    <w:right w:val="single" w:color="auto" w:sz="4" w:space="0"/>
                  </w:tcBorders>
                  <w:vAlign w:val="center"/>
                </w:tcPr>
                <w:p w14:paraId="5F8E0085">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w:t>
                  </w:r>
                </w:p>
              </w:tc>
              <w:tc>
                <w:tcPr>
                  <w:tcW w:w="1170" w:type="pct"/>
                  <w:vMerge w:val="continue"/>
                  <w:tcBorders>
                    <w:left w:val="single" w:color="auto" w:sz="4" w:space="0"/>
                    <w:right w:val="single" w:color="auto" w:sz="4" w:space="0"/>
                  </w:tcBorders>
                  <w:vAlign w:val="center"/>
                </w:tcPr>
                <w:p w14:paraId="108DFF81">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0" w:type="pct"/>
                  <w:vMerge w:val="continue"/>
                  <w:tcBorders>
                    <w:left w:val="single" w:color="auto" w:sz="4" w:space="0"/>
                    <w:right w:val="single" w:color="auto" w:sz="4" w:space="0"/>
                  </w:tcBorders>
                  <w:vAlign w:val="center"/>
                </w:tcPr>
                <w:p w14:paraId="0BE05FEC">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37D22229">
            <w:pPr>
              <w:pStyle w:val="45"/>
              <w:pageBreakBefore w:val="0"/>
              <w:kinsoku/>
              <w:overflowPunct/>
              <w:topLinePunct w:val="0"/>
              <w:bidi w:val="0"/>
              <w:ind w:left="0" w:leftChars="0" w:right="0"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②无组织废气</w:t>
            </w:r>
          </w:p>
          <w:p w14:paraId="75B12E5E">
            <w:pPr>
              <w:pStyle w:val="45"/>
              <w:pageBreakBefore w:val="0"/>
              <w:kinsoku/>
              <w:overflowPunct/>
              <w:topLinePunct w:val="0"/>
              <w:bidi w:val="0"/>
              <w:ind w:left="0" w:leftChars="0" w:right="0" w:firstLine="480"/>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（1）厂界无组织</w:t>
            </w:r>
          </w:p>
          <w:p w14:paraId="4D638E7F">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本项目无组织废气执行《印刷工业大气污染物排放标准》（GB41616-2022）中表3标准，由于该标准中未设置非甲烷总烃、颗粒物无组织排放限值标准。</w:t>
            </w:r>
          </w:p>
          <w:p w14:paraId="675C9930">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非甲烷总烃、颗粒物参照</w:t>
            </w:r>
            <w:r>
              <w:rPr>
                <w:rFonts w:hint="default" w:ascii="Times New Roman" w:hAnsi="Times New Roman" w:eastAsia="宋体" w:cs="Times New Roman"/>
                <w:color w:val="000000" w:themeColor="text1"/>
                <w:sz w:val="24"/>
                <w:szCs w:val="24"/>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t>大气污染物综合排放标准》（GB16297-1996）</w:t>
            </w:r>
            <w:r>
              <w:rPr>
                <w:rFonts w:hint="default" w:ascii="Times New Roman" w:hAnsi="Times New Roman" w:eastAsia="宋体" w:cs="Times New Roman"/>
                <w:color w:val="000000" w:themeColor="text1"/>
                <w:sz w:val="24"/>
                <w:szCs w:val="24"/>
                <w:shd w:val="clear" w:color="auto" w:fill="FFFFFF"/>
                <w:lang w:eastAsia="zh-CN"/>
                <w14:textFill>
                  <w14:solidFill>
                    <w14:schemeClr w14:val="tx1"/>
                  </w14:solidFill>
                </w14:textFill>
              </w:rPr>
              <w:t>表</w:t>
            </w:r>
            <w:r>
              <w:rPr>
                <w:rFonts w:hint="default"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t>中的</w:t>
            </w:r>
            <w:r>
              <w:rPr>
                <w:rFonts w:hint="default" w:ascii="Times New Roman" w:hAnsi="Times New Roman" w:eastAsia="宋体" w:cs="Times New Roman"/>
                <w:color w:val="000000" w:themeColor="text1"/>
                <w:sz w:val="24"/>
                <w:szCs w:val="24"/>
                <w:shd w:val="clear" w:color="auto" w:fill="FFFFFF"/>
                <w:lang w:eastAsia="zh-CN"/>
                <w14:textFill>
                  <w14:solidFill>
                    <w14:schemeClr w14:val="tx1"/>
                  </w14:solidFill>
                </w14:textFill>
              </w:rPr>
              <w:t>无组织</w:t>
            </w:r>
            <w:r>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t>标准</w:t>
            </w:r>
            <w:r>
              <w:rPr>
                <w:rFonts w:hint="default" w:ascii="Times New Roman" w:hAnsi="Times New Roman" w:eastAsia="宋体" w:cs="Times New Roman"/>
                <w:color w:val="000000" w:themeColor="text1"/>
                <w:shd w:val="clear" w:color="auto" w:fill="auto"/>
                <w:lang w:eastAsia="zh-CN"/>
                <w14:textFill>
                  <w14:solidFill>
                    <w14:schemeClr w14:val="tx1"/>
                  </w14:solidFill>
                </w14:textFill>
              </w:rPr>
              <w:t>。</w:t>
            </w:r>
          </w:p>
          <w:p w14:paraId="1E904411">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宋体" w:cs="Times New Roman"/>
                <w:color w:val="000000" w:themeColor="text1"/>
                <w:sz w:val="24"/>
                <w:szCs w:val="24"/>
                <w:shd w:val="clear" w:color="auto" w:fill="FFFFFF"/>
                <w:lang w:eastAsia="zh-CN"/>
                <w14:textFill>
                  <w14:solidFill>
                    <w14:schemeClr w14:val="tx1"/>
                  </w14:solidFill>
                </w14:textFill>
              </w:rPr>
              <w:t>项目生产过程中有异味产生，臭气浓度执行</w:t>
            </w:r>
            <w:r>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t>《恶臭污染物排放标准》（GB14554-1993）二级标准</w:t>
            </w:r>
            <w:r>
              <w:rPr>
                <w:rFonts w:hint="default" w:ascii="Times New Roman" w:hAnsi="Times New Roman" w:eastAsia="宋体" w:cs="Times New Roman"/>
                <w:color w:val="000000" w:themeColor="text1"/>
                <w:sz w:val="24"/>
                <w:szCs w:val="24"/>
                <w:shd w:val="clear" w:color="auto" w:fill="FFFFFF"/>
                <w:lang w:eastAsia="zh-CN"/>
                <w14:textFill>
                  <w14:solidFill>
                    <w14:schemeClr w14:val="tx1"/>
                  </w14:solidFill>
                </w14:textFill>
              </w:rPr>
              <w:t>。</w:t>
            </w:r>
          </w:p>
          <w:p w14:paraId="1F1715C8">
            <w:pPr>
              <w:pStyle w:val="46"/>
              <w:pageBreakBefore w:val="0"/>
              <w:kinsoku/>
              <w:overflowPunct/>
              <w:topLinePunct w:val="0"/>
              <w:bidi w:val="0"/>
              <w:spacing w:before="0"/>
              <w:ind w:left="0" w:leftChars="0" w:right="0"/>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 xml:space="preserve"> 无组织废气排放标准一览表</w:t>
            </w:r>
          </w:p>
          <w:tbl>
            <w:tblPr>
              <w:tblStyle w:val="32"/>
              <w:tblW w:w="496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69"/>
              <w:gridCol w:w="3457"/>
              <w:gridCol w:w="2707"/>
            </w:tblGrid>
            <w:tr w14:paraId="24ECE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63" w:type="pct"/>
                  <w:tcBorders>
                    <w:top w:val="single" w:color="auto" w:sz="4" w:space="0"/>
                    <w:left w:val="single" w:color="auto" w:sz="4" w:space="0"/>
                    <w:right w:val="single" w:color="auto" w:sz="4" w:space="0"/>
                  </w:tcBorders>
                  <w:vAlign w:val="center"/>
                </w:tcPr>
                <w:p w14:paraId="674198D9">
                  <w:pPr>
                    <w:pStyle w:val="124"/>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污染物</w:t>
                  </w:r>
                </w:p>
              </w:tc>
              <w:tc>
                <w:tcPr>
                  <w:tcW w:w="2151" w:type="pct"/>
                  <w:tcBorders>
                    <w:top w:val="single" w:color="auto" w:sz="4" w:space="0"/>
                    <w:left w:val="single" w:color="auto" w:sz="4" w:space="0"/>
                    <w:bottom w:val="single" w:color="auto" w:sz="4" w:space="0"/>
                    <w:right w:val="single" w:color="auto" w:sz="4" w:space="0"/>
                  </w:tcBorders>
                  <w:vAlign w:val="center"/>
                </w:tcPr>
                <w:p w14:paraId="577CC0D9">
                  <w:pPr>
                    <w:pStyle w:val="124"/>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无组织排放监控浓度限值（mg/m</w:t>
                  </w:r>
                  <w:r>
                    <w:rPr>
                      <w:rFonts w:hint="default" w:ascii="Times New Roman" w:hAnsi="Times New Roman" w:eastAsia="宋体" w:cs="Times New Roman"/>
                      <w:b/>
                      <w:bCs w:val="0"/>
                      <w:color w:val="000000" w:themeColor="text1"/>
                      <w:vertAlign w:val="superscript"/>
                      <w14:textFill>
                        <w14:solidFill>
                          <w14:schemeClr w14:val="tx1"/>
                        </w14:solidFill>
                      </w14:textFill>
                    </w:rPr>
                    <w:t>3</w:t>
                  </w:r>
                  <w:r>
                    <w:rPr>
                      <w:rFonts w:hint="default" w:ascii="Times New Roman" w:hAnsi="Times New Roman" w:eastAsia="宋体" w:cs="Times New Roman"/>
                      <w:b/>
                      <w:bCs w:val="0"/>
                      <w:color w:val="000000" w:themeColor="text1"/>
                      <w14:textFill>
                        <w14:solidFill>
                          <w14:schemeClr w14:val="tx1"/>
                        </w14:solidFill>
                      </w14:textFill>
                    </w:rPr>
                    <w:t>）</w:t>
                  </w:r>
                </w:p>
              </w:tc>
              <w:tc>
                <w:tcPr>
                  <w:tcW w:w="1684" w:type="pct"/>
                  <w:tcBorders>
                    <w:top w:val="single" w:color="auto" w:sz="4" w:space="0"/>
                    <w:left w:val="single" w:color="auto" w:sz="4" w:space="0"/>
                    <w:right w:val="single" w:color="auto" w:sz="4" w:space="0"/>
                  </w:tcBorders>
                  <w:vAlign w:val="center"/>
                </w:tcPr>
                <w:p w14:paraId="16CC9BC4">
                  <w:pPr>
                    <w:pStyle w:val="124"/>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标准来源</w:t>
                  </w:r>
                </w:p>
              </w:tc>
            </w:tr>
            <w:tr w14:paraId="078C7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63" w:type="pct"/>
                  <w:tcBorders>
                    <w:top w:val="single" w:color="auto" w:sz="4" w:space="0"/>
                    <w:left w:val="single" w:color="auto" w:sz="4" w:space="0"/>
                    <w:bottom w:val="single" w:color="auto" w:sz="4" w:space="0"/>
                    <w:right w:val="single" w:color="auto" w:sz="4" w:space="0"/>
                  </w:tcBorders>
                  <w:vAlign w:val="center"/>
                </w:tcPr>
                <w:p w14:paraId="0458A7A9">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苯</w:t>
                  </w:r>
                </w:p>
              </w:tc>
              <w:tc>
                <w:tcPr>
                  <w:tcW w:w="2151" w:type="pct"/>
                  <w:tcBorders>
                    <w:top w:val="single" w:color="auto" w:sz="4" w:space="0"/>
                    <w:left w:val="single" w:color="auto" w:sz="4" w:space="0"/>
                    <w:bottom w:val="single" w:color="auto" w:sz="4" w:space="0"/>
                    <w:right w:val="single" w:color="auto" w:sz="4" w:space="0"/>
                  </w:tcBorders>
                  <w:vAlign w:val="center"/>
                </w:tcPr>
                <w:p w14:paraId="09ECB6EE">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1684" w:type="pct"/>
                  <w:tcBorders>
                    <w:left w:val="single" w:color="auto" w:sz="4" w:space="0"/>
                    <w:right w:val="single" w:color="auto" w:sz="4" w:space="0"/>
                  </w:tcBorders>
                  <w:vAlign w:val="center"/>
                </w:tcPr>
                <w:p w14:paraId="2EEFA324">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《印刷工业大气污染物排放标准》（GB41616-2022）</w:t>
                  </w:r>
                </w:p>
              </w:tc>
            </w:tr>
            <w:tr w14:paraId="231CE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63" w:type="pct"/>
                  <w:tcBorders>
                    <w:top w:val="single" w:color="auto" w:sz="4" w:space="0"/>
                    <w:left w:val="single" w:color="auto" w:sz="4" w:space="0"/>
                    <w:bottom w:val="single" w:color="auto" w:sz="4" w:space="0"/>
                    <w:right w:val="single" w:color="auto" w:sz="4" w:space="0"/>
                  </w:tcBorders>
                  <w:vAlign w:val="center"/>
                </w:tcPr>
                <w:p w14:paraId="5561322C">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臭气浓度</w:t>
                  </w:r>
                </w:p>
              </w:tc>
              <w:tc>
                <w:tcPr>
                  <w:tcW w:w="2151" w:type="pct"/>
                  <w:tcBorders>
                    <w:top w:val="single" w:color="auto" w:sz="4" w:space="0"/>
                    <w:left w:val="single" w:color="auto" w:sz="4" w:space="0"/>
                    <w:bottom w:val="single" w:color="auto" w:sz="4" w:space="0"/>
                    <w:right w:val="single" w:color="auto" w:sz="4" w:space="0"/>
                  </w:tcBorders>
                  <w:vAlign w:val="center"/>
                </w:tcPr>
                <w:p w14:paraId="6FC51097">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20（无量纲）</w:t>
                  </w:r>
                </w:p>
              </w:tc>
              <w:tc>
                <w:tcPr>
                  <w:tcW w:w="1684" w:type="pct"/>
                  <w:tcBorders>
                    <w:left w:val="single" w:color="auto" w:sz="4" w:space="0"/>
                    <w:right w:val="single" w:color="auto" w:sz="4" w:space="0"/>
                  </w:tcBorders>
                  <w:vAlign w:val="center"/>
                </w:tcPr>
                <w:p w14:paraId="3384ADE3">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《恶臭污染物排放标准》（GB14554-1993）</w:t>
                  </w:r>
                </w:p>
              </w:tc>
            </w:tr>
            <w:tr w14:paraId="57F33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63" w:type="pct"/>
                  <w:tcBorders>
                    <w:top w:val="single" w:color="auto" w:sz="4" w:space="0"/>
                    <w:left w:val="single" w:color="auto" w:sz="4" w:space="0"/>
                    <w:bottom w:val="single" w:color="auto" w:sz="4" w:space="0"/>
                    <w:right w:val="single" w:color="auto" w:sz="4" w:space="0"/>
                  </w:tcBorders>
                  <w:vAlign w:val="center"/>
                </w:tcPr>
                <w:p w14:paraId="3001D00D">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2151" w:type="pct"/>
                  <w:tcBorders>
                    <w:top w:val="single" w:color="auto" w:sz="4" w:space="0"/>
                    <w:left w:val="single" w:color="auto" w:sz="4" w:space="0"/>
                    <w:bottom w:val="single" w:color="auto" w:sz="4" w:space="0"/>
                    <w:right w:val="single" w:color="auto" w:sz="4" w:space="0"/>
                  </w:tcBorders>
                  <w:vAlign w:val="center"/>
                </w:tcPr>
                <w:p w14:paraId="007479D5">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1684" w:type="pct"/>
                  <w:vMerge w:val="restart"/>
                  <w:tcBorders>
                    <w:left w:val="single" w:color="auto" w:sz="4" w:space="0"/>
                    <w:right w:val="single" w:color="auto" w:sz="4" w:space="0"/>
                  </w:tcBorders>
                  <w:vAlign w:val="center"/>
                </w:tcPr>
                <w:p w14:paraId="49A7941F">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大气污染物综合排放标准》（GB16297-1996）</w:t>
                  </w:r>
                </w:p>
              </w:tc>
            </w:tr>
            <w:tr w14:paraId="6CDEF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63" w:type="pct"/>
                  <w:tcBorders>
                    <w:top w:val="single" w:color="auto" w:sz="4" w:space="0"/>
                    <w:left w:val="single" w:color="auto" w:sz="4" w:space="0"/>
                    <w:bottom w:val="single" w:color="auto" w:sz="4" w:space="0"/>
                    <w:right w:val="single" w:color="auto" w:sz="4" w:space="0"/>
                  </w:tcBorders>
                  <w:vAlign w:val="center"/>
                </w:tcPr>
                <w:p w14:paraId="572CD219">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2151" w:type="pct"/>
                  <w:tcBorders>
                    <w:top w:val="single" w:color="auto" w:sz="4" w:space="0"/>
                    <w:left w:val="single" w:color="auto" w:sz="4" w:space="0"/>
                    <w:bottom w:val="single" w:color="auto" w:sz="4" w:space="0"/>
                    <w:right w:val="single" w:color="auto" w:sz="4" w:space="0"/>
                  </w:tcBorders>
                  <w:vAlign w:val="center"/>
                </w:tcPr>
                <w:p w14:paraId="362ACE02">
                  <w:pPr>
                    <w:pStyle w:val="124"/>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684" w:type="pct"/>
                  <w:vMerge w:val="continue"/>
                  <w:tcBorders>
                    <w:left w:val="single" w:color="auto" w:sz="4" w:space="0"/>
                    <w:right w:val="single" w:color="auto" w:sz="4" w:space="0"/>
                  </w:tcBorders>
                  <w:vAlign w:val="center"/>
                </w:tcPr>
                <w:p w14:paraId="6C82A91F">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r>
          </w:tbl>
          <w:p w14:paraId="7CB9AA4E">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lang w:val="zh-CN"/>
                <w14:textFill>
                  <w14:solidFill>
                    <w14:schemeClr w14:val="tx1"/>
                  </w14:solidFill>
                </w14:textFill>
              </w:rPr>
            </w:pPr>
            <w:r>
              <w:rPr>
                <w:rFonts w:hint="default" w:ascii="Times New Roman" w:hAnsi="Times New Roman" w:eastAsia="宋体" w:cs="Times New Roman"/>
                <w:b/>
                <w:bCs/>
                <w:color w:val="000000" w:themeColor="text1"/>
                <w:sz w:val="24"/>
                <w:lang w:val="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val="zh-CN"/>
                <w14:textFill>
                  <w14:solidFill>
                    <w14:schemeClr w14:val="tx1"/>
                  </w14:solidFill>
                </w14:textFill>
              </w:rPr>
              <w:t>）厂区内无组织</w:t>
            </w:r>
          </w:p>
          <w:p w14:paraId="55123D96">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厂内无组织VOCs排放浓度限值执行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《印刷工业大气污染物排放标准》（GB41616-2022）</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表A.1厂区内VOCs无组织排放限值</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要求，标准值见表。</w:t>
            </w:r>
          </w:p>
          <w:p w14:paraId="323DFBD5">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 xml:space="preserve">  厂区内无组织排放限值    单位：mg/m</w:t>
            </w:r>
            <w:r>
              <w:rPr>
                <w:rFonts w:hint="default" w:ascii="Times New Roman" w:hAnsi="Times New Roman" w:eastAsia="宋体" w:cs="Times New Roman"/>
                <w:color w:val="000000" w:themeColor="text1"/>
                <w:vertAlign w:val="superscript"/>
                <w14:textFill>
                  <w14:solidFill>
                    <w14:schemeClr w14:val="tx1"/>
                  </w14:solidFill>
                </w14:textFill>
              </w:rPr>
              <w:t>3</w:t>
            </w:r>
          </w:p>
          <w:tbl>
            <w:tblPr>
              <w:tblStyle w:val="32"/>
              <w:tblW w:w="5000"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1532"/>
              <w:gridCol w:w="1729"/>
              <w:gridCol w:w="2352"/>
              <w:gridCol w:w="2487"/>
            </w:tblGrid>
            <w:tr w14:paraId="4FE248A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62" w:type="dxa"/>
                  <w:tcBorders>
                    <w:tl2br w:val="nil"/>
                    <w:tr2bl w:val="nil"/>
                  </w:tcBorders>
                  <w:vAlign w:val="center"/>
                </w:tcPr>
                <w:p w14:paraId="743DEE49">
                  <w:pPr>
                    <w:pStyle w:val="124"/>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污染项目</w:t>
                  </w:r>
                </w:p>
              </w:tc>
              <w:tc>
                <w:tcPr>
                  <w:tcW w:w="1761" w:type="dxa"/>
                  <w:tcBorders>
                    <w:tl2br w:val="nil"/>
                    <w:tr2bl w:val="nil"/>
                  </w:tcBorders>
                  <w:vAlign w:val="center"/>
                </w:tcPr>
                <w:p w14:paraId="5E1C7128">
                  <w:pPr>
                    <w:pStyle w:val="124"/>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排放限值</w:t>
                  </w:r>
                </w:p>
              </w:tc>
              <w:tc>
                <w:tcPr>
                  <w:tcW w:w="2423" w:type="dxa"/>
                  <w:tcBorders>
                    <w:tl2br w:val="nil"/>
                    <w:tr2bl w:val="nil"/>
                  </w:tcBorders>
                  <w:vAlign w:val="center"/>
                </w:tcPr>
                <w:p w14:paraId="3700D6E6">
                  <w:pPr>
                    <w:pStyle w:val="124"/>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限值含义</w:t>
                  </w:r>
                </w:p>
              </w:tc>
              <w:tc>
                <w:tcPr>
                  <w:tcW w:w="2563" w:type="dxa"/>
                  <w:tcBorders>
                    <w:tl2br w:val="nil"/>
                    <w:tr2bl w:val="nil"/>
                  </w:tcBorders>
                  <w:vAlign w:val="center"/>
                </w:tcPr>
                <w:p w14:paraId="320BAB2F">
                  <w:pPr>
                    <w:pStyle w:val="124"/>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无组织排放监控位置</w:t>
                  </w:r>
                </w:p>
              </w:tc>
            </w:tr>
            <w:tr w14:paraId="1885123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62" w:type="dxa"/>
                  <w:vMerge w:val="restart"/>
                  <w:tcBorders>
                    <w:tl2br w:val="nil"/>
                    <w:tr2bl w:val="nil"/>
                  </w:tcBorders>
                  <w:vAlign w:val="center"/>
                </w:tcPr>
                <w:p w14:paraId="3FC47EEA">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NMHC</w:t>
                  </w:r>
                </w:p>
              </w:tc>
              <w:tc>
                <w:tcPr>
                  <w:tcW w:w="1761" w:type="dxa"/>
                  <w:tcBorders>
                    <w:tl2br w:val="nil"/>
                    <w:tr2bl w:val="nil"/>
                  </w:tcBorders>
                  <w:vAlign w:val="center"/>
                </w:tcPr>
                <w:p w14:paraId="69F6C8A2">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10mg/m³</w:t>
                  </w:r>
                </w:p>
              </w:tc>
              <w:tc>
                <w:tcPr>
                  <w:tcW w:w="2423" w:type="dxa"/>
                  <w:tcBorders>
                    <w:tl2br w:val="nil"/>
                    <w:tr2bl w:val="nil"/>
                  </w:tcBorders>
                  <w:vAlign w:val="center"/>
                </w:tcPr>
                <w:p w14:paraId="413B12B8">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监控点处 1h 平均浓度值</w:t>
                  </w:r>
                </w:p>
              </w:tc>
              <w:tc>
                <w:tcPr>
                  <w:tcW w:w="2563" w:type="dxa"/>
                  <w:vMerge w:val="restart"/>
                  <w:tcBorders>
                    <w:tl2br w:val="nil"/>
                    <w:tr2bl w:val="nil"/>
                  </w:tcBorders>
                  <w:vAlign w:val="center"/>
                </w:tcPr>
                <w:p w14:paraId="25740B4A">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在厂房外设置监控点</w:t>
                  </w:r>
                </w:p>
              </w:tc>
            </w:tr>
            <w:tr w14:paraId="097AF59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62" w:type="dxa"/>
                  <w:vMerge w:val="continue"/>
                  <w:tcBorders>
                    <w:tl2br w:val="nil"/>
                    <w:tr2bl w:val="nil"/>
                  </w:tcBorders>
                  <w:vAlign w:val="center"/>
                </w:tcPr>
                <w:p w14:paraId="69DFF867">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1761" w:type="dxa"/>
                  <w:tcBorders>
                    <w:tl2br w:val="nil"/>
                    <w:tr2bl w:val="nil"/>
                  </w:tcBorders>
                  <w:vAlign w:val="center"/>
                </w:tcPr>
                <w:p w14:paraId="54664F8A">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30mg/m³</w:t>
                  </w:r>
                </w:p>
              </w:tc>
              <w:tc>
                <w:tcPr>
                  <w:tcW w:w="2423" w:type="dxa"/>
                  <w:tcBorders>
                    <w:tl2br w:val="nil"/>
                    <w:tr2bl w:val="nil"/>
                  </w:tcBorders>
                  <w:vAlign w:val="center"/>
                </w:tcPr>
                <w:p w14:paraId="1D0973D7">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监控点处任意一次浓度值</w:t>
                  </w:r>
                </w:p>
              </w:tc>
              <w:tc>
                <w:tcPr>
                  <w:tcW w:w="2563" w:type="dxa"/>
                  <w:vMerge w:val="continue"/>
                  <w:tcBorders>
                    <w:tl2br w:val="nil"/>
                    <w:tr2bl w:val="nil"/>
                  </w:tcBorders>
                  <w:vAlign w:val="center"/>
                </w:tcPr>
                <w:p w14:paraId="6E275A00">
                  <w:pPr>
                    <w:pStyle w:val="124"/>
                    <w:pageBreakBefore w:val="0"/>
                    <w:kinsoku/>
                    <w:overflowPunct/>
                    <w:topLinePunct w:val="0"/>
                    <w:bidi w:val="0"/>
                    <w:spacing w:before="0" w:after="0"/>
                    <w:ind w:left="0" w:leftChars="0" w:right="0"/>
                    <w:rPr>
                      <w:rFonts w:hint="default" w:ascii="Times New Roman" w:hAnsi="Times New Roman" w:eastAsia="宋体" w:cs="Times New Roman"/>
                      <w:color w:val="000000" w:themeColor="text1"/>
                      <w14:textFill>
                        <w14:solidFill>
                          <w14:schemeClr w14:val="tx1"/>
                        </w14:solidFill>
                      </w14:textFill>
                    </w:rPr>
                  </w:pPr>
                </w:p>
              </w:tc>
            </w:tr>
          </w:tbl>
          <w:p w14:paraId="5BAD813E">
            <w:pPr>
              <w:pStyle w:val="45"/>
              <w:pageBreakBefore w:val="0"/>
              <w:kinsoku/>
              <w:overflowPunct/>
              <w:topLinePunct w:val="0"/>
              <w:bidi w:val="0"/>
              <w:ind w:left="0" w:leftChars="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2、废水</w:t>
            </w:r>
          </w:p>
          <w:p w14:paraId="2CF50E54">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本项目采取雨污分流制。雨水经厂区周边现有雨水沟收集后进入市政雨水管网。</w:t>
            </w:r>
          </w:p>
          <w:p w14:paraId="3A904DE5">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生产</w:t>
            </w:r>
            <w:r>
              <w:rPr>
                <w:rFonts w:hint="default" w:ascii="Times New Roman" w:hAnsi="Times New Roman" w:eastAsia="宋体" w:cs="Times New Roman"/>
                <w:color w:val="000000" w:themeColor="text1"/>
                <w:sz w:val="24"/>
                <w:szCs w:val="24"/>
                <w:lang w:eastAsia="zh-CN"/>
                <w14:textFill>
                  <w14:solidFill>
                    <w14:schemeClr w14:val="tx1"/>
                  </w14:solidFill>
                </w14:textFill>
              </w:rPr>
              <w:t>过程中不产生生产废水，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对印刷设备进行清理时均采用抹布蘸取少量油墨清洗剂对设备进行擦拭，无清洗废水产生。</w:t>
            </w:r>
          </w:p>
          <w:p w14:paraId="6A98B6A2">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近期由于园区污水处理厂暂未正常运行，生活污水经化粪池预处理后进入自建生活污水处理设施处理达《城市污水再生利用 城市杂用水水质》（GB/T18920-2020）中绿化标准后用于厂区周边绿化，</w:t>
            </w:r>
            <w:r>
              <w:rPr>
                <w:rFonts w:hint="eastAsia" w:cs="Times New Roman"/>
                <w:color w:val="000000" w:themeColor="text1"/>
                <w:sz w:val="24"/>
                <w:szCs w:val="24"/>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，留待晴天使用；远期待园区污水处理厂正常运行后，产生的生活污水通过化粪池预处理，达到《污水综合排放标准》（GB8978-1996）表4三级标准及《污水排入城镇下水道水质标准》（GB/T31962-2015）</w:t>
            </w:r>
            <w:r>
              <w:rPr>
                <w:rFonts w:hint="eastAsia" w:cs="Times New Roman"/>
                <w:color w:val="000000" w:themeColor="text1"/>
                <w:sz w:val="24"/>
                <w:szCs w:val="24"/>
                <w:lang w:val="en-US" w:eastAsia="zh-CN"/>
                <w14:textFill>
                  <w14:solidFill>
                    <w14:schemeClr w14:val="tx1"/>
                  </w14:solidFill>
                </w14:textFill>
              </w:rPr>
              <w:t>表1A等级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标准规定的最严标准值后，排入园区市政污水管网，进入园区污水处理厂处理。</w:t>
            </w:r>
          </w:p>
          <w:p w14:paraId="42A2E708">
            <w:pPr>
              <w:pStyle w:val="130"/>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lang w:eastAsia="zh-CN"/>
                <w14:textFill>
                  <w14:solidFill>
                    <w14:schemeClr w14:val="tx1"/>
                  </w14:solidFill>
                </w14:textFill>
              </w:rPr>
              <w:t>项目近期生活污水处理</w:t>
            </w:r>
            <w:r>
              <w:rPr>
                <w:rFonts w:hint="default" w:ascii="Times New Roman" w:hAnsi="Times New Roman" w:eastAsia="宋体" w:cs="Times New Roman"/>
                <w:color w:val="000000" w:themeColor="text1"/>
                <w14:textFill>
                  <w14:solidFill>
                    <w14:schemeClr w14:val="tx1"/>
                  </w14:solidFill>
                </w14:textFill>
              </w:rPr>
              <w:t>标准</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3426"/>
              <w:gridCol w:w="3844"/>
            </w:tblGrid>
            <w:tr w14:paraId="7CAB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8" w:type="pct"/>
                  <w:vAlign w:val="center"/>
                </w:tcPr>
                <w:p w14:paraId="36D8D90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序号</w:t>
                  </w:r>
                </w:p>
              </w:tc>
              <w:tc>
                <w:tcPr>
                  <w:tcW w:w="2116" w:type="pct"/>
                  <w:vAlign w:val="center"/>
                </w:tcPr>
                <w:p w14:paraId="4F2BDCF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基本控制项目</w:t>
                  </w:r>
                </w:p>
              </w:tc>
              <w:tc>
                <w:tcPr>
                  <w:tcW w:w="2374" w:type="pct"/>
                  <w:vAlign w:val="center"/>
                </w:tcPr>
                <w:p w14:paraId="2AFCB4D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城市污水再生利用 城市杂用水水质》</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GB/T18920-2020</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城市绿化用水标准</w:t>
                  </w:r>
                </w:p>
              </w:tc>
            </w:tr>
            <w:tr w14:paraId="58E5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8" w:type="pct"/>
                  <w:vAlign w:val="center"/>
                </w:tcPr>
                <w:p w14:paraId="1033D0FF">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2116" w:type="pct"/>
                  <w:vAlign w:val="center"/>
                </w:tcPr>
                <w:p w14:paraId="29719E3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w:t>
                  </w:r>
                </w:p>
              </w:tc>
              <w:tc>
                <w:tcPr>
                  <w:tcW w:w="2374" w:type="pct"/>
                  <w:vAlign w:val="center"/>
                </w:tcPr>
                <w:p w14:paraId="0C6625FA">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6~9</w:t>
                  </w:r>
                </w:p>
              </w:tc>
            </w:tr>
            <w:tr w14:paraId="3DB7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21541E5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2116" w:type="pct"/>
                  <w:vAlign w:val="center"/>
                </w:tcPr>
                <w:p w14:paraId="293D649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色度（稀释倍数）≤</w:t>
                  </w:r>
                </w:p>
              </w:tc>
              <w:tc>
                <w:tcPr>
                  <w:tcW w:w="2374" w:type="pct"/>
                  <w:vAlign w:val="center"/>
                </w:tcPr>
                <w:p w14:paraId="139CBF9D">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w:t>
                  </w:r>
                </w:p>
              </w:tc>
            </w:tr>
            <w:tr w14:paraId="0843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40525F5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2116" w:type="pct"/>
                  <w:vAlign w:val="center"/>
                </w:tcPr>
                <w:p w14:paraId="3E543FF3">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嗅</w:t>
                  </w:r>
                </w:p>
              </w:tc>
              <w:tc>
                <w:tcPr>
                  <w:tcW w:w="2374" w:type="pct"/>
                  <w:vAlign w:val="center"/>
                </w:tcPr>
                <w:p w14:paraId="4111943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无不快感</w:t>
                  </w:r>
                </w:p>
              </w:tc>
            </w:tr>
            <w:tr w14:paraId="1103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05C6B31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2116" w:type="pct"/>
                  <w:vAlign w:val="center"/>
                </w:tcPr>
                <w:p w14:paraId="2FFB6B9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浊度（NTU）≤</w:t>
                  </w:r>
                </w:p>
              </w:tc>
              <w:tc>
                <w:tcPr>
                  <w:tcW w:w="2374" w:type="pct"/>
                  <w:vAlign w:val="center"/>
                </w:tcPr>
                <w:p w14:paraId="148B54B5">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r>
            <w:tr w14:paraId="7213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1B4A9B98">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2116" w:type="pct"/>
                  <w:vAlign w:val="center"/>
                </w:tcPr>
                <w:p w14:paraId="76A59A3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五日生化需氧量（BOD5）≤</w:t>
                  </w:r>
                </w:p>
              </w:tc>
              <w:tc>
                <w:tcPr>
                  <w:tcW w:w="2374" w:type="pct"/>
                  <w:vAlign w:val="center"/>
                </w:tcPr>
                <w:p w14:paraId="2791087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r>
            <w:tr w14:paraId="0003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27F614A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2116" w:type="pct"/>
                  <w:vAlign w:val="center"/>
                </w:tcPr>
                <w:p w14:paraId="4A9B891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氨氮（以N计）≤</w:t>
                  </w:r>
                </w:p>
              </w:tc>
              <w:tc>
                <w:tcPr>
                  <w:tcW w:w="2374" w:type="pct"/>
                  <w:vAlign w:val="center"/>
                </w:tcPr>
                <w:p w14:paraId="32E80DF2">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r>
            <w:tr w14:paraId="69CC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1A06AFE4">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c>
                <w:tcPr>
                  <w:tcW w:w="2116" w:type="pct"/>
                  <w:vAlign w:val="center"/>
                </w:tcPr>
                <w:p w14:paraId="09A00A0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阴离子表面活性剂≤</w:t>
                  </w:r>
                </w:p>
              </w:tc>
              <w:tc>
                <w:tcPr>
                  <w:tcW w:w="2374" w:type="pct"/>
                  <w:vAlign w:val="center"/>
                </w:tcPr>
                <w:p w14:paraId="33A0284F">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w:t>
                  </w:r>
                </w:p>
              </w:tc>
            </w:tr>
            <w:tr w14:paraId="37B0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6FFDC5F6">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c>
                <w:tcPr>
                  <w:tcW w:w="2116" w:type="pct"/>
                  <w:vAlign w:val="center"/>
                </w:tcPr>
                <w:p w14:paraId="52B33F2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溶解性总固体≤</w:t>
                  </w:r>
                </w:p>
              </w:tc>
              <w:tc>
                <w:tcPr>
                  <w:tcW w:w="2374" w:type="pct"/>
                  <w:vAlign w:val="center"/>
                </w:tcPr>
                <w:p w14:paraId="39ED3883">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1000</w:t>
                  </w:r>
                </w:p>
              </w:tc>
            </w:tr>
            <w:tr w14:paraId="7715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6ABEFA3B">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9</w:t>
                  </w:r>
                </w:p>
              </w:tc>
              <w:tc>
                <w:tcPr>
                  <w:tcW w:w="2116" w:type="pct"/>
                  <w:vAlign w:val="center"/>
                </w:tcPr>
                <w:p w14:paraId="0F8AB41A">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溶解氧≥</w:t>
                  </w:r>
                </w:p>
              </w:tc>
              <w:tc>
                <w:tcPr>
                  <w:tcW w:w="2374" w:type="pct"/>
                  <w:vAlign w:val="center"/>
                </w:tcPr>
                <w:p w14:paraId="2C73F8F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r>
            <w:tr w14:paraId="6B32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1C916F62">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w:t>
                  </w:r>
                </w:p>
              </w:tc>
              <w:tc>
                <w:tcPr>
                  <w:tcW w:w="2116" w:type="pct"/>
                  <w:vAlign w:val="center"/>
                </w:tcPr>
                <w:p w14:paraId="0E2CA3EC">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总氯≥</w:t>
                  </w:r>
                </w:p>
              </w:tc>
              <w:tc>
                <w:tcPr>
                  <w:tcW w:w="2374" w:type="pct"/>
                  <w:vAlign w:val="center"/>
                </w:tcPr>
                <w:p w14:paraId="2AA74E1F">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1.0（出厂），0.2管网末端</w:t>
                  </w:r>
                </w:p>
              </w:tc>
            </w:tr>
            <w:tr w14:paraId="4846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51CC7604">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w:t>
                  </w:r>
                </w:p>
              </w:tc>
              <w:tc>
                <w:tcPr>
                  <w:tcW w:w="2116" w:type="pct"/>
                  <w:vAlign w:val="center"/>
                </w:tcPr>
                <w:p w14:paraId="5A21B5CF">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大肠埃希氏菌/（MPN/100mL或CFU/100mL）</w:t>
                  </w:r>
                </w:p>
              </w:tc>
              <w:tc>
                <w:tcPr>
                  <w:tcW w:w="2374" w:type="pct"/>
                  <w:vAlign w:val="center"/>
                </w:tcPr>
                <w:p w14:paraId="54766345">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w:t>
                  </w:r>
                </w:p>
              </w:tc>
            </w:tr>
          </w:tbl>
          <w:p w14:paraId="1DC5892E">
            <w:pPr>
              <w:pStyle w:val="130"/>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lang w:eastAsia="zh-CN"/>
                <w14:textFill>
                  <w14:solidFill>
                    <w14:schemeClr w14:val="tx1"/>
                  </w14:solidFill>
                </w14:textFill>
              </w:rPr>
              <w:t>项目远期生活污水处理</w:t>
            </w:r>
            <w:r>
              <w:rPr>
                <w:rFonts w:hint="default" w:ascii="Times New Roman" w:hAnsi="Times New Roman" w:eastAsia="宋体" w:cs="Times New Roman"/>
                <w:color w:val="000000" w:themeColor="text1"/>
                <w14:textFill>
                  <w14:solidFill>
                    <w14:schemeClr w14:val="tx1"/>
                  </w14:solidFill>
                </w14:textFill>
              </w:rPr>
              <w:t>标准</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755"/>
              <w:gridCol w:w="1970"/>
              <w:gridCol w:w="2157"/>
              <w:gridCol w:w="1784"/>
            </w:tblGrid>
            <w:tr w14:paraId="77C1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63" w:type="pct"/>
                  <w:vAlign w:val="center"/>
                </w:tcPr>
                <w:p w14:paraId="5B6101B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序号</w:t>
                  </w:r>
                </w:p>
              </w:tc>
              <w:tc>
                <w:tcPr>
                  <w:tcW w:w="1084" w:type="pct"/>
                  <w:vAlign w:val="center"/>
                </w:tcPr>
                <w:p w14:paraId="39E2820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基本控制项目</w:t>
                  </w:r>
                </w:p>
              </w:tc>
              <w:tc>
                <w:tcPr>
                  <w:tcW w:w="1217" w:type="pct"/>
                  <w:vAlign w:val="center"/>
                </w:tcPr>
                <w:p w14:paraId="5303940B">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《污水综合排放标准》（GB8978-1996）</w:t>
                  </w:r>
                </w:p>
              </w:tc>
              <w:tc>
                <w:tcPr>
                  <w:tcW w:w="1332" w:type="pct"/>
                  <w:vAlign w:val="center"/>
                </w:tcPr>
                <w:p w14:paraId="7C6E9FC2">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《污水排入城镇下水道水质标准》（GB/T31962-2015）</w:t>
                  </w:r>
                  <w:r>
                    <w:rPr>
                      <w:rFonts w:hint="eastAsia" w:cs="Times New Roman"/>
                      <w:color w:val="000000" w:themeColor="text1"/>
                      <w:sz w:val="21"/>
                      <w:szCs w:val="21"/>
                      <w:lang w:val="en-US" w:eastAsia="zh-CN"/>
                      <w14:textFill>
                        <w14:solidFill>
                          <w14:schemeClr w14:val="tx1"/>
                        </w14:solidFill>
                      </w14:textFill>
                    </w:rPr>
                    <w:t>A等级</w:t>
                  </w:r>
                </w:p>
              </w:tc>
              <w:tc>
                <w:tcPr>
                  <w:tcW w:w="1102" w:type="pct"/>
                  <w:vAlign w:val="center"/>
                </w:tcPr>
                <w:p w14:paraId="4C55F62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本项目执行标准</w:t>
                  </w:r>
                </w:p>
              </w:tc>
            </w:tr>
            <w:tr w14:paraId="3153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63" w:type="pct"/>
                  <w:vAlign w:val="center"/>
                </w:tcPr>
                <w:p w14:paraId="2E1D7C4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084" w:type="pct"/>
                  <w:vAlign w:val="center"/>
                </w:tcPr>
                <w:p w14:paraId="4464F08B">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w:t>
                  </w:r>
                </w:p>
              </w:tc>
              <w:tc>
                <w:tcPr>
                  <w:tcW w:w="1217" w:type="pct"/>
                  <w:vAlign w:val="center"/>
                </w:tcPr>
                <w:p w14:paraId="392AF2CB">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6~9</w:t>
                  </w:r>
                </w:p>
              </w:tc>
              <w:tc>
                <w:tcPr>
                  <w:tcW w:w="1332" w:type="pct"/>
                  <w:vAlign w:val="center"/>
                </w:tcPr>
                <w:p w14:paraId="73D5B80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6.5~9.5</w:t>
                  </w:r>
                </w:p>
              </w:tc>
              <w:tc>
                <w:tcPr>
                  <w:tcW w:w="1102" w:type="pct"/>
                  <w:vAlign w:val="center"/>
                </w:tcPr>
                <w:p w14:paraId="137D1D91">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6.5~9</w:t>
                  </w:r>
                </w:p>
              </w:tc>
            </w:tr>
            <w:tr w14:paraId="5D3E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710C881B">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084" w:type="pct"/>
                  <w:vAlign w:val="center"/>
                </w:tcPr>
                <w:p w14:paraId="6D2A3A46">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色度（稀释倍数）</w:t>
                  </w:r>
                </w:p>
              </w:tc>
              <w:tc>
                <w:tcPr>
                  <w:tcW w:w="1217" w:type="pct"/>
                  <w:vAlign w:val="center"/>
                </w:tcPr>
                <w:p w14:paraId="6C6838E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32" w:type="pct"/>
                  <w:vAlign w:val="center"/>
                </w:tcPr>
                <w:p w14:paraId="2916F23D">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64</w:t>
                  </w:r>
                </w:p>
              </w:tc>
              <w:tc>
                <w:tcPr>
                  <w:tcW w:w="1102" w:type="pct"/>
                  <w:vAlign w:val="center"/>
                </w:tcPr>
                <w:p w14:paraId="38D0B67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64</w:t>
                  </w:r>
                </w:p>
              </w:tc>
            </w:tr>
            <w:tr w14:paraId="1774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503708F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084" w:type="pct"/>
                  <w:vAlign w:val="center"/>
                </w:tcPr>
                <w:p w14:paraId="2C63A6AC">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悬浮物</w:t>
                  </w:r>
                  <w:r>
                    <w:rPr>
                      <w:rFonts w:hint="default" w:ascii="Times New Roman" w:hAnsi="Times New Roman" w:eastAsia="宋体" w:cs="Times New Roman"/>
                      <w:color w:val="000000" w:themeColor="text1"/>
                      <w:szCs w:val="21"/>
                      <w:lang w:val="en-US" w:eastAsia="zh-CN"/>
                      <w14:textFill>
                        <w14:solidFill>
                          <w14:schemeClr w14:val="tx1"/>
                        </w14:solidFill>
                      </w14:textFill>
                    </w:rPr>
                    <w:t>SS</w:t>
                  </w:r>
                </w:p>
              </w:tc>
              <w:tc>
                <w:tcPr>
                  <w:tcW w:w="1217" w:type="pct"/>
                  <w:vAlign w:val="center"/>
                </w:tcPr>
                <w:p w14:paraId="3A8CCF52">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400</w:t>
                  </w:r>
                </w:p>
              </w:tc>
              <w:tc>
                <w:tcPr>
                  <w:tcW w:w="1332" w:type="pct"/>
                  <w:vAlign w:val="center"/>
                </w:tcPr>
                <w:p w14:paraId="26F5431A">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400</w:t>
                  </w:r>
                </w:p>
              </w:tc>
              <w:tc>
                <w:tcPr>
                  <w:tcW w:w="1102" w:type="pct"/>
                  <w:vAlign w:val="center"/>
                </w:tcPr>
                <w:p w14:paraId="311486EF">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400</w:t>
                  </w:r>
                </w:p>
              </w:tc>
            </w:tr>
            <w:tr w14:paraId="7D3D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68B8B5D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p>
              </w:tc>
              <w:tc>
                <w:tcPr>
                  <w:tcW w:w="1084" w:type="pct"/>
                  <w:vAlign w:val="center"/>
                </w:tcPr>
                <w:p w14:paraId="37237E0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溶解性总固体</w:t>
                  </w:r>
                </w:p>
              </w:tc>
              <w:tc>
                <w:tcPr>
                  <w:tcW w:w="1217" w:type="pct"/>
                  <w:vAlign w:val="center"/>
                </w:tcPr>
                <w:p w14:paraId="79F2D0DF">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32" w:type="pct"/>
                  <w:vAlign w:val="center"/>
                </w:tcPr>
                <w:p w14:paraId="009B22D2">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150</w:t>
                  </w:r>
                </w:p>
              </w:tc>
              <w:tc>
                <w:tcPr>
                  <w:tcW w:w="1102" w:type="pct"/>
                  <w:vAlign w:val="center"/>
                </w:tcPr>
                <w:p w14:paraId="7F91C97D">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2000</w:t>
                  </w:r>
                </w:p>
              </w:tc>
            </w:tr>
            <w:tr w14:paraId="491D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69A0E68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p>
              </w:tc>
              <w:tc>
                <w:tcPr>
                  <w:tcW w:w="1084" w:type="pct"/>
                  <w:vAlign w:val="center"/>
                </w:tcPr>
                <w:p w14:paraId="45DA0B9B">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阴离子表面活性剂</w:t>
                  </w:r>
                  <w:r>
                    <w:rPr>
                      <w:rFonts w:hint="default" w:ascii="Times New Roman" w:hAnsi="Times New Roman" w:eastAsia="宋体" w:cs="Times New Roman"/>
                      <w:color w:val="000000" w:themeColor="text1"/>
                      <w:szCs w:val="21"/>
                      <w:lang w:val="en-US" w:eastAsia="zh-CN"/>
                      <w14:textFill>
                        <w14:solidFill>
                          <w14:schemeClr w14:val="tx1"/>
                        </w14:solidFill>
                      </w14:textFill>
                    </w:rPr>
                    <w:t>LAS</w:t>
                  </w:r>
                </w:p>
              </w:tc>
              <w:tc>
                <w:tcPr>
                  <w:tcW w:w="1217" w:type="pct"/>
                  <w:vAlign w:val="center"/>
                </w:tcPr>
                <w:p w14:paraId="1DD41F8D">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w:t>
                  </w:r>
                </w:p>
              </w:tc>
              <w:tc>
                <w:tcPr>
                  <w:tcW w:w="1332" w:type="pct"/>
                  <w:vAlign w:val="center"/>
                </w:tcPr>
                <w:p w14:paraId="52A7277A">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w:t>
                  </w:r>
                </w:p>
              </w:tc>
              <w:tc>
                <w:tcPr>
                  <w:tcW w:w="1102" w:type="pct"/>
                  <w:vAlign w:val="center"/>
                </w:tcPr>
                <w:p w14:paraId="405E1E8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w:t>
                  </w:r>
                </w:p>
              </w:tc>
            </w:tr>
            <w:tr w14:paraId="4D20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650262F3">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w:t>
                  </w:r>
                </w:p>
              </w:tc>
              <w:tc>
                <w:tcPr>
                  <w:tcW w:w="1084" w:type="pct"/>
                  <w:vAlign w:val="center"/>
                </w:tcPr>
                <w:p w14:paraId="29D2F15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五日生化需氧量</w:t>
                  </w:r>
                  <w:r>
                    <w:rPr>
                      <w:rFonts w:hint="default" w:ascii="Times New Roman" w:hAnsi="Times New Roman" w:eastAsia="宋体" w:cs="Times New Roman"/>
                      <w:color w:val="000000" w:themeColor="text1"/>
                      <w:szCs w:val="21"/>
                      <w:lang w:val="en-US" w:eastAsia="zh-CN"/>
                      <w14:textFill>
                        <w14:solidFill>
                          <w14:schemeClr w14:val="tx1"/>
                        </w14:solidFill>
                      </w14:textFill>
                    </w:rPr>
                    <w:t>BOD5</w:t>
                  </w:r>
                </w:p>
              </w:tc>
              <w:tc>
                <w:tcPr>
                  <w:tcW w:w="1217" w:type="pct"/>
                  <w:vAlign w:val="center"/>
                </w:tcPr>
                <w:p w14:paraId="2379687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300</w:t>
                  </w:r>
                </w:p>
              </w:tc>
              <w:tc>
                <w:tcPr>
                  <w:tcW w:w="1332" w:type="pct"/>
                  <w:vAlign w:val="center"/>
                </w:tcPr>
                <w:p w14:paraId="283013E6">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350</w:t>
                  </w:r>
                </w:p>
              </w:tc>
              <w:tc>
                <w:tcPr>
                  <w:tcW w:w="1102" w:type="pct"/>
                  <w:vAlign w:val="center"/>
                </w:tcPr>
                <w:p w14:paraId="572AC29C">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300</w:t>
                  </w:r>
                </w:p>
              </w:tc>
            </w:tr>
            <w:tr w14:paraId="6772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02F6F9A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w:t>
                  </w:r>
                </w:p>
              </w:tc>
              <w:tc>
                <w:tcPr>
                  <w:tcW w:w="1084" w:type="pct"/>
                  <w:vAlign w:val="center"/>
                </w:tcPr>
                <w:p w14:paraId="518A87F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化学需氧量</w:t>
                  </w:r>
                  <w:r>
                    <w:rPr>
                      <w:rFonts w:hint="default" w:ascii="Times New Roman" w:hAnsi="Times New Roman" w:eastAsia="宋体" w:cs="Times New Roman"/>
                      <w:color w:val="000000" w:themeColor="text1"/>
                      <w:szCs w:val="21"/>
                      <w:lang w:val="en-US" w:eastAsia="zh-CN"/>
                      <w14:textFill>
                        <w14:solidFill>
                          <w14:schemeClr w14:val="tx1"/>
                        </w14:solidFill>
                      </w14:textFill>
                    </w:rPr>
                    <w:t>COD</w:t>
                  </w:r>
                </w:p>
              </w:tc>
              <w:tc>
                <w:tcPr>
                  <w:tcW w:w="1217" w:type="pct"/>
                  <w:vAlign w:val="center"/>
                </w:tcPr>
                <w:p w14:paraId="259396F5">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500</w:t>
                  </w:r>
                </w:p>
              </w:tc>
              <w:tc>
                <w:tcPr>
                  <w:tcW w:w="1332" w:type="pct"/>
                  <w:vAlign w:val="center"/>
                </w:tcPr>
                <w:p w14:paraId="62160D8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500</w:t>
                  </w:r>
                </w:p>
              </w:tc>
              <w:tc>
                <w:tcPr>
                  <w:tcW w:w="1102" w:type="pct"/>
                  <w:vAlign w:val="center"/>
                </w:tcPr>
                <w:p w14:paraId="4E9E8401">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500</w:t>
                  </w:r>
                </w:p>
              </w:tc>
            </w:tr>
            <w:tr w14:paraId="783D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757790D5">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w:t>
                  </w:r>
                </w:p>
              </w:tc>
              <w:tc>
                <w:tcPr>
                  <w:tcW w:w="1084" w:type="pct"/>
                  <w:vAlign w:val="center"/>
                </w:tcPr>
                <w:p w14:paraId="20C0C646">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石油类</w:t>
                  </w:r>
                </w:p>
              </w:tc>
              <w:tc>
                <w:tcPr>
                  <w:tcW w:w="1217" w:type="pct"/>
                  <w:vAlign w:val="center"/>
                </w:tcPr>
                <w:p w14:paraId="73E08F04">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w:t>
                  </w:r>
                </w:p>
              </w:tc>
              <w:tc>
                <w:tcPr>
                  <w:tcW w:w="1332" w:type="pct"/>
                  <w:vAlign w:val="center"/>
                </w:tcPr>
                <w:p w14:paraId="129EE131">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w:t>
                  </w:r>
                </w:p>
              </w:tc>
              <w:tc>
                <w:tcPr>
                  <w:tcW w:w="1102" w:type="pct"/>
                  <w:vAlign w:val="center"/>
                </w:tcPr>
                <w:p w14:paraId="6D9F61D1">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w:t>
                  </w:r>
                </w:p>
              </w:tc>
            </w:tr>
            <w:tr w14:paraId="5225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522B87FB">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9</w:t>
                  </w:r>
                </w:p>
              </w:tc>
              <w:tc>
                <w:tcPr>
                  <w:tcW w:w="1084" w:type="pct"/>
                  <w:vAlign w:val="center"/>
                </w:tcPr>
                <w:p w14:paraId="54D3A52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动植物油</w:t>
                  </w:r>
                </w:p>
              </w:tc>
              <w:tc>
                <w:tcPr>
                  <w:tcW w:w="1217" w:type="pct"/>
                  <w:vAlign w:val="center"/>
                </w:tcPr>
                <w:p w14:paraId="0C2C9F16">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100</w:t>
                  </w:r>
                </w:p>
              </w:tc>
              <w:tc>
                <w:tcPr>
                  <w:tcW w:w="1332" w:type="pct"/>
                  <w:vAlign w:val="center"/>
                </w:tcPr>
                <w:p w14:paraId="03AE9F0B">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100</w:t>
                  </w:r>
                </w:p>
              </w:tc>
              <w:tc>
                <w:tcPr>
                  <w:tcW w:w="1102" w:type="pct"/>
                  <w:vAlign w:val="center"/>
                </w:tcPr>
                <w:p w14:paraId="2727662A">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100</w:t>
                  </w:r>
                </w:p>
              </w:tc>
            </w:tr>
            <w:tr w14:paraId="7F98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2C236B3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1084" w:type="pct"/>
                  <w:vAlign w:val="center"/>
                </w:tcPr>
                <w:p w14:paraId="31C5FD4C">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氨氮（以</w:t>
                  </w:r>
                  <w:r>
                    <w:rPr>
                      <w:rFonts w:hint="default" w:ascii="Times New Roman" w:hAnsi="Times New Roman" w:eastAsia="宋体" w:cs="Times New Roman"/>
                      <w:color w:val="000000" w:themeColor="text1"/>
                      <w:szCs w:val="21"/>
                      <w:lang w:val="en-US" w:eastAsia="zh-CN"/>
                      <w14:textFill>
                        <w14:solidFill>
                          <w14:schemeClr w14:val="tx1"/>
                        </w14:solidFill>
                      </w14:textFill>
                    </w:rPr>
                    <w:t>N计</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1217" w:type="pct"/>
                  <w:vAlign w:val="center"/>
                </w:tcPr>
                <w:p w14:paraId="06C82E14">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32" w:type="pct"/>
                  <w:vAlign w:val="center"/>
                </w:tcPr>
                <w:p w14:paraId="10E5E3BA">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45</w:t>
                  </w:r>
                </w:p>
              </w:tc>
              <w:tc>
                <w:tcPr>
                  <w:tcW w:w="1102" w:type="pct"/>
                  <w:vAlign w:val="center"/>
                </w:tcPr>
                <w:p w14:paraId="39D82DF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45</w:t>
                  </w:r>
                </w:p>
              </w:tc>
            </w:tr>
            <w:tr w14:paraId="4431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08ABB018">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w:t>
                  </w:r>
                </w:p>
              </w:tc>
              <w:tc>
                <w:tcPr>
                  <w:tcW w:w="1084" w:type="pct"/>
                  <w:vAlign w:val="center"/>
                </w:tcPr>
                <w:p w14:paraId="07653EF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总磷（以</w:t>
                  </w:r>
                  <w:r>
                    <w:rPr>
                      <w:rFonts w:hint="default" w:ascii="Times New Roman" w:hAnsi="Times New Roman" w:eastAsia="宋体" w:cs="Times New Roman"/>
                      <w:color w:val="000000" w:themeColor="text1"/>
                      <w:szCs w:val="21"/>
                      <w:lang w:val="en-US" w:eastAsia="zh-CN"/>
                      <w14:textFill>
                        <w14:solidFill>
                          <w14:schemeClr w14:val="tx1"/>
                        </w14:solidFill>
                      </w14:textFill>
                    </w:rPr>
                    <w:t>P计</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1217" w:type="pct"/>
                  <w:vAlign w:val="center"/>
                </w:tcPr>
                <w:p w14:paraId="4D8FE5E0">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32" w:type="pct"/>
                  <w:vAlign w:val="center"/>
                </w:tcPr>
                <w:p w14:paraId="1B5DB31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70</w:t>
                  </w:r>
                </w:p>
              </w:tc>
              <w:tc>
                <w:tcPr>
                  <w:tcW w:w="1102" w:type="pct"/>
                  <w:vAlign w:val="center"/>
                </w:tcPr>
                <w:p w14:paraId="6DD16713">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70</w:t>
                  </w:r>
                </w:p>
              </w:tc>
            </w:tr>
            <w:tr w14:paraId="469B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2FF6171C">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w:t>
                  </w:r>
                </w:p>
              </w:tc>
              <w:tc>
                <w:tcPr>
                  <w:tcW w:w="1084" w:type="pct"/>
                  <w:vAlign w:val="center"/>
                </w:tcPr>
                <w:p w14:paraId="19912B82">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总氮（以</w:t>
                  </w:r>
                  <w:r>
                    <w:rPr>
                      <w:rFonts w:hint="default" w:ascii="Times New Roman" w:hAnsi="Times New Roman" w:eastAsia="宋体" w:cs="Times New Roman"/>
                      <w:color w:val="000000" w:themeColor="text1"/>
                      <w:szCs w:val="21"/>
                      <w:lang w:val="en-US" w:eastAsia="zh-CN"/>
                      <w14:textFill>
                        <w14:solidFill>
                          <w14:schemeClr w14:val="tx1"/>
                        </w14:solidFill>
                      </w14:textFill>
                    </w:rPr>
                    <w:t>N计</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1217" w:type="pct"/>
                  <w:vAlign w:val="center"/>
                </w:tcPr>
                <w:p w14:paraId="71F35BB1">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32" w:type="pct"/>
                  <w:vAlign w:val="center"/>
                </w:tcPr>
                <w:p w14:paraId="229F1883">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w:t>
                  </w:r>
                </w:p>
              </w:tc>
              <w:tc>
                <w:tcPr>
                  <w:tcW w:w="1102" w:type="pct"/>
                  <w:vAlign w:val="center"/>
                </w:tcPr>
                <w:p w14:paraId="0BB56953">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w:t>
                  </w:r>
                </w:p>
              </w:tc>
            </w:tr>
            <w:tr w14:paraId="574B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1C8AF7EB">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13</w:t>
                  </w:r>
                </w:p>
              </w:tc>
              <w:tc>
                <w:tcPr>
                  <w:tcW w:w="1084" w:type="pct"/>
                  <w:vAlign w:val="center"/>
                </w:tcPr>
                <w:p w14:paraId="09FB999C">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总余氯（以</w:t>
                  </w:r>
                  <w:r>
                    <w:rPr>
                      <w:rFonts w:hint="default" w:ascii="Times New Roman" w:hAnsi="Times New Roman" w:eastAsia="宋体" w:cs="Times New Roman"/>
                      <w:color w:val="000000" w:themeColor="text1"/>
                      <w:szCs w:val="21"/>
                      <w:lang w:val="en-US" w:eastAsia="zh-CN"/>
                      <w14:textFill>
                        <w14:solidFill>
                          <w14:schemeClr w14:val="tx1"/>
                        </w14:solidFill>
                      </w14:textFill>
                    </w:rPr>
                    <w:t>Cl</w:t>
                  </w:r>
                  <w:r>
                    <w:rPr>
                      <w:rFonts w:hint="default" w:ascii="Times New Roman" w:hAnsi="Times New Roman" w:eastAsia="宋体"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计</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1217" w:type="pct"/>
                  <w:vAlign w:val="center"/>
                </w:tcPr>
                <w:p w14:paraId="0D66C57E">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332" w:type="pct"/>
                  <w:vAlign w:val="center"/>
                </w:tcPr>
                <w:p w14:paraId="750F429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w:t>
                  </w:r>
                </w:p>
              </w:tc>
              <w:tc>
                <w:tcPr>
                  <w:tcW w:w="1102" w:type="pct"/>
                  <w:vAlign w:val="center"/>
                </w:tcPr>
                <w:p w14:paraId="52005F28">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w:t>
                  </w:r>
                </w:p>
              </w:tc>
            </w:tr>
          </w:tbl>
          <w:p w14:paraId="134C79C9">
            <w:pPr>
              <w:pStyle w:val="18"/>
              <w:pageBreakBefore w:val="0"/>
              <w:kinsoku/>
              <w:overflowPunct/>
              <w:topLinePunct w:val="0"/>
              <w:bidi w:val="0"/>
              <w:adjustRightInd w:val="0"/>
              <w:snapToGrid w:val="0"/>
              <w:spacing w:line="336"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3、噪声</w:t>
            </w:r>
          </w:p>
          <w:p w14:paraId="4515314A">
            <w:pPr>
              <w:pageBreakBefore w:val="0"/>
              <w:kinsoku/>
              <w:overflowPunct/>
              <w:topLinePunct w:val="0"/>
              <w:bidi w:val="0"/>
              <w:adjustRightInd w:val="0"/>
              <w:snapToGrid w:val="0"/>
              <w:spacing w:line="336"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（1）施工期</w:t>
            </w:r>
          </w:p>
          <w:p w14:paraId="6DF7D9F0">
            <w:pPr>
              <w:pageBreakBefore w:val="0"/>
              <w:kinsoku/>
              <w:overflowPunct/>
              <w:topLinePunct w:val="0"/>
              <w:bidi w:val="0"/>
              <w:adjustRightInd w:val="0"/>
              <w:snapToGrid w:val="0"/>
              <w:spacing w:line="336" w:lineRule="auto"/>
              <w:ind w:left="0" w:leftChars="0" w:right="0" w:firstLine="480" w:firstLineChars="200"/>
              <w:jc w:val="left"/>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项目施工期场界噪声执行《</w:t>
            </w:r>
            <w:r>
              <w:rPr>
                <w:rFonts w:hint="default" w:ascii="Times New Roman" w:hAnsi="Times New Roman" w:eastAsia="宋体" w:cs="Times New Roman"/>
                <w:color w:val="000000" w:themeColor="text1"/>
                <w:sz w:val="24"/>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z w:val="24"/>
                <w:lang w:val="en-US" w:eastAsia="zh-CN" w:bidi="ar"/>
                <w14:textFill>
                  <w14:solidFill>
                    <w14:schemeClr w14:val="tx1"/>
                  </w14:solidFill>
                </w14:textFill>
              </w:rPr>
              <w:instrText xml:space="preserve"> HYPERLINK "http://www.baidu.com/link?url=vhwy2vNNemhUFriaVGLYYZ2YcrzsoGZk_J4avJx-QKbnaqAcDJ-jLUZCiToC_BFVGn8doOiCltzIzVihhJVV7QMlVAFhiy2HGozLlbspcK88_6Xn49NjVDpvm2-aUORB" \t "https://www.baidu.com/_blank" </w:instrText>
            </w:r>
            <w:r>
              <w:rPr>
                <w:rFonts w:hint="default" w:ascii="Times New Roman" w:hAnsi="Times New Roman" w:eastAsia="宋体" w:cs="Times New Roman"/>
                <w:color w:val="000000" w:themeColor="text1"/>
                <w:sz w:val="24"/>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z w:val="24"/>
                <w:lang w:val="en-US" w:eastAsia="zh-CN" w:bidi="ar"/>
                <w14:textFill>
                  <w14:solidFill>
                    <w14:schemeClr w14:val="tx1"/>
                  </w14:solidFill>
                </w14:textFill>
              </w:rPr>
              <w:t>建筑施工噪声排放标准</w:t>
            </w:r>
            <w:r>
              <w:rPr>
                <w:rFonts w:hint="default" w:ascii="Times New Roman" w:hAnsi="Times New Roman" w:eastAsia="宋体" w:cs="Times New Roman"/>
                <w:color w:val="000000" w:themeColor="text1"/>
                <w:sz w:val="24"/>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z w:val="24"/>
                <w:lang w:val="en-US" w:eastAsia="zh-CN" w:bidi="ar"/>
                <w14:textFill>
                  <w14:solidFill>
                    <w14:schemeClr w14:val="tx1"/>
                  </w14:solidFill>
                </w14:textFill>
              </w:rPr>
              <w:t>》（GB12523-20</w:t>
            </w:r>
            <w:r>
              <w:rPr>
                <w:rFonts w:hint="eastAsia" w:ascii="Times New Roman" w:hAnsi="Times New Roman" w:eastAsia="宋体" w:cs="Times New Roman"/>
                <w:color w:val="000000" w:themeColor="text1"/>
                <w:sz w:val="24"/>
                <w:lang w:val="en-US" w:eastAsia="zh-CN" w:bidi="ar"/>
                <w14:textFill>
                  <w14:solidFill>
                    <w14:schemeClr w14:val="tx1"/>
                  </w14:solidFill>
                </w14:textFill>
              </w:rPr>
              <w:t>25</w:t>
            </w:r>
            <w:r>
              <w:rPr>
                <w:rFonts w:hint="default" w:ascii="Times New Roman" w:hAnsi="Times New Roman" w:eastAsia="宋体" w:cs="Times New Roman"/>
                <w:color w:val="000000" w:themeColor="text1"/>
                <w:sz w:val="24"/>
                <w:lang w:val="en-US" w:eastAsia="zh-CN" w:bidi="ar"/>
                <w14:textFill>
                  <w14:solidFill>
                    <w14:schemeClr w14:val="tx1"/>
                  </w14:solidFill>
                </w14:textFill>
              </w:rPr>
              <w:t>）标准限值见下表。</w:t>
            </w:r>
          </w:p>
          <w:p w14:paraId="32D66206">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表3-1</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 xml:space="preserve">  建筑施工场界环境噪声排放标准    单位：dB（A）</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1564"/>
              <w:gridCol w:w="1391"/>
              <w:gridCol w:w="3623"/>
            </w:tblGrid>
            <w:tr w14:paraId="7710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Align w:val="center"/>
                </w:tcPr>
                <w:p w14:paraId="704F897B">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环境要素</w:t>
                  </w:r>
                </w:p>
              </w:tc>
              <w:tc>
                <w:tcPr>
                  <w:tcW w:w="1825" w:type="pct"/>
                  <w:gridSpan w:val="2"/>
                  <w:vAlign w:val="center"/>
                </w:tcPr>
                <w:p w14:paraId="4FA2EC28">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标准值</w:t>
                  </w:r>
                </w:p>
              </w:tc>
              <w:tc>
                <w:tcPr>
                  <w:tcW w:w="2238" w:type="pct"/>
                  <w:vAlign w:val="center"/>
                </w:tcPr>
                <w:p w14:paraId="1411B87B">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标准来源</w:t>
                  </w:r>
                </w:p>
              </w:tc>
            </w:tr>
            <w:tr w14:paraId="1652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vAlign w:val="center"/>
                </w:tcPr>
                <w:p w14:paraId="7BBBEB39">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噪声</w:t>
                  </w:r>
                </w:p>
              </w:tc>
              <w:tc>
                <w:tcPr>
                  <w:tcW w:w="966" w:type="pct"/>
                  <w:vAlign w:val="center"/>
                </w:tcPr>
                <w:p w14:paraId="1B4986AE">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昼间</w:t>
                  </w:r>
                </w:p>
              </w:tc>
              <w:tc>
                <w:tcPr>
                  <w:tcW w:w="858" w:type="pct"/>
                  <w:vAlign w:val="center"/>
                </w:tcPr>
                <w:p w14:paraId="58C007D6">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夜间</w:t>
                  </w:r>
                </w:p>
              </w:tc>
              <w:tc>
                <w:tcPr>
                  <w:tcW w:w="2238" w:type="pct"/>
                  <w:vMerge w:val="restart"/>
                  <w:vAlign w:val="center"/>
                </w:tcPr>
                <w:p w14:paraId="17DB6A16">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lang w:eastAsia="zh-CN"/>
                      <w14:textFill>
                        <w14:solidFill>
                          <w14:schemeClr w14:val="tx1"/>
                        </w14:solidFill>
                      </w14:textFill>
                    </w:rPr>
                    <w:t>《</w:t>
                  </w:r>
                  <w:r>
                    <w:rPr>
                      <w:rFonts w:hint="default" w:ascii="Times New Roman" w:hAnsi="Times New Roman" w:eastAsia="宋体" w:cs="Times New Roman"/>
                      <w:bCs/>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lang w:val="en-US" w:eastAsia="zh-CN"/>
                      <w14:textFill>
                        <w14:solidFill>
                          <w14:schemeClr w14:val="tx1"/>
                        </w14:solidFill>
                      </w14:textFill>
                    </w:rPr>
                    <w:instrText xml:space="preserve"> HYPERLINK "http://www.baidu.com/link?url=vhwy2vNNemhUFriaVGLYYZ2YcrzsoGZk_J4avJx-QKbnaqAcDJ-jLUZCiToC_BFVGn8doOiCltzIzVihhJVV7QMlVAFhiy2HGozLlbspcK88_6Xn49NjVDpvm2-aUORB" \t "https://www.baidu.com/_blank" </w:instrText>
                  </w:r>
                  <w:r>
                    <w:rPr>
                      <w:rFonts w:hint="default" w:ascii="Times New Roman" w:hAnsi="Times New Roman" w:eastAsia="宋体" w:cs="Times New Roman"/>
                      <w:bCs/>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bCs/>
                      <w:color w:val="000000" w:themeColor="text1"/>
                      <w:lang w:val="en-US" w:eastAsia="zh-CN"/>
                      <w14:textFill>
                        <w14:solidFill>
                          <w14:schemeClr w14:val="tx1"/>
                        </w14:solidFill>
                      </w14:textFill>
                    </w:rPr>
                    <w:t>建筑施工噪声排放标准</w:t>
                  </w:r>
                  <w:r>
                    <w:rPr>
                      <w:rFonts w:hint="default" w:ascii="Times New Roman" w:hAnsi="Times New Roman" w:eastAsia="宋体" w:cs="Times New Roman"/>
                      <w:bCs/>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14:textFill>
                        <w14:solidFill>
                          <w14:schemeClr w14:val="tx1"/>
                        </w14:solidFill>
                      </w14:textFill>
                    </w:rPr>
                    <w:t>》（</w:t>
                  </w:r>
                  <w:r>
                    <w:rPr>
                      <w:rFonts w:hint="default" w:ascii="Times New Roman" w:hAnsi="Times New Roman" w:eastAsia="宋体" w:cs="Times New Roman"/>
                      <w:bCs/>
                      <w:color w:val="000000" w:themeColor="text1"/>
                      <w:kern w:val="0"/>
                      <w14:textFill>
                        <w14:solidFill>
                          <w14:schemeClr w14:val="tx1"/>
                        </w14:solidFill>
                      </w14:textFill>
                    </w:rPr>
                    <w:t>GB12523</w:t>
                  </w:r>
                  <w:r>
                    <w:rPr>
                      <w:rFonts w:hint="default" w:ascii="Times New Roman" w:hAnsi="Times New Roman" w:eastAsia="宋体" w:cs="Times New Roman"/>
                      <w:bCs/>
                      <w:color w:val="000000" w:themeColor="text1"/>
                      <w:kern w:val="0"/>
                      <w:lang w:val="en-US" w:eastAsia="zh-CN"/>
                      <w14:textFill>
                        <w14:solidFill>
                          <w14:schemeClr w14:val="tx1"/>
                        </w14:solidFill>
                      </w14:textFill>
                    </w:rPr>
                    <w:t>-</w:t>
                  </w:r>
                  <w:r>
                    <w:rPr>
                      <w:rFonts w:hint="default" w:ascii="Times New Roman" w:hAnsi="Times New Roman" w:eastAsia="宋体" w:cs="Times New Roman"/>
                      <w:bCs/>
                      <w:color w:val="000000" w:themeColor="text1"/>
                      <w:kern w:val="0"/>
                      <w14:textFill>
                        <w14:solidFill>
                          <w14:schemeClr w14:val="tx1"/>
                        </w14:solidFill>
                      </w14:textFill>
                    </w:rPr>
                    <w:t>20</w:t>
                  </w:r>
                  <w:r>
                    <w:rPr>
                      <w:rFonts w:hint="eastAsia" w:cs="Times New Roman"/>
                      <w:bCs/>
                      <w:color w:val="000000" w:themeColor="text1"/>
                      <w:kern w:val="0"/>
                      <w:lang w:val="en-US" w:eastAsia="zh-CN"/>
                      <w14:textFill>
                        <w14:solidFill>
                          <w14:schemeClr w14:val="tx1"/>
                        </w14:solidFill>
                      </w14:textFill>
                    </w:rPr>
                    <w:t>25</w:t>
                  </w:r>
                  <w:r>
                    <w:rPr>
                      <w:rFonts w:hint="default" w:ascii="Times New Roman" w:hAnsi="Times New Roman" w:eastAsia="宋体" w:cs="Times New Roman"/>
                      <w:bCs/>
                      <w:color w:val="000000" w:themeColor="text1"/>
                      <w14:textFill>
                        <w14:solidFill>
                          <w14:schemeClr w14:val="tx1"/>
                        </w14:solidFill>
                      </w14:textFill>
                    </w:rPr>
                    <w:t>）表1中排放限值</w:t>
                  </w:r>
                </w:p>
              </w:tc>
            </w:tr>
            <w:tr w14:paraId="22D5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vAlign w:val="center"/>
                </w:tcPr>
                <w:p w14:paraId="1BEDA2E3">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Cs/>
                      <w:color w:val="000000" w:themeColor="text1"/>
                      <w14:textFill>
                        <w14:solidFill>
                          <w14:schemeClr w14:val="tx1"/>
                        </w14:solidFill>
                      </w14:textFill>
                    </w:rPr>
                  </w:pPr>
                </w:p>
              </w:tc>
              <w:tc>
                <w:tcPr>
                  <w:tcW w:w="966" w:type="pct"/>
                  <w:vAlign w:val="center"/>
                </w:tcPr>
                <w:p w14:paraId="44311E11">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70</w:t>
                  </w:r>
                </w:p>
              </w:tc>
              <w:tc>
                <w:tcPr>
                  <w:tcW w:w="858" w:type="pct"/>
                  <w:vAlign w:val="center"/>
                </w:tcPr>
                <w:p w14:paraId="502AC439">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55</w:t>
                  </w:r>
                </w:p>
              </w:tc>
              <w:tc>
                <w:tcPr>
                  <w:tcW w:w="2238" w:type="pct"/>
                  <w:vMerge w:val="continue"/>
                  <w:vAlign w:val="center"/>
                </w:tcPr>
                <w:p w14:paraId="18EBEB58">
                  <w:pPr>
                    <w:pStyle w:val="31"/>
                    <w:pageBreakBefore w:val="0"/>
                    <w:kinsoku/>
                    <w:overflowPunct/>
                    <w:topLinePunct w:val="0"/>
                    <w:bidi w:val="0"/>
                    <w:spacing w:after="0"/>
                    <w:ind w:left="0" w:leftChars="0" w:right="0" w:firstLine="0" w:firstLineChars="0"/>
                    <w:jc w:val="center"/>
                    <w:rPr>
                      <w:rFonts w:hint="default" w:ascii="Times New Roman" w:hAnsi="Times New Roman" w:eastAsia="宋体" w:cs="Times New Roman"/>
                      <w:bCs/>
                      <w:color w:val="000000" w:themeColor="text1"/>
                      <w:sz w:val="24"/>
                      <w14:textFill>
                        <w14:solidFill>
                          <w14:schemeClr w14:val="tx1"/>
                        </w14:solidFill>
                      </w14:textFill>
                    </w:rPr>
                  </w:pPr>
                </w:p>
              </w:tc>
            </w:tr>
          </w:tbl>
          <w:p w14:paraId="2A7BFB33">
            <w:pPr>
              <w:pageBreakBefore w:val="0"/>
              <w:kinsoku/>
              <w:overflowPunct/>
              <w:topLinePunct w:val="0"/>
              <w:bidi w:val="0"/>
              <w:adjustRightInd w:val="0"/>
              <w:snapToGrid w:val="0"/>
              <w:spacing w:line="336"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（2）运营期</w:t>
            </w:r>
          </w:p>
          <w:p w14:paraId="4685D7D5">
            <w:pPr>
              <w:pageBreakBefore w:val="0"/>
              <w:kinsoku/>
              <w:overflowPunct/>
              <w:topLinePunct w:val="0"/>
              <w:bidi w:val="0"/>
              <w:adjustRightInd w:val="0"/>
              <w:snapToGrid w:val="0"/>
              <w:spacing w:line="336" w:lineRule="auto"/>
              <w:ind w:left="0" w:leftChars="0" w:right="0" w:firstLine="48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bidi="ar"/>
                <w14:textFill>
                  <w14:solidFill>
                    <w14:schemeClr w14:val="tx1"/>
                  </w14:solidFill>
                </w14:textFill>
              </w:rPr>
              <w:t>玉溪高新区龙泉片区</w:t>
            </w:r>
            <w:r>
              <w:rPr>
                <w:rStyle w:val="47"/>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属于</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玉溪高新区技术产业开发区</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项目营运期噪声排放执行</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工业企业厂界环境噪声排放标准》（GB12348-2008）</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类标准，标准限值详见</w:t>
            </w:r>
            <w:r>
              <w:rPr>
                <w:rFonts w:hint="default" w:ascii="Times New Roman" w:hAnsi="Times New Roman" w:eastAsia="宋体" w:cs="Times New Roman"/>
                <w:color w:val="000000" w:themeColor="text1"/>
                <w:kern w:val="0"/>
                <w:sz w:val="24"/>
                <w:lang w:eastAsia="zh-CN"/>
                <w14:textFill>
                  <w14:solidFill>
                    <w14:schemeClr w14:val="tx1"/>
                  </w14:solidFill>
                </w14:textFill>
              </w:rPr>
              <w:t>下</w:t>
            </w:r>
            <w:r>
              <w:rPr>
                <w:rFonts w:hint="default" w:ascii="Times New Roman" w:hAnsi="Times New Roman" w:eastAsia="宋体" w:cs="Times New Roman"/>
                <w:color w:val="000000" w:themeColor="text1"/>
                <w:kern w:val="0"/>
                <w:sz w:val="24"/>
                <w14:textFill>
                  <w14:solidFill>
                    <w14:schemeClr w14:val="tx1"/>
                  </w14:solidFill>
                </w14:textFill>
              </w:rPr>
              <w:t>表。</w:t>
            </w:r>
          </w:p>
          <w:p w14:paraId="3757C6D2">
            <w:pPr>
              <w:pStyle w:val="46"/>
              <w:pageBreakBefore w:val="0"/>
              <w:kinsoku/>
              <w:overflowPunct/>
              <w:topLinePunct w:val="0"/>
              <w:bidi w:val="0"/>
              <w:spacing w:before="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表3-1</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 xml:space="preserve">  工业企业厂界环境噪声排放标准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766"/>
              <w:gridCol w:w="2217"/>
            </w:tblGrid>
            <w:tr w14:paraId="1BA0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restart"/>
                  <w:vAlign w:val="center"/>
                </w:tcPr>
                <w:p w14:paraId="1AAFF382">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
                      <w:color w:val="000000" w:themeColor="text1"/>
                      <w:kern w:val="21"/>
                      <w:szCs w:val="21"/>
                      <w14:textFill>
                        <w14:solidFill>
                          <w14:schemeClr w14:val="tx1"/>
                        </w14:solidFill>
                      </w14:textFill>
                    </w:rPr>
                  </w:pPr>
                  <w:r>
                    <w:rPr>
                      <w:rFonts w:hint="default" w:ascii="Times New Roman" w:hAnsi="Times New Roman" w:eastAsia="宋体" w:cs="Times New Roman"/>
                      <w:b/>
                      <w:color w:val="000000" w:themeColor="text1"/>
                      <w:kern w:val="21"/>
                      <w:szCs w:val="21"/>
                      <w14:textFill>
                        <w14:solidFill>
                          <w14:schemeClr w14:val="tx1"/>
                        </w14:solidFill>
                      </w14:textFill>
                    </w:rPr>
                    <w:t>类别</w:t>
                  </w:r>
                </w:p>
              </w:tc>
              <w:tc>
                <w:tcPr>
                  <w:tcW w:w="5176" w:type="dxa"/>
                  <w:gridSpan w:val="2"/>
                  <w:vAlign w:val="center"/>
                </w:tcPr>
                <w:p w14:paraId="4AC1404D">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
                      <w:color w:val="000000" w:themeColor="text1"/>
                      <w:kern w:val="21"/>
                      <w:szCs w:val="21"/>
                      <w14:textFill>
                        <w14:solidFill>
                          <w14:schemeClr w14:val="tx1"/>
                        </w14:solidFill>
                      </w14:textFill>
                    </w:rPr>
                  </w:pPr>
                  <w:r>
                    <w:rPr>
                      <w:rFonts w:hint="default" w:ascii="Times New Roman" w:hAnsi="Times New Roman" w:eastAsia="宋体" w:cs="Times New Roman"/>
                      <w:b/>
                      <w:color w:val="000000" w:themeColor="text1"/>
                      <w:kern w:val="21"/>
                      <w:szCs w:val="21"/>
                      <w14:textFill>
                        <w14:solidFill>
                          <w14:schemeClr w14:val="tx1"/>
                        </w14:solidFill>
                      </w14:textFill>
                    </w:rPr>
                    <w:t>时段</w:t>
                  </w:r>
                </w:p>
              </w:tc>
            </w:tr>
            <w:tr w14:paraId="6FCE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continue"/>
                  <w:vAlign w:val="center"/>
                </w:tcPr>
                <w:p w14:paraId="70051B00">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
                      <w:color w:val="000000" w:themeColor="text1"/>
                      <w:kern w:val="21"/>
                      <w:szCs w:val="21"/>
                      <w14:textFill>
                        <w14:solidFill>
                          <w14:schemeClr w14:val="tx1"/>
                        </w14:solidFill>
                      </w14:textFill>
                    </w:rPr>
                  </w:pPr>
                </w:p>
              </w:tc>
              <w:tc>
                <w:tcPr>
                  <w:tcW w:w="2876" w:type="dxa"/>
                  <w:vAlign w:val="center"/>
                </w:tcPr>
                <w:p w14:paraId="21549725">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
                      <w:color w:val="000000" w:themeColor="text1"/>
                      <w:kern w:val="21"/>
                      <w:szCs w:val="21"/>
                      <w14:textFill>
                        <w14:solidFill>
                          <w14:schemeClr w14:val="tx1"/>
                        </w14:solidFill>
                      </w14:textFill>
                    </w:rPr>
                  </w:pPr>
                  <w:r>
                    <w:rPr>
                      <w:rFonts w:hint="default" w:ascii="Times New Roman" w:hAnsi="Times New Roman" w:eastAsia="宋体" w:cs="Times New Roman"/>
                      <w:b/>
                      <w:color w:val="000000" w:themeColor="text1"/>
                      <w:kern w:val="21"/>
                      <w:szCs w:val="21"/>
                      <w14:textFill>
                        <w14:solidFill>
                          <w14:schemeClr w14:val="tx1"/>
                        </w14:solidFill>
                      </w14:textFill>
                    </w:rPr>
                    <w:t>昼间</w:t>
                  </w:r>
                </w:p>
              </w:tc>
              <w:tc>
                <w:tcPr>
                  <w:tcW w:w="2300" w:type="dxa"/>
                  <w:vAlign w:val="center"/>
                </w:tcPr>
                <w:p w14:paraId="5457F18F">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
                      <w:color w:val="000000" w:themeColor="text1"/>
                      <w:kern w:val="21"/>
                      <w:szCs w:val="21"/>
                      <w14:textFill>
                        <w14:solidFill>
                          <w14:schemeClr w14:val="tx1"/>
                        </w14:solidFill>
                      </w14:textFill>
                    </w:rPr>
                  </w:pPr>
                  <w:r>
                    <w:rPr>
                      <w:rFonts w:hint="default" w:ascii="Times New Roman" w:hAnsi="Times New Roman" w:eastAsia="宋体" w:cs="Times New Roman"/>
                      <w:b/>
                      <w:color w:val="000000" w:themeColor="text1"/>
                      <w:kern w:val="21"/>
                      <w:szCs w:val="21"/>
                      <w14:textFill>
                        <w14:solidFill>
                          <w14:schemeClr w14:val="tx1"/>
                        </w14:solidFill>
                      </w14:textFill>
                    </w:rPr>
                    <w:t>夜间</w:t>
                  </w:r>
                </w:p>
              </w:tc>
            </w:tr>
            <w:tr w14:paraId="2EA2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Align w:val="center"/>
                </w:tcPr>
                <w:p w14:paraId="636BA324">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Cs/>
                      <w:color w:val="000000" w:themeColor="text1"/>
                      <w:kern w:val="21"/>
                      <w:szCs w:val="21"/>
                      <w14:textFill>
                        <w14:solidFill>
                          <w14:schemeClr w14:val="tx1"/>
                        </w14:solidFill>
                      </w14:textFill>
                    </w:rPr>
                  </w:pPr>
                  <w:r>
                    <w:rPr>
                      <w:rFonts w:hint="default" w:ascii="Times New Roman" w:hAnsi="Times New Roman" w:eastAsia="宋体" w:cs="Times New Roman"/>
                      <w:bCs/>
                      <w:color w:val="000000" w:themeColor="text1"/>
                      <w:kern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kern w:val="21"/>
                      <w:szCs w:val="21"/>
                      <w14:textFill>
                        <w14:solidFill>
                          <w14:schemeClr w14:val="tx1"/>
                        </w14:solidFill>
                      </w14:textFill>
                    </w:rPr>
                    <w:t>类</w:t>
                  </w:r>
                </w:p>
              </w:tc>
              <w:tc>
                <w:tcPr>
                  <w:tcW w:w="2876" w:type="dxa"/>
                  <w:vAlign w:val="center"/>
                </w:tcPr>
                <w:p w14:paraId="62295313">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Cs/>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21"/>
                      <w:szCs w:val="21"/>
                      <w:lang w:val="en-US" w:eastAsia="zh-CN"/>
                      <w14:textFill>
                        <w14:solidFill>
                          <w14:schemeClr w14:val="tx1"/>
                        </w14:solidFill>
                      </w14:textFill>
                    </w:rPr>
                    <w:t>65</w:t>
                  </w:r>
                </w:p>
              </w:tc>
              <w:tc>
                <w:tcPr>
                  <w:tcW w:w="2300" w:type="dxa"/>
                  <w:vAlign w:val="center"/>
                </w:tcPr>
                <w:p w14:paraId="2CFDE549">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Cs/>
                      <w:color w:val="000000" w:themeColor="text1"/>
                      <w:kern w:val="21"/>
                      <w:szCs w:val="21"/>
                      <w:lang w:eastAsia="zh-CN"/>
                      <w14:textFill>
                        <w14:solidFill>
                          <w14:schemeClr w14:val="tx1"/>
                        </w14:solidFill>
                      </w14:textFill>
                    </w:rPr>
                  </w:pPr>
                  <w:r>
                    <w:rPr>
                      <w:rFonts w:hint="default" w:ascii="Times New Roman" w:hAnsi="Times New Roman" w:eastAsia="宋体" w:cs="Times New Roman"/>
                      <w:bCs/>
                      <w:color w:val="000000" w:themeColor="text1"/>
                      <w:kern w:val="21"/>
                      <w:szCs w:val="21"/>
                      <w14:textFill>
                        <w14:solidFill>
                          <w14:schemeClr w14:val="tx1"/>
                        </w14:solidFill>
                      </w14:textFill>
                    </w:rPr>
                    <w:t>5</w:t>
                  </w:r>
                  <w:r>
                    <w:rPr>
                      <w:rFonts w:hint="default" w:ascii="Times New Roman" w:hAnsi="Times New Roman" w:eastAsia="宋体" w:cs="Times New Roman"/>
                      <w:bCs/>
                      <w:color w:val="000000" w:themeColor="text1"/>
                      <w:kern w:val="21"/>
                      <w:szCs w:val="21"/>
                      <w:lang w:val="en-US" w:eastAsia="zh-CN"/>
                      <w14:textFill>
                        <w14:solidFill>
                          <w14:schemeClr w14:val="tx1"/>
                        </w14:solidFill>
                      </w14:textFill>
                    </w:rPr>
                    <w:t>5</w:t>
                  </w:r>
                </w:p>
              </w:tc>
            </w:tr>
          </w:tbl>
          <w:p w14:paraId="1B60C4DE">
            <w:pPr>
              <w:pStyle w:val="18"/>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4、固废</w:t>
            </w:r>
          </w:p>
          <w:p w14:paraId="7F5A267E">
            <w:pPr>
              <w:pStyle w:val="18"/>
              <w:pageBreakBefore w:val="0"/>
              <w:kinsoku/>
              <w:overflowPunct/>
              <w:topLinePunct w:val="0"/>
              <w:bidi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一般固体废物按照相关要求妥善处置，项目产生的生产固废执行《一般固 </w:t>
            </w:r>
          </w:p>
          <w:p w14:paraId="674EA12F">
            <w:pPr>
              <w:pStyle w:val="18"/>
              <w:pageBreakBefore w:val="0"/>
              <w:kinsoku/>
              <w:overflowPunct/>
              <w:topLinePunct w:val="0"/>
              <w:bidi w:val="0"/>
              <w:snapToGrid w:val="0"/>
              <w:spacing w:line="360" w:lineRule="auto"/>
              <w:ind w:right="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体废物分类与代码》（GB/T39198-2020）。</w:t>
            </w:r>
          </w:p>
          <w:p w14:paraId="2169C641">
            <w:pPr>
              <w:pStyle w:val="18"/>
              <w:pageBreakBefore w:val="0"/>
              <w:kinsoku/>
              <w:overflowPunct/>
              <w:topLinePunct w:val="0"/>
              <w:bidi w:val="0"/>
              <w:snapToGrid w:val="0"/>
              <w:spacing w:line="360" w:lineRule="auto"/>
              <w:ind w:left="0" w:leftChars="0" w:right="0" w:firstLine="480" w:firstLineChars="200"/>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危险废物按《国家危险废物名录（2025版）》进行分类；危险废物暂存执行《危险废物贮存污染控制标准》（GB18597-2023）；危险废物转移执行《危险废物转移管理办法》（2022.1.1）；危险废物台账执行《危险废物管理计划和管理台账制定技术导则》（JH1259-2022）</w:t>
            </w:r>
            <w:r>
              <w:rPr>
                <w:rFonts w:hint="default" w:ascii="Times New Roman" w:hAnsi="Times New Roman" w:eastAsia="宋体" w:cs="Times New Roman"/>
                <w:color w:val="000000" w:themeColor="text1"/>
                <w:sz w:val="24"/>
                <w:lang w:val="zh-CN"/>
                <w14:textFill>
                  <w14:solidFill>
                    <w14:schemeClr w14:val="tx1"/>
                  </w14:solidFill>
                </w14:textFill>
              </w:rPr>
              <w:t>。</w:t>
            </w:r>
          </w:p>
        </w:tc>
      </w:tr>
      <w:tr w14:paraId="31A8B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728D49D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总量</w:t>
            </w:r>
          </w:p>
          <w:p w14:paraId="6BA2CBEA">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控制</w:t>
            </w:r>
          </w:p>
          <w:p w14:paraId="392A475E">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指标</w:t>
            </w:r>
          </w:p>
        </w:tc>
        <w:tc>
          <w:tcPr>
            <w:tcW w:w="8321" w:type="dxa"/>
            <w:vAlign w:val="center"/>
          </w:tcPr>
          <w:p w14:paraId="50656F1B">
            <w:pPr>
              <w:keepNext w:val="0"/>
              <w:keepLines w:val="0"/>
              <w:pageBreakBefore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本项目的具体情况，结合国家污染物排放总量控制原则，建议本项目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总量控制指标如下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3F404968">
            <w:pPr>
              <w:pageBreakBefore w:val="0"/>
              <w:kinsoku/>
              <w:overflowPunct/>
              <w:topLinePunct w:val="0"/>
              <w:bidi w:val="0"/>
              <w:adjustRightInd w:val="0"/>
              <w:snapToGrid w:val="0"/>
              <w:spacing w:line="348"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1、废气</w:t>
            </w:r>
          </w:p>
          <w:p w14:paraId="5546188D">
            <w:pPr>
              <w:pageBreakBefore w:val="0"/>
              <w:kinsoku/>
              <w:overflowPunct/>
              <w:topLinePunct w:val="0"/>
              <w:bidi w:val="0"/>
              <w:spacing w:line="360" w:lineRule="auto"/>
              <w:ind w:left="0" w:leftChars="0" w:right="0" w:firstLine="484" w:firstLineChars="202"/>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废气：</w:t>
            </w:r>
            <w:r>
              <w:rPr>
                <w:rFonts w:hint="default" w:ascii="Times New Roman" w:hAnsi="Times New Roman" w:eastAsia="宋体" w:cs="Times New Roman"/>
                <w:b w:val="0"/>
                <w:bCs w:val="0"/>
                <w:i w:val="0"/>
                <w:iCs w:val="0"/>
                <w:caps w:val="0"/>
                <w:color w:val="000000" w:themeColor="text1"/>
                <w:spacing w:val="0"/>
                <w:sz w:val="24"/>
                <w:szCs w:val="24"/>
                <w:shd w:val="clear" w:fill="FFFFFF"/>
                <w:lang w:eastAsia="zh-CN"/>
                <w14:textFill>
                  <w14:solidFill>
                    <w14:schemeClr w14:val="tx1"/>
                  </w14:solidFill>
                </w14:textFill>
              </w:rPr>
              <w:t>本项目非甲烷总烃</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废气总量为</w:t>
            </w:r>
            <w:r>
              <w:rPr>
                <w:rFonts w:hint="eastAsia" w:cs="Times New Roman"/>
                <w:b w:val="0"/>
                <w:bCs w:val="0"/>
                <w:color w:val="000000" w:themeColor="text1"/>
                <w:sz w:val="24"/>
                <w:szCs w:val="24"/>
                <w:lang w:val="en-US" w:eastAsia="zh-CN"/>
                <w14:textFill>
                  <w14:solidFill>
                    <w14:schemeClr w14:val="tx1"/>
                  </w14:solidFill>
                </w14:textFill>
              </w:rPr>
              <w:t>21600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/h</w:t>
            </w:r>
            <w:r>
              <w:rPr>
                <w:rFonts w:hint="default" w:ascii="Times New Roman" w:hAnsi="Times New Roman" w:eastAsia="宋体" w:cs="Times New Roman"/>
                <w:b w:val="0"/>
                <w:bCs w:val="0"/>
                <w:i w:val="0"/>
                <w:iCs w:val="0"/>
                <w:caps w:val="0"/>
                <w:color w:val="000000" w:themeColor="text1"/>
                <w:spacing w:val="0"/>
                <w:sz w:val="24"/>
                <w:szCs w:val="24"/>
                <w:shd w:val="clear" w:fill="FFFFFF"/>
                <w:lang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排放量为</w:t>
            </w:r>
            <w:r>
              <w:rPr>
                <w:rFonts w:hint="eastAsia" w:cs="Times New Roman"/>
                <w:b w:val="0"/>
                <w:bCs w:val="0"/>
                <w:color w:val="000000" w:themeColor="text1"/>
                <w:sz w:val="24"/>
                <w:szCs w:val="24"/>
                <w:lang w:val="en-US" w:eastAsia="zh-CN"/>
                <w14:textFill>
                  <w14:solidFill>
                    <w14:schemeClr w14:val="tx1"/>
                  </w14:solidFill>
                </w14:textFill>
              </w:rPr>
              <w:t>1.20404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（其中有组织</w:t>
            </w:r>
            <w:r>
              <w:rPr>
                <w:rFonts w:hint="default" w:ascii="Times New Roman" w:hAnsi="Times New Roman" w:eastAsia="宋体" w:cs="Times New Roman"/>
                <w:b w:val="0"/>
                <w:bCs w:val="0"/>
                <w:i w:val="0"/>
                <w:iCs w:val="0"/>
                <w:caps w:val="0"/>
                <w:color w:val="000000" w:themeColor="text1"/>
                <w:spacing w:val="0"/>
                <w:sz w:val="24"/>
                <w:szCs w:val="24"/>
                <w:shd w:val="clear" w:fill="FFFFFF"/>
                <w:lang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排放量为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0.2</w:t>
            </w:r>
            <w:r>
              <w:rPr>
                <w:rFonts w:hint="eastAsia" w:cs="Times New Roman"/>
                <w:b w:val="0"/>
                <w:bCs w:val="0"/>
                <w:color w:val="000000" w:themeColor="text1"/>
                <w:sz w:val="24"/>
                <w:szCs w:val="24"/>
                <w:lang w:val="en-US" w:eastAsia="zh-CN"/>
                <w14:textFill>
                  <w14:solidFill>
                    <w14:schemeClr w14:val="tx1"/>
                  </w14:solidFill>
                </w14:textFill>
              </w:rPr>
              <w:t>7074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t/a，无组织</w:t>
            </w:r>
            <w:r>
              <w:rPr>
                <w:rFonts w:hint="default" w:ascii="Times New Roman" w:hAnsi="Times New Roman" w:eastAsia="宋体" w:cs="Times New Roman"/>
                <w:b w:val="0"/>
                <w:bCs w:val="0"/>
                <w:i w:val="0"/>
                <w:iCs w:val="0"/>
                <w:caps w:val="0"/>
                <w:color w:val="000000" w:themeColor="text1"/>
                <w:spacing w:val="0"/>
                <w:sz w:val="24"/>
                <w:szCs w:val="24"/>
                <w:shd w:val="clear" w:fill="FFFFFF"/>
                <w:lang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排放量为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eastAsia" w:cs="Times New Roman"/>
                <w:b w:val="0"/>
                <w:bCs w:val="0"/>
                <w:color w:val="000000" w:themeColor="text1"/>
                <w:sz w:val="24"/>
                <w:szCs w:val="24"/>
                <w:lang w:val="en-US" w:eastAsia="zh-CN"/>
                <w14:textFill>
                  <w14:solidFill>
                    <w14:schemeClr w14:val="tx1"/>
                  </w14:solidFill>
                </w14:textFill>
              </w:rPr>
              <w:t>.9333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）；颗粒物排放量为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0.1</w:t>
            </w:r>
            <w:r>
              <w:rPr>
                <w:rFonts w:hint="eastAsia" w:cs="Times New Roman"/>
                <w:b w:val="0"/>
                <w:bCs w:val="0"/>
                <w:color w:val="000000" w:themeColor="text1"/>
                <w:sz w:val="24"/>
                <w:szCs w:val="24"/>
                <w:lang w:val="en-US" w:eastAsia="zh-CN"/>
                <w14:textFill>
                  <w14:solidFill>
                    <w14:schemeClr w14:val="tx1"/>
                  </w14:solidFill>
                </w14:textFill>
              </w:rPr>
              <w:t>245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t/a，二氧化硫排放量为0.</w:t>
            </w:r>
            <w:r>
              <w:rPr>
                <w:rFonts w:hint="eastAsia" w:cs="Times New Roman"/>
                <w:b w:val="0"/>
                <w:bCs w:val="0"/>
                <w:color w:val="000000" w:themeColor="text1"/>
                <w:sz w:val="24"/>
                <w:szCs w:val="24"/>
                <w:lang w:val="en-US" w:eastAsia="zh-CN"/>
                <w14:textFill>
                  <w14:solidFill>
                    <w14:schemeClr w14:val="tx1"/>
                  </w14:solidFill>
                </w14:textFill>
              </w:rPr>
              <w:t>0871t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/a，氮氧化物排放量为</w:t>
            </w:r>
            <w:r>
              <w:rPr>
                <w:rFonts w:hint="eastAsia" w:cs="Times New Roman"/>
                <w:b w:val="0"/>
                <w:bCs w:val="0"/>
                <w:color w:val="000000" w:themeColor="text1"/>
                <w:sz w:val="24"/>
                <w:szCs w:val="24"/>
                <w:lang w:val="en-US" w:eastAsia="zh-CN"/>
                <w14:textFill>
                  <w14:solidFill>
                    <w14:schemeClr w14:val="tx1"/>
                  </w14:solidFill>
                </w14:textFill>
              </w:rPr>
              <w:t>1.3009</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p w14:paraId="62F4CFAB">
            <w:pPr>
              <w:pageBreakBefore w:val="0"/>
              <w:kinsoku/>
              <w:overflowPunct/>
              <w:topLinePunct w:val="0"/>
              <w:bidi w:val="0"/>
              <w:adjustRightInd w:val="0"/>
              <w:snapToGrid w:val="0"/>
              <w:spacing w:line="348"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2、废水</w:t>
            </w:r>
          </w:p>
          <w:p w14:paraId="6D5228AD">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生产</w:t>
            </w:r>
            <w:r>
              <w:rPr>
                <w:rFonts w:hint="default" w:ascii="Times New Roman" w:hAnsi="Times New Roman" w:eastAsia="宋体" w:cs="Times New Roman"/>
                <w:color w:val="000000" w:themeColor="text1"/>
                <w:sz w:val="24"/>
                <w:szCs w:val="24"/>
                <w:lang w:eastAsia="zh-CN"/>
                <w14:textFill>
                  <w14:solidFill>
                    <w14:schemeClr w14:val="tx1"/>
                  </w14:solidFill>
                </w14:textFill>
              </w:rPr>
              <w:t>过程中不产生生产废水，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对印刷设备进行清理时均采用抹布蘸取少量油墨清洗剂对设备进行擦拭，无清洗废水产生。</w:t>
            </w:r>
          </w:p>
          <w:p w14:paraId="7B056590">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近期由于园区污水处理厂暂未正常运行，生活污水经化粪池预处理后进入自建生活污水处理设施处理达《城市污水再生利用 城市杂用水水质》（GB/T18920-2020）中绿化标准后用于厂区周边绿化，</w:t>
            </w:r>
            <w:r>
              <w:rPr>
                <w:rFonts w:hint="eastAsia" w:cs="Times New Roman"/>
                <w:color w:val="000000" w:themeColor="text1"/>
                <w:sz w:val="24"/>
                <w:szCs w:val="24"/>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，留待晴天使用；远期待园区污水处理厂正常运行后，产生的生活污水通过化粪池预处理，达到《污水综合排放标准》（GB8978-1996）表4三级标准及《污水排入城镇下水道水质标准》（GB/T31962-2015）</w:t>
            </w:r>
            <w:r>
              <w:rPr>
                <w:rFonts w:hint="eastAsia" w:cs="Times New Roman"/>
                <w:color w:val="000000" w:themeColor="text1"/>
                <w:sz w:val="24"/>
                <w:szCs w:val="24"/>
                <w:lang w:val="en-US" w:eastAsia="zh-CN"/>
                <w14:textFill>
                  <w14:solidFill>
                    <w14:schemeClr w14:val="tx1"/>
                  </w14:solidFill>
                </w14:textFill>
              </w:rPr>
              <w:t>表1A等级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标准规定的最严标准值后，排入园区市政污水管网，进入园区污水处理厂处理。</w:t>
            </w:r>
          </w:p>
          <w:p w14:paraId="4AD6BB68">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因此</w:t>
            </w:r>
            <w:r>
              <w:rPr>
                <w:rFonts w:hint="default" w:ascii="Times New Roman" w:hAnsi="Times New Roman" w:eastAsia="宋体" w:cs="Times New Roman"/>
                <w:color w:val="000000" w:themeColor="text1"/>
                <w:sz w:val="24"/>
                <w:lang w:eastAsia="zh-CN"/>
                <w14:textFill>
                  <w14:solidFill>
                    <w14:schemeClr w14:val="tx1"/>
                  </w14:solidFill>
                </w14:textFill>
              </w:rPr>
              <w:t>，本项目</w:t>
            </w:r>
            <w:r>
              <w:rPr>
                <w:rFonts w:hint="default" w:ascii="Times New Roman" w:hAnsi="Times New Roman" w:eastAsia="宋体" w:cs="Times New Roman"/>
                <w:color w:val="000000" w:themeColor="text1"/>
                <w:sz w:val="24"/>
                <w14:textFill>
                  <w14:solidFill>
                    <w14:schemeClr w14:val="tx1"/>
                  </w14:solidFill>
                </w14:textFill>
              </w:rPr>
              <w:t>不设总量控制指标</w:t>
            </w:r>
            <w:r>
              <w:rPr>
                <w:rFonts w:hint="default" w:ascii="Times New Roman" w:hAnsi="Times New Roman" w:eastAsia="宋体" w:cs="Times New Roman"/>
                <w:color w:val="000000" w:themeColor="text1"/>
                <w:kern w:val="0"/>
                <w:sz w:val="24"/>
                <w14:textFill>
                  <w14:solidFill>
                    <w14:schemeClr w14:val="tx1"/>
                  </w14:solidFill>
                </w14:textFill>
              </w:rPr>
              <w:t>。</w:t>
            </w:r>
          </w:p>
          <w:p w14:paraId="42CF6547">
            <w:pPr>
              <w:pageBreakBefore w:val="0"/>
              <w:kinsoku/>
              <w:overflowPunct/>
              <w:topLinePunct w:val="0"/>
              <w:bidi w:val="0"/>
              <w:adjustRightInd w:val="0"/>
              <w:snapToGrid w:val="0"/>
              <w:spacing w:line="348"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3、固体废物</w:t>
            </w:r>
          </w:p>
          <w:p w14:paraId="3324621F">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本项目固体废物处置率100%，不设总量控制指标。</w:t>
            </w:r>
          </w:p>
          <w:p w14:paraId="452B0BFA">
            <w:pPr>
              <w:pStyle w:val="2"/>
              <w:pageBreakBefore w:val="0"/>
              <w:kinsoku/>
              <w:overflowPunct/>
              <w:topLinePunct w:val="0"/>
              <w:bidi w:val="0"/>
              <w:spacing w:after="0"/>
              <w:ind w:left="0" w:leftChars="0" w:right="0"/>
              <w:rPr>
                <w:rFonts w:hint="default" w:ascii="Times New Roman" w:hAnsi="Times New Roman" w:eastAsia="宋体" w:cs="Times New Roman"/>
                <w:color w:val="000000" w:themeColor="text1"/>
                <w14:textFill>
                  <w14:solidFill>
                    <w14:schemeClr w14:val="tx1"/>
                  </w14:solidFill>
                </w14:textFill>
              </w:rPr>
            </w:pPr>
          </w:p>
          <w:p w14:paraId="70B7BC0F">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479D46E8">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08BF5BBE">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797FBCD0">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79AE9186">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44562CEA">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7441991C">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1722E8F1">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7A13A2C6">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6B9B49F3">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487A4F1A">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416FC6CE">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7662D903">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4B48AB0C">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21D5B603">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2E382ADB">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3F5A8AE3">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5D7E67DF">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11088E95">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26C64336">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4842C9C8">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7439012A">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1E5AC1CA">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1EE37E8D">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47C9D56C">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19B7A7BA">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70E87C00">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20A7C5DD">
            <w:pPr>
              <w:pStyle w:val="3"/>
              <w:pageBreakBefore w:val="0"/>
              <w:kinsoku/>
              <w:overflowPunct/>
              <w:topLinePunct w:val="0"/>
              <w:bidi w:val="0"/>
              <w:spacing w:before="0" w:after="0"/>
              <w:ind w:left="0" w:leftChars="0" w:right="0"/>
              <w:rPr>
                <w:rFonts w:hint="eastAsia" w:cs="Times New Roman"/>
                <w:color w:val="000000" w:themeColor="text1"/>
                <w:lang w:eastAsia="zh-CN"/>
                <w14:textFill>
                  <w14:solidFill>
                    <w14:schemeClr w14:val="tx1"/>
                  </w14:solidFill>
                </w14:textFill>
              </w:rPr>
            </w:pPr>
          </w:p>
          <w:p w14:paraId="5D727B75">
            <w:pPr>
              <w:pStyle w:val="3"/>
              <w:pageBreakBefore w:val="0"/>
              <w:kinsoku/>
              <w:overflowPunct/>
              <w:topLinePunct w:val="0"/>
              <w:bidi w:val="0"/>
              <w:spacing w:before="0" w:after="0"/>
              <w:ind w:left="0" w:leftChars="0" w:right="0"/>
              <w:rPr>
                <w:rFonts w:hint="eastAsia" w:ascii="Times New Roman" w:hAnsi="Times New Roman" w:eastAsia="宋体" w:cs="Times New Roman"/>
                <w:color w:val="000000" w:themeColor="text1"/>
                <w:lang w:eastAsia="zh-CN"/>
                <w14:textFill>
                  <w14:solidFill>
                    <w14:schemeClr w14:val="tx1"/>
                  </w14:solidFill>
                </w14:textFill>
              </w:rPr>
            </w:pPr>
          </w:p>
          <w:p w14:paraId="294E2E81">
            <w:pPr>
              <w:pageBreakBefore w:val="0"/>
              <w:kinsoku/>
              <w:overflowPunct/>
              <w:topLinePunct w:val="0"/>
              <w:bidi w:val="0"/>
              <w:adjustRightInd w:val="0"/>
              <w:snapToGrid w:val="0"/>
              <w:spacing w:line="348" w:lineRule="auto"/>
              <w:ind w:left="0" w:leftChars="0" w:right="0"/>
              <w:rPr>
                <w:rFonts w:hint="default" w:ascii="Times New Roman" w:hAnsi="Times New Roman" w:eastAsia="宋体" w:cs="Times New Roman"/>
                <w:color w:val="000000" w:themeColor="text1"/>
                <w:sz w:val="24"/>
                <w:lang w:eastAsia="zh-CN"/>
                <w14:textFill>
                  <w14:solidFill>
                    <w14:schemeClr w14:val="tx1"/>
                  </w14:solidFill>
                </w14:textFill>
              </w:rPr>
            </w:pPr>
          </w:p>
        </w:tc>
      </w:tr>
    </w:tbl>
    <w:p w14:paraId="229B4BD0">
      <w:pPr>
        <w:pStyle w:val="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0DF2DF0B">
      <w:pPr>
        <w:pStyle w:val="28"/>
        <w:pageBreakBefore w:val="0"/>
        <w:kinsoku/>
        <w:overflowPunct/>
        <w:topLinePunct w:val="0"/>
        <w:bidi w:val="0"/>
        <w:adjustRightInd w:val="0"/>
        <w:snapToGrid w:val="0"/>
        <w:spacing w:before="0" w:beforeAutospacing="0" w:after="0" w:afterAutospacing="0"/>
        <w:ind w:left="0" w:leftChars="0" w:right="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11" w:name="_Toc32349"/>
      <w:bookmarkStart w:id="12" w:name="_Toc6112"/>
      <w:r>
        <w:rPr>
          <w:rFonts w:hint="default" w:ascii="Times New Roman" w:hAnsi="Times New Roman" w:eastAsia="宋体" w:cs="Times New Roman"/>
          <w:b/>
          <w:bCs/>
          <w:snapToGrid w:val="0"/>
          <w:color w:val="000000" w:themeColor="text1"/>
          <w:sz w:val="30"/>
          <w:szCs w:val="30"/>
          <w14:textFill>
            <w14:solidFill>
              <w14:schemeClr w14:val="tx1"/>
            </w14:solidFill>
          </w14:textFill>
        </w:rPr>
        <w:t>四、主要环境影响和保护措施</w:t>
      </w:r>
      <w:bookmarkEnd w:id="11"/>
      <w:bookmarkEnd w:id="12"/>
    </w:p>
    <w:tbl>
      <w:tblPr>
        <w:tblStyle w:val="3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8291"/>
      </w:tblGrid>
      <w:tr w14:paraId="44D93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dxa"/>
            <w:tcMar>
              <w:left w:w="28" w:type="dxa"/>
              <w:right w:w="28" w:type="dxa"/>
            </w:tcMar>
            <w:vAlign w:val="center"/>
          </w:tcPr>
          <w:p w14:paraId="6F72176D">
            <w:pPr>
              <w:pStyle w:val="28"/>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施工</w:t>
            </w:r>
          </w:p>
          <w:p w14:paraId="68359D08">
            <w:pPr>
              <w:pStyle w:val="28"/>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期环</w:t>
            </w:r>
          </w:p>
          <w:p w14:paraId="72640991">
            <w:pPr>
              <w:pStyle w:val="28"/>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境保</w:t>
            </w:r>
          </w:p>
          <w:p w14:paraId="17A9A124">
            <w:pPr>
              <w:pStyle w:val="28"/>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护措</w:t>
            </w:r>
          </w:p>
          <w:p w14:paraId="76D7ACC4">
            <w:pPr>
              <w:pStyle w:val="28"/>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w:t>
            </w:r>
          </w:p>
        </w:tc>
        <w:tc>
          <w:tcPr>
            <w:tcW w:w="8281" w:type="dxa"/>
            <w:shd w:val="clear" w:color="auto" w:fill="auto"/>
            <w:vAlign w:val="center"/>
          </w:tcPr>
          <w:p w14:paraId="6A5B2952">
            <w:pPr>
              <w:pageBreakBefore w:val="0"/>
              <w:kinsoku/>
              <w:overflowPunct/>
              <w:topLinePunct w:val="0"/>
              <w:bidi w:val="0"/>
              <w:spacing w:line="360" w:lineRule="auto"/>
              <w:ind w:left="0" w:leftChars="0" w:right="0" w:firstLine="480" w:firstLineChars="200"/>
              <w:jc w:val="left"/>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本项目租用现有厂房进行建设，</w:t>
            </w:r>
            <w:r>
              <w:rPr>
                <w:rFonts w:hint="default" w:ascii="Times New Roman" w:hAnsi="Times New Roman" w:eastAsia="宋体" w:cs="Times New Roman"/>
                <w:color w:val="000000" w:themeColor="text1"/>
                <w:kern w:val="0"/>
                <w:sz w:val="24"/>
                <w:lang w:eastAsia="zh-CN"/>
                <w14:textFill>
                  <w14:solidFill>
                    <w14:schemeClr w14:val="tx1"/>
                  </w14:solidFill>
                </w14:textFill>
              </w:rPr>
              <w:t>不涉及地基开挖及土建工程，总体工程量不大，施工</w:t>
            </w:r>
            <w:r>
              <w:rPr>
                <w:rFonts w:hint="default" w:ascii="Times New Roman" w:hAnsi="Times New Roman" w:eastAsia="宋体" w:cs="Times New Roman"/>
                <w:color w:val="000000" w:themeColor="text1"/>
                <w:kern w:val="0"/>
                <w:sz w:val="24"/>
                <w14:textFill>
                  <w14:solidFill>
                    <w14:schemeClr w14:val="tx1"/>
                  </w14:solidFill>
                </w14:textFill>
              </w:rPr>
              <w:t>周期</w:t>
            </w:r>
            <w:r>
              <w:rPr>
                <w:rFonts w:hint="default" w:ascii="Times New Roman" w:hAnsi="Times New Roman" w:eastAsia="宋体" w:cs="Times New Roman"/>
                <w:color w:val="000000" w:themeColor="text1"/>
                <w:kern w:val="0"/>
                <w:sz w:val="24"/>
                <w:lang w:eastAsia="zh-CN"/>
                <w14:textFill>
                  <w14:solidFill>
                    <w14:schemeClr w14:val="tx1"/>
                  </w14:solidFill>
                </w14:textFill>
              </w:rPr>
              <w:t>较短，施工期污染防治措施如下：</w:t>
            </w:r>
          </w:p>
          <w:p w14:paraId="2383DE7E">
            <w:pPr>
              <w:pageBreakBefore w:val="0"/>
              <w:kinsoku/>
              <w:overflowPunct/>
              <w:topLinePunct w:val="0"/>
              <w:bidi w:val="0"/>
              <w:spacing w:line="360" w:lineRule="auto"/>
              <w:ind w:left="0" w:leftChars="0" w:right="0"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w:t>
            </w:r>
            <w:r>
              <w:rPr>
                <w:rFonts w:hint="default" w:ascii="Times New Roman" w:hAnsi="Times New Roman" w:eastAsia="宋体" w:cs="Times New Roman"/>
                <w:b/>
                <w:color w:val="000000" w:themeColor="text1"/>
                <w:kern w:val="24"/>
                <w:sz w:val="24"/>
                <w14:textFill>
                  <w14:solidFill>
                    <w14:schemeClr w14:val="tx1"/>
                  </w14:solidFill>
                </w14:textFill>
              </w:rPr>
              <w:t>施工期大气环境保护措施</w:t>
            </w:r>
          </w:p>
          <w:p w14:paraId="79EC4F4D">
            <w:pPr>
              <w:pStyle w:val="30"/>
              <w:pageBreakBefore w:val="0"/>
              <w:kinsoku/>
              <w:overflowPunct/>
              <w:topLinePunct w:val="0"/>
              <w:bidi w:val="0"/>
              <w:snapToGrid/>
              <w:spacing w:after="0" w:line="360" w:lineRule="auto"/>
              <w:ind w:left="0" w:leftChars="0" w:right="0" w:firstLine="480" w:firstLineChars="200"/>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项目施工过程中废气主要为施工扬尘、运输扬尘以及施工机械尾气，为进一步减小施工扬尘对周围大气环境的影响，环评提出如下对策措施：</w:t>
            </w:r>
          </w:p>
          <w:p w14:paraId="2F06A3E5">
            <w:pPr>
              <w:pStyle w:val="30"/>
              <w:pageBreakBefore w:val="0"/>
              <w:kinsoku/>
              <w:overflowPunct/>
              <w:topLinePunct w:val="0"/>
              <w:bidi w:val="0"/>
              <w:snapToGrid/>
              <w:spacing w:after="0" w:line="360" w:lineRule="auto"/>
              <w:ind w:left="0" w:leftChars="0" w:right="0" w:firstLine="480" w:firstLineChars="200"/>
              <w:rPr>
                <w:rFonts w:hint="default" w:ascii="Times New Roman" w:hAnsi="Times New Roman" w:eastAsia="宋体" w:cs="Times New Roman"/>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①</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根据相关要求，施工过程中需做到</w:t>
            </w:r>
            <w:r>
              <w:rPr>
                <w:rFonts w:hint="eastAsia"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六个百分百</w:t>
            </w:r>
            <w:r>
              <w:rPr>
                <w:rFonts w:hint="eastAsia"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施工工地100％围挡</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散装物料堆放100%覆盖</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出入口车辆100%清洗</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施工现场路面100%硬化</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土方开挖100%湿法作业</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渣土车辆100%密闭运输</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p>
          <w:p w14:paraId="51FBB6BE">
            <w:pPr>
              <w:pStyle w:val="30"/>
              <w:pageBreakBefore w:val="0"/>
              <w:kinsoku/>
              <w:overflowPunct/>
              <w:topLinePunct w:val="0"/>
              <w:bidi w:val="0"/>
              <w:snapToGrid/>
              <w:spacing w:after="0" w:line="360" w:lineRule="auto"/>
              <w:ind w:left="0" w:leftChars="0" w:right="0" w:firstLine="480" w:firstLineChars="200"/>
              <w:rPr>
                <w:rFonts w:hint="default" w:ascii="Times New Roman" w:hAnsi="Times New Roman" w:eastAsia="宋体" w:cs="Times New Roman"/>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②</w:t>
            </w:r>
            <w:r>
              <w:rPr>
                <w:rFonts w:hint="default" w:ascii="Times New Roman" w:hAnsi="Times New Roman" w:eastAsia="宋体" w:cs="Times New Roman"/>
                <w:color w:val="000000" w:themeColor="text1"/>
                <w:sz w:val="24"/>
                <w:lang w:eastAsia="zh-CN"/>
                <w14:textFill>
                  <w14:solidFill>
                    <w14:schemeClr w14:val="tx1"/>
                  </w14:solidFill>
                </w14:textFill>
              </w:rPr>
              <w:t>及时</w:t>
            </w:r>
            <w:r>
              <w:rPr>
                <w:rFonts w:hint="default" w:ascii="Times New Roman" w:hAnsi="Times New Roman" w:eastAsia="宋体" w:cs="Times New Roman"/>
                <w:color w:val="000000" w:themeColor="text1"/>
                <w:sz w:val="24"/>
                <w14:textFill>
                  <w14:solidFill>
                    <w14:schemeClr w14:val="tx1"/>
                  </w14:solidFill>
                </w14:textFill>
              </w:rPr>
              <w:t>对易起尘物料采取防尘网遮盖、定期洒水降尘的抑尘措施</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p>
          <w:p w14:paraId="6179F22B">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③</w:t>
            </w:r>
            <w:r>
              <w:rPr>
                <w:rFonts w:hint="default" w:ascii="Times New Roman" w:hAnsi="Times New Roman" w:eastAsia="宋体" w:cs="Times New Roman"/>
                <w:color w:val="000000" w:themeColor="text1"/>
                <w:sz w:val="24"/>
                <w14:textFill>
                  <w14:solidFill>
                    <w14:schemeClr w14:val="tx1"/>
                  </w14:solidFill>
                </w14:textFill>
              </w:rPr>
              <w:t>应及时处理、清运建筑垃圾、以减少占地，防止粉尘污染，改善施工场地的环境。</w:t>
            </w:r>
          </w:p>
          <w:p w14:paraId="233D674D">
            <w:pPr>
              <w:pStyle w:val="30"/>
              <w:snapToGrid/>
              <w:spacing w:before="0" w:after="0" w:line="360" w:lineRule="auto"/>
              <w:ind w:right="0" w:firstLine="480" w:firstLineChars="200"/>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w:t>
            </w:r>
            <w:r>
              <w:rPr>
                <w:rFonts w:hint="default" w:ascii="Times New Roman" w:hAnsi="Times New Roman" w:eastAsia="宋体" w:cs="Times New Roman"/>
                <w:color w:val="000000" w:themeColor="text1"/>
                <w:sz w:val="24"/>
                <w:szCs w:val="24"/>
                <w14:textFill>
                  <w14:solidFill>
                    <w14:schemeClr w14:val="tx1"/>
                  </w14:solidFill>
                </w14:textFill>
              </w:rPr>
              <w:t>装修使用合格产品，装修完成后加强通风换气</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p>
          <w:p w14:paraId="781A344B">
            <w:pPr>
              <w:pStyle w:val="30"/>
              <w:snapToGrid/>
              <w:spacing w:before="0" w:after="0" w:line="360" w:lineRule="auto"/>
              <w:ind w:right="0" w:firstLine="480" w:firstLineChars="200"/>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⑤</w:t>
            </w:r>
            <w:r>
              <w:rPr>
                <w:rFonts w:hint="default" w:ascii="Times New Roman" w:hAnsi="Times New Roman" w:eastAsia="宋体" w:cs="Times New Roman"/>
                <w:color w:val="000000" w:themeColor="text1"/>
                <w:sz w:val="24"/>
                <w:szCs w:val="24"/>
                <w14:textFill>
                  <w14:solidFill>
                    <w14:schemeClr w14:val="tx1"/>
                  </w14:solidFill>
                </w14:textFill>
              </w:rPr>
              <w:t>运输车辆使用篷布严密遮盖，严禁在装运过程中沿途抛、洒、滴、漏</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 xml:space="preserve"> </w:t>
            </w:r>
          </w:p>
          <w:p w14:paraId="5D509139">
            <w:pPr>
              <w:pStyle w:val="30"/>
              <w:pageBreakBefore w:val="0"/>
              <w:kinsoku/>
              <w:overflowPunct/>
              <w:topLinePunct w:val="0"/>
              <w:bidi w:val="0"/>
              <w:snapToGrid/>
              <w:spacing w:after="0" w:line="360" w:lineRule="auto"/>
              <w:ind w:left="0" w:leftChars="0" w:right="0" w:firstLine="480" w:firstLineChars="200"/>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施工期大气污染防治措施可行性分析：根据类似项目及实践经验，上述大气污染防治措施技术比较成熟、简单有效，故采取的措施是可行的。</w:t>
            </w:r>
          </w:p>
          <w:p w14:paraId="10FF0C6B">
            <w:pPr>
              <w:pStyle w:val="30"/>
              <w:pageBreakBefore w:val="0"/>
              <w:kinsoku/>
              <w:overflowPunct/>
              <w:topLinePunct w:val="0"/>
              <w:bidi w:val="0"/>
              <w:snapToGrid/>
              <w:spacing w:after="0"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w:t>
            </w:r>
            <w:r>
              <w:rPr>
                <w:rFonts w:hint="default" w:ascii="Times New Roman" w:hAnsi="Times New Roman" w:eastAsia="宋体" w:cs="Times New Roman"/>
                <w:b/>
                <w:color w:val="000000" w:themeColor="text1"/>
                <w:kern w:val="24"/>
                <w:sz w:val="24"/>
                <w14:textFill>
                  <w14:solidFill>
                    <w14:schemeClr w14:val="tx1"/>
                  </w14:solidFill>
                </w14:textFill>
              </w:rPr>
              <w:t>施工期废水环境保护措施</w:t>
            </w:r>
          </w:p>
          <w:p w14:paraId="7E99090F">
            <w:pPr>
              <w:pStyle w:val="45"/>
              <w:pageBreakBefore w:val="0"/>
              <w:kinsoku/>
              <w:overflowPunct/>
              <w:topLinePunct w:val="0"/>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项目施工期产生的污水主要为生活污水及施工污水。具体水污染防治措施如下：</w:t>
            </w:r>
          </w:p>
          <w:p w14:paraId="4707E5F0">
            <w:pPr>
              <w:pStyle w:val="48"/>
              <w:adjustRightInd/>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①施工场地内设置临时沉淀池，施工废水进临时</w:t>
            </w:r>
            <w:r>
              <w:rPr>
                <w:rFonts w:hint="default" w:ascii="Times New Roman" w:hAnsi="Times New Roman" w:eastAsia="宋体" w:cs="Times New Roman"/>
                <w:color w:val="000000" w:themeColor="text1"/>
                <w:lang w:val="en-US" w:eastAsia="zh-CN"/>
                <w14:textFill>
                  <w14:solidFill>
                    <w14:schemeClr w14:val="tx1"/>
                  </w14:solidFill>
                </w14:textFill>
              </w:rPr>
              <w:t>0.5m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沉淀池中沉淀处理，临时沉淀后的废水尽量用于场地洒水，不外排。</w:t>
            </w:r>
          </w:p>
          <w:p w14:paraId="190C0AC8">
            <w:pPr>
              <w:pStyle w:val="48"/>
              <w:adjustRightInd/>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②施工人员均来自城区及周边村庄，不在项目区食宿，施工期厕所依托周边使用。</w:t>
            </w:r>
          </w:p>
          <w:p w14:paraId="648F9027">
            <w:pPr>
              <w:pStyle w:val="48"/>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施工期地表水污染防治措施可行性分析：根据类似项目及实践经验，上述地表水污染防治措施技术比较成熟、简单有效，故采取的措施是可行的。</w:t>
            </w:r>
          </w:p>
          <w:p w14:paraId="1C12F21D">
            <w:pPr>
              <w:pStyle w:val="7"/>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r>
              <w:rPr>
                <w:rFonts w:hint="default" w:ascii="Times New Roman" w:hAnsi="Times New Roman" w:eastAsia="宋体" w:cs="Times New Roman"/>
                <w:color w:val="000000" w:themeColor="text1"/>
                <w:kern w:val="24"/>
                <w14:textFill>
                  <w14:solidFill>
                    <w14:schemeClr w14:val="tx1"/>
                  </w14:solidFill>
                </w14:textFill>
              </w:rPr>
              <w:t>施工期噪声环境保护措施</w:t>
            </w:r>
          </w:p>
          <w:p w14:paraId="1DF40D4E">
            <w:pPr>
              <w:pStyle w:val="48"/>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施工噪声主要来源于施工机械和运输车辆产生的噪声和振动，在不同施工阶段，由于施工机械的数量、构成动作等的随机性，导致了噪声产生的随机性和无规律性，施工期间噪声成无组织、不连续释放；车辆运输中产生的噪声与车辆发动机有关，更具有不规律性，为无组织、不连续释放。根据项目特点，提出以下治理措施和要求：</w:t>
            </w:r>
          </w:p>
          <w:p w14:paraId="0A45871A">
            <w:pPr>
              <w:pStyle w:val="48"/>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①科学合理地安排施工步骤，优化施工方式，尽量减短噪声持续排放的时间；</w:t>
            </w:r>
          </w:p>
          <w:p w14:paraId="2BA0DD45">
            <w:pPr>
              <w:pStyle w:val="48"/>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lang w:eastAsia="zh-CN"/>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②采用低噪声施工工艺；并合理布置施工作业面、合理安排施工时间；在施工机械设备与基础或连接部位之间采用减震措施，可减少动量，降低噪声</w:t>
            </w:r>
            <w:r>
              <w:rPr>
                <w:rFonts w:hint="default" w:ascii="Times New Roman" w:hAnsi="Times New Roman" w:eastAsia="宋体" w:cs="Times New Roman"/>
                <w:color w:val="000000" w:themeColor="text1"/>
                <w:kern w:val="24"/>
                <w:lang w:eastAsia="zh-CN"/>
                <w14:textFill>
                  <w14:solidFill>
                    <w14:schemeClr w14:val="tx1"/>
                  </w14:solidFill>
                </w14:textFill>
              </w:rPr>
              <w:t>；</w:t>
            </w:r>
          </w:p>
          <w:p w14:paraId="5CF07466">
            <w:pPr>
              <w:pStyle w:val="48"/>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③项目还应该加强对施工人员的管理，做到文明施工，避免人为噪声的产生；</w:t>
            </w:r>
          </w:p>
          <w:p w14:paraId="0CE73391">
            <w:pPr>
              <w:pStyle w:val="48"/>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④施工场地的施工车辆出入现场时应限速、禁鸣；文明施工，避免因施工噪声产生纠纷。</w:t>
            </w:r>
          </w:p>
          <w:p w14:paraId="1F5C9118">
            <w:pPr>
              <w:pStyle w:val="48"/>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施工期噪声污染防治措施可行性分析：以上采取防治措施技术比较成熟、简单有效，</w:t>
            </w:r>
            <w:r>
              <w:rPr>
                <w:rFonts w:hint="default" w:ascii="Times New Roman" w:hAnsi="Times New Roman" w:eastAsia="宋体" w:cs="Times New Roman"/>
                <w:color w:val="000000" w:themeColor="text1"/>
                <w14:textFill>
                  <w14:solidFill>
                    <w14:schemeClr w14:val="tx1"/>
                  </w14:solidFill>
                </w14:textFill>
              </w:rPr>
              <w:t>故采取的措施是可行的</w:t>
            </w:r>
            <w:r>
              <w:rPr>
                <w:rFonts w:hint="default" w:ascii="Times New Roman" w:hAnsi="Times New Roman" w:eastAsia="宋体" w:cs="Times New Roman"/>
                <w:color w:val="000000" w:themeColor="text1"/>
                <w:kern w:val="24"/>
                <w14:textFill>
                  <w14:solidFill>
                    <w14:schemeClr w14:val="tx1"/>
                  </w14:solidFill>
                </w14:textFill>
              </w:rPr>
              <w:t>。</w:t>
            </w:r>
          </w:p>
          <w:p w14:paraId="33E122D4">
            <w:pPr>
              <w:pStyle w:val="7"/>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r>
              <w:rPr>
                <w:rFonts w:hint="default" w:ascii="Times New Roman" w:hAnsi="Times New Roman" w:eastAsia="宋体" w:cs="Times New Roman"/>
                <w:color w:val="000000" w:themeColor="text1"/>
                <w:kern w:val="24"/>
                <w14:textFill>
                  <w14:solidFill>
                    <w14:schemeClr w14:val="tx1"/>
                  </w14:solidFill>
                </w14:textFill>
              </w:rPr>
              <w:t>施工期固体废物环境保护措施</w:t>
            </w:r>
          </w:p>
          <w:p w14:paraId="214ABFD2">
            <w:pPr>
              <w:pStyle w:val="45"/>
              <w:ind w:firstLine="48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针对施工期固体废物要求采取如下措施：</w:t>
            </w:r>
          </w:p>
          <w:p w14:paraId="019ED339">
            <w:pPr>
              <w:pStyle w:val="28"/>
              <w:keepLines/>
              <w:pageBreakBefore w:val="0"/>
              <w:widowControl w:val="0"/>
              <w:tabs>
                <w:tab w:val="left" w:pos="4830"/>
              </w:tabs>
              <w:kinsoku/>
              <w:overflowPunct/>
              <w:topLinePunct w:val="0"/>
              <w:bidi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①装修垃圾、建筑垃圾分类集中堆存，能回收利用的部分交回收商进行收购处置；不能回收利用的建筑垃圾，运至住建部门指定地点堆放。建筑垃圾严格处置，禁止与生活垃圾混合处置，禁止随意丢弃；</w:t>
            </w:r>
          </w:p>
          <w:p w14:paraId="3DCC9FFC">
            <w:pPr>
              <w:pStyle w:val="28"/>
              <w:keepLines/>
              <w:pageBreakBefore w:val="0"/>
              <w:widowControl w:val="0"/>
              <w:tabs>
                <w:tab w:val="left" w:pos="4830"/>
              </w:tabs>
              <w:kinsoku/>
              <w:overflowPunct/>
              <w:topLinePunct w:val="0"/>
              <w:bidi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②施工场地内设置垃圾桶，废包装物、施工人员生活垃圾收集于垃圾桶中，定期清运妥善处理。</w:t>
            </w:r>
          </w:p>
          <w:p w14:paraId="177F46BA">
            <w:pPr>
              <w:pStyle w:val="48"/>
              <w:pageBreakBefore w:val="0"/>
              <w:kinsoku/>
              <w:overflowPunct/>
              <w:topLinePunct w:val="0"/>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施工期固体污染防治措施可行性分析：项目施工期产生的固体废弃物较少，且项目区设置有相应固体废弃物收集措施，可做到固体废弃物处置率100%，</w:t>
            </w:r>
            <w:r>
              <w:rPr>
                <w:rFonts w:hint="default" w:ascii="Times New Roman" w:hAnsi="Times New Roman" w:eastAsia="宋体" w:cs="Times New Roman"/>
                <w:color w:val="000000" w:themeColor="text1"/>
                <w14:textFill>
                  <w14:solidFill>
                    <w14:schemeClr w14:val="tx1"/>
                  </w14:solidFill>
                </w14:textFill>
              </w:rPr>
              <w:t>故采取的措施</w:t>
            </w:r>
            <w:r>
              <w:rPr>
                <w:rFonts w:hint="default" w:ascii="Times New Roman" w:hAnsi="Times New Roman" w:eastAsia="宋体" w:cs="Times New Roman"/>
                <w:color w:val="000000" w:themeColor="text1"/>
                <w:kern w:val="0"/>
                <w:szCs w:val="20"/>
                <w14:textFill>
                  <w14:solidFill>
                    <w14:schemeClr w14:val="tx1"/>
                  </w14:solidFill>
                </w14:textFill>
              </w:rPr>
              <w:t>是可</w:t>
            </w:r>
            <w:r>
              <w:rPr>
                <w:rFonts w:hint="default" w:ascii="Times New Roman" w:hAnsi="Times New Roman" w:eastAsia="宋体" w:cs="Times New Roman"/>
                <w:color w:val="000000" w:themeColor="text1"/>
                <w14:textFill>
                  <w14:solidFill>
                    <w14:schemeClr w14:val="tx1"/>
                  </w14:solidFill>
                </w14:textFill>
              </w:rPr>
              <w:t>行的</w:t>
            </w:r>
            <w:r>
              <w:rPr>
                <w:rFonts w:hint="default" w:ascii="Times New Roman" w:hAnsi="Times New Roman" w:eastAsia="宋体" w:cs="Times New Roman"/>
                <w:color w:val="000000" w:themeColor="text1"/>
                <w:kern w:val="24"/>
                <w14:textFill>
                  <w14:solidFill>
                    <w14:schemeClr w14:val="tx1"/>
                  </w14:solidFill>
                </w14:textFill>
              </w:rPr>
              <w:t>。</w:t>
            </w:r>
          </w:p>
          <w:p w14:paraId="6AB6CCB4">
            <w:pPr>
              <w:pStyle w:val="48"/>
              <w:pageBreakBefore w:val="0"/>
              <w:kinsoku/>
              <w:overflowPunct/>
              <w:topLinePunct w:val="0"/>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p>
          <w:p w14:paraId="0C995B19">
            <w:pPr>
              <w:pStyle w:val="48"/>
              <w:pageBreakBefore w:val="0"/>
              <w:kinsoku/>
              <w:overflowPunct/>
              <w:topLinePunct w:val="0"/>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p>
          <w:p w14:paraId="647C2D9B">
            <w:pPr>
              <w:pStyle w:val="48"/>
              <w:pageBreakBefore w:val="0"/>
              <w:kinsoku/>
              <w:overflowPunct/>
              <w:topLinePunct w:val="0"/>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p>
          <w:p w14:paraId="7D1027B4">
            <w:pPr>
              <w:pStyle w:val="48"/>
              <w:pageBreakBefore w:val="0"/>
              <w:kinsoku/>
              <w:overflowPunct/>
              <w:topLinePunct w:val="0"/>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p>
          <w:p w14:paraId="08683F93">
            <w:pPr>
              <w:pStyle w:val="48"/>
              <w:pageBreakBefore w:val="0"/>
              <w:kinsoku/>
              <w:overflowPunct/>
              <w:topLinePunct w:val="0"/>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p>
          <w:p w14:paraId="0F91C57B">
            <w:pPr>
              <w:pStyle w:val="48"/>
              <w:pageBreakBefore w:val="0"/>
              <w:kinsoku/>
              <w:overflowPunct/>
              <w:topLinePunct w:val="0"/>
              <w:autoSpaceDE/>
              <w:autoSpaceDN/>
              <w:bidi w:val="0"/>
              <w:adjustRightInd/>
              <w:spacing w:line="360" w:lineRule="auto"/>
              <w:ind w:left="0" w:leftChars="0" w:right="0" w:firstLine="440" w:firstLineChars="200"/>
              <w:rPr>
                <w:rFonts w:hint="default" w:ascii="Times New Roman" w:hAnsi="Times New Roman" w:eastAsia="宋体" w:cs="Times New Roman"/>
                <w:bCs/>
                <w:color w:val="000000" w:themeColor="text1"/>
                <w:spacing w:val="-10"/>
                <w:kern w:val="2"/>
                <w:sz w:val="24"/>
                <w:szCs w:val="21"/>
                <w:lang w:val="en-US" w:eastAsia="zh-CN" w:bidi="ar-SA"/>
                <w14:textFill>
                  <w14:solidFill>
                    <w14:schemeClr w14:val="tx1"/>
                  </w14:solidFill>
                </w14:textFill>
              </w:rPr>
            </w:pPr>
          </w:p>
        </w:tc>
      </w:tr>
      <w:tr w14:paraId="7907D3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6" w:hRule="atLeast"/>
          <w:jc w:val="center"/>
        </w:trPr>
        <w:tc>
          <w:tcPr>
            <w:tcW w:w="700" w:type="dxa"/>
            <w:tcMar>
              <w:left w:w="28" w:type="dxa"/>
              <w:right w:w="28" w:type="dxa"/>
            </w:tcMar>
            <w:vAlign w:val="center"/>
          </w:tcPr>
          <w:p w14:paraId="2F4CBC50">
            <w:pPr>
              <w:keepNext w:val="0"/>
              <w:keepLines w:val="0"/>
              <w:pageBreakBefore w:val="0"/>
              <w:widowControl w:val="0"/>
              <w:kinsoku/>
              <w:wordWrap w:val="0"/>
              <w:overflowPunct/>
              <w:topLinePunct/>
              <w:autoSpaceDE/>
              <w:autoSpaceDN/>
              <w:bidi w:val="0"/>
              <w:adjustRightInd w:val="0"/>
              <w:snapToGrid w:val="0"/>
              <w:ind w:left="0" w:leftChars="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运营</w:t>
            </w:r>
          </w:p>
          <w:p w14:paraId="4A6B6704">
            <w:pPr>
              <w:keepNext w:val="0"/>
              <w:keepLines w:val="0"/>
              <w:pageBreakBefore w:val="0"/>
              <w:widowControl w:val="0"/>
              <w:kinsoku/>
              <w:wordWrap w:val="0"/>
              <w:overflowPunct/>
              <w:topLinePunct/>
              <w:autoSpaceDE/>
              <w:autoSpaceDN/>
              <w:bidi w:val="0"/>
              <w:adjustRightInd w:val="0"/>
              <w:snapToGrid w:val="0"/>
              <w:ind w:left="0" w:leftChars="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期环</w:t>
            </w:r>
          </w:p>
          <w:p w14:paraId="58805ED7">
            <w:pPr>
              <w:keepNext w:val="0"/>
              <w:keepLines w:val="0"/>
              <w:pageBreakBefore w:val="0"/>
              <w:widowControl w:val="0"/>
              <w:kinsoku/>
              <w:wordWrap w:val="0"/>
              <w:overflowPunct/>
              <w:topLinePunct/>
              <w:autoSpaceDE/>
              <w:autoSpaceDN/>
              <w:bidi w:val="0"/>
              <w:adjustRightInd w:val="0"/>
              <w:snapToGrid w:val="0"/>
              <w:ind w:left="0" w:leftChars="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境影</w:t>
            </w:r>
          </w:p>
          <w:p w14:paraId="3C962142">
            <w:pPr>
              <w:keepNext w:val="0"/>
              <w:keepLines w:val="0"/>
              <w:pageBreakBefore w:val="0"/>
              <w:widowControl w:val="0"/>
              <w:kinsoku/>
              <w:wordWrap w:val="0"/>
              <w:overflowPunct/>
              <w:topLinePunct/>
              <w:autoSpaceDE/>
              <w:autoSpaceDN/>
              <w:bidi w:val="0"/>
              <w:adjustRightInd w:val="0"/>
              <w:snapToGrid w:val="0"/>
              <w:ind w:left="0" w:leftChars="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响和</w:t>
            </w:r>
          </w:p>
          <w:p w14:paraId="7591F1F5">
            <w:pPr>
              <w:keepNext w:val="0"/>
              <w:keepLines w:val="0"/>
              <w:pageBreakBefore w:val="0"/>
              <w:widowControl w:val="0"/>
              <w:kinsoku/>
              <w:wordWrap w:val="0"/>
              <w:overflowPunct/>
              <w:topLinePunct/>
              <w:autoSpaceDE/>
              <w:autoSpaceDN/>
              <w:bidi w:val="0"/>
              <w:adjustRightInd w:val="0"/>
              <w:snapToGrid w:val="0"/>
              <w:ind w:left="0" w:leftChars="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保护</w:t>
            </w:r>
          </w:p>
          <w:p w14:paraId="0DE68712">
            <w:pPr>
              <w:pStyle w:val="28"/>
              <w:keepNext w:val="0"/>
              <w:keepLines w:val="0"/>
              <w:pageBreakBefore w:val="0"/>
              <w:widowControl w:val="0"/>
              <w:kinsoku/>
              <w:wordWrap w:val="0"/>
              <w:overflowPunct/>
              <w:topLinePunct/>
              <w:autoSpaceDE/>
              <w:autoSpaceDN/>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措施</w:t>
            </w:r>
          </w:p>
        </w:tc>
        <w:tc>
          <w:tcPr>
            <w:tcW w:w="8281" w:type="dxa"/>
            <w:shd w:val="clear" w:color="auto" w:fill="auto"/>
            <w:vAlign w:val="center"/>
          </w:tcPr>
          <w:p w14:paraId="777CEE35">
            <w:pPr>
              <w:keepNext w:val="0"/>
              <w:keepLines w:val="0"/>
              <w:pageBreakBefore w:val="0"/>
              <w:widowControl w:val="0"/>
              <w:kinsoku/>
              <w:wordWrap w:val="0"/>
              <w:overflowPunct/>
              <w:topLinePunct/>
              <w:autoSpaceDE/>
              <w:autoSpaceDN/>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14:textFill>
                  <w14:solidFill>
                    <w14:schemeClr w14:val="tx1"/>
                  </w14:solidFill>
                </w14:textFill>
              </w:rPr>
              <w:t>废气环境影响</w:t>
            </w:r>
          </w:p>
          <w:p w14:paraId="09985D47">
            <w:pPr>
              <w:pStyle w:val="18"/>
              <w:keepNext w:val="0"/>
              <w:keepLines w:val="0"/>
              <w:pageBreakBefore w:val="0"/>
              <w:widowControl w:val="0"/>
              <w:kinsoku/>
              <w:wordWrap w:val="0"/>
              <w:overflowPunct/>
              <w:topLinePunct/>
              <w:autoSpaceDE/>
              <w:autoSpaceDN/>
              <w:bidi w:val="0"/>
              <w:adjustRightInd w:val="0"/>
              <w:snapToGrid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废气产排情况</w:t>
            </w:r>
          </w:p>
          <w:p w14:paraId="3DD363BD">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企业主要废气产生工序为溶剂间废气、印刷工序印刷废气、复合工序复合废气、熟化工序熟化废气、制袋工序制袋废气。</w:t>
            </w:r>
          </w:p>
          <w:p w14:paraId="3E8868C1">
            <w:pPr>
              <w:pStyle w:val="45"/>
              <w:keepNext w:val="0"/>
              <w:keepLines w:val="0"/>
              <w:pageBreakBefore w:val="0"/>
              <w:widowControl w:val="0"/>
              <w:kinsoku/>
              <w:wordWrap w:val="0"/>
              <w:overflowPunct/>
              <w:topLinePunct/>
              <w:autoSpaceDE/>
              <w:autoSpaceDN/>
              <w:bidi w:val="0"/>
              <w:adjustRightInd/>
              <w:snapToGrid/>
              <w:ind w:left="0" w:leftChars="0" w:right="0"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油墨中可挥发性有机化合物VOCs含量的限值》中附录A，苯、甲苯、乙苯等物质属于油墨中不应人为添加的溶剂。根据工程分析，本项目使用油墨中成分主要为甲基环乙烷、乙酸正丙酯、异丙醇、乙酸乙酯等链式物质混合，油墨成分中不涉及人为添加苯、甲苯、乙苯等物质。</w:t>
            </w:r>
          </w:p>
          <w:p w14:paraId="1593C09F">
            <w:pPr>
              <w:pStyle w:val="45"/>
              <w:keepNext w:val="0"/>
              <w:keepLines w:val="0"/>
              <w:pageBreakBefore w:val="0"/>
              <w:widowControl w:val="0"/>
              <w:kinsoku/>
              <w:wordWrap w:val="0"/>
              <w:overflowPunct/>
              <w:topLinePunct/>
              <w:autoSpaceDE/>
              <w:autoSpaceDN/>
              <w:bidi w:val="0"/>
              <w:adjustRightInd/>
              <w:snapToGrid/>
              <w:ind w:left="0" w:leftChars="0" w:right="0"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但由于部分物质分子式与苯接近，在油墨生产、使用等过程中可能存在少量物质由于链式不稳定，油墨会产生苯杂质，油墨可能会含有极少量苯及其苯系物等杂质成分。</w:t>
            </w:r>
          </w:p>
          <w:p w14:paraId="20BBF4C7">
            <w:pPr>
              <w:pStyle w:val="45"/>
              <w:keepNext w:val="0"/>
              <w:keepLines w:val="0"/>
              <w:pageBreakBefore w:val="0"/>
              <w:widowControl w:val="0"/>
              <w:kinsoku/>
              <w:wordWrap w:val="0"/>
              <w:overflowPunct/>
              <w:topLinePunct/>
              <w:autoSpaceDE/>
              <w:autoSpaceDN/>
              <w:bidi w:val="0"/>
              <w:adjustRightInd/>
              <w:snapToGrid/>
              <w:ind w:left="0" w:leftChars="0" w:right="0"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本项目使用油墨中可能含有极少量苯及其苯系物，由于油墨中苯及其苯系物为杂质成分且成分极少，故本次仅定性分析。</w:t>
            </w:r>
          </w:p>
          <w:p w14:paraId="2E242BB7">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1）有组织废气</w:t>
            </w:r>
          </w:p>
          <w:p w14:paraId="3A93870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①</w:t>
            </w:r>
            <w:r>
              <w:rPr>
                <w:rFonts w:hint="default" w:ascii="Times New Roman" w:hAnsi="Times New Roman" w:eastAsia="宋体" w:cs="Times New Roman"/>
                <w:b/>
                <w:bCs/>
                <w:color w:val="000000" w:themeColor="text1"/>
                <w:lang w:eastAsia="zh-CN"/>
                <w14:textFill>
                  <w14:solidFill>
                    <w14:schemeClr w14:val="tx1"/>
                  </w14:solidFill>
                </w14:textFill>
              </w:rPr>
              <w:t>印刷废气</w:t>
            </w:r>
          </w:p>
          <w:p w14:paraId="4C42F2D4">
            <w:pPr>
              <w:pStyle w:val="45"/>
              <w:keepNext w:val="0"/>
              <w:keepLines w:val="0"/>
              <w:pageBreakBefore w:val="0"/>
              <w:widowControl w:val="0"/>
              <w:kinsoku/>
              <w:wordWrap w:val="0"/>
              <w:overflowPunct/>
              <w:topLinePunct/>
              <w:autoSpaceDE/>
              <w:autoSpaceDN/>
              <w:bidi w:val="0"/>
              <w:adjustRightInd/>
              <w:snapToGrid/>
              <w:ind w:left="0" w:leftChars="0" w:right="0"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根据《油墨中可挥发性有机化合物（VOCs）含量的测定方法》（GB/T38608-2020）附录 A 关于油墨中 VOCs 含量的测定方法的原理表述</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称取一定量的油墨使其规定或商定的温度加热至恒重，扣除水分含量后，其损失的质量为挥发性有机化合物的量</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。因此，可认为项目油墨 VOCs测定报告中所测定的挥发性有机化合物（VOCs）含量为项目油墨实际使用阶段的有机物挥发量。</w:t>
            </w:r>
          </w:p>
          <w:p w14:paraId="1F4B135D">
            <w:pPr>
              <w:pStyle w:val="45"/>
              <w:keepNext w:val="0"/>
              <w:keepLines w:val="0"/>
              <w:pageBreakBefore w:val="0"/>
              <w:widowControl w:val="0"/>
              <w:kinsoku/>
              <w:wordWrap w:val="0"/>
              <w:overflowPunct/>
              <w:topLinePunct/>
              <w:autoSpaceDE/>
              <w:autoSpaceDN/>
              <w:bidi w:val="0"/>
              <w:adjustRightInd/>
              <w:snapToGrid/>
              <w:ind w:left="0" w:leftChars="0" w:right="0"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建设单位提供浙江瑞康油墨有限公司凹版油墨《化学品安全技术说明书》中成分组成，挥发性有机化合物（甲基环乙烷、乙酸正丙酯、异丙醇、乙酸乙酯等）含量为63%（以非甲烷总烃计），填充料为17%，颜料粉为20%。本项目采用稀释剂主要为乙酸正丙酯，稀释剂挥发性有机物含量以100%计。</w:t>
            </w:r>
          </w:p>
          <w:p w14:paraId="2DA53782">
            <w:pPr>
              <w:pStyle w:val="45"/>
              <w:keepNext w:val="0"/>
              <w:keepLines w:val="0"/>
              <w:pageBreakBefore w:val="0"/>
              <w:widowControl w:val="0"/>
              <w:kinsoku/>
              <w:wordWrap w:val="0"/>
              <w:overflowPunct/>
              <w:topLinePunct/>
              <w:autoSpaceDE/>
              <w:autoSpaceDN/>
              <w:bidi w:val="0"/>
              <w:adjustRightInd/>
              <w:snapToGrid/>
              <w:ind w:left="0" w:leftChars="0" w:right="0"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即本项目印刷工序印刷废气有机废气产生量如下表。</w:t>
            </w:r>
          </w:p>
          <w:p w14:paraId="05C6568B">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表4-1 印刷废气产生情况表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2016"/>
              <w:gridCol w:w="2016"/>
              <w:gridCol w:w="2017"/>
            </w:tblGrid>
            <w:tr w14:paraId="3A56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14:paraId="0BC5286A">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名称</w:t>
                  </w:r>
                </w:p>
              </w:tc>
              <w:tc>
                <w:tcPr>
                  <w:tcW w:w="2016" w:type="dxa"/>
                  <w:vAlign w:val="center"/>
                </w:tcPr>
                <w:p w14:paraId="7F4BB150">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用量t/a</w:t>
                  </w:r>
                </w:p>
              </w:tc>
              <w:tc>
                <w:tcPr>
                  <w:tcW w:w="2016" w:type="dxa"/>
                  <w:vAlign w:val="center"/>
                </w:tcPr>
                <w:p w14:paraId="4835B427">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挥发性有机物含量%</w:t>
                  </w:r>
                </w:p>
              </w:tc>
              <w:tc>
                <w:tcPr>
                  <w:tcW w:w="2017" w:type="dxa"/>
                  <w:vAlign w:val="center"/>
                </w:tcPr>
                <w:p w14:paraId="2CE9BBE1">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有机废气产生量t/a</w:t>
                  </w:r>
                </w:p>
              </w:tc>
            </w:tr>
            <w:tr w14:paraId="0F11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14:paraId="7D752487">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凹版油墨</w:t>
                  </w:r>
                </w:p>
              </w:tc>
              <w:tc>
                <w:tcPr>
                  <w:tcW w:w="2016" w:type="dxa"/>
                  <w:vAlign w:val="center"/>
                </w:tcPr>
                <w:p w14:paraId="16BC1A8E">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7.679</w:t>
                  </w:r>
                </w:p>
              </w:tc>
              <w:tc>
                <w:tcPr>
                  <w:tcW w:w="2016" w:type="dxa"/>
                  <w:vAlign w:val="center"/>
                </w:tcPr>
                <w:p w14:paraId="3C50C962">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63</w:t>
                  </w:r>
                </w:p>
              </w:tc>
              <w:tc>
                <w:tcPr>
                  <w:tcW w:w="2017" w:type="dxa"/>
                  <w:vAlign w:val="center"/>
                </w:tcPr>
                <w:p w14:paraId="3C7D5FFA">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4.8378</w:t>
                  </w:r>
                </w:p>
              </w:tc>
            </w:tr>
            <w:tr w14:paraId="6C58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14:paraId="399A2439">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稀释剂</w:t>
                  </w:r>
                </w:p>
              </w:tc>
              <w:tc>
                <w:tcPr>
                  <w:tcW w:w="2016" w:type="dxa"/>
                  <w:vAlign w:val="center"/>
                </w:tcPr>
                <w:p w14:paraId="441E1E01">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7679</w:t>
                  </w:r>
                </w:p>
              </w:tc>
              <w:tc>
                <w:tcPr>
                  <w:tcW w:w="2016" w:type="dxa"/>
                  <w:vAlign w:val="center"/>
                </w:tcPr>
                <w:p w14:paraId="0583C704">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100</w:t>
                  </w:r>
                </w:p>
              </w:tc>
              <w:tc>
                <w:tcPr>
                  <w:tcW w:w="2017" w:type="dxa"/>
                  <w:vAlign w:val="center"/>
                </w:tcPr>
                <w:p w14:paraId="10207985">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0.769</w:t>
                  </w:r>
                </w:p>
              </w:tc>
            </w:tr>
            <w:tr w14:paraId="278B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14:paraId="2182FAF6">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合计</w:t>
                  </w:r>
                </w:p>
              </w:tc>
              <w:tc>
                <w:tcPr>
                  <w:tcW w:w="2016" w:type="dxa"/>
                  <w:vAlign w:val="center"/>
                </w:tcPr>
                <w:p w14:paraId="70E61B82">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016" w:type="dxa"/>
                  <w:vAlign w:val="center"/>
                </w:tcPr>
                <w:p w14:paraId="66E2F3A0">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017" w:type="dxa"/>
                  <w:vAlign w:val="center"/>
                </w:tcPr>
                <w:p w14:paraId="5717E4D7">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5.6057</w:t>
                  </w:r>
                </w:p>
              </w:tc>
            </w:tr>
          </w:tbl>
          <w:p w14:paraId="5A987600">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印刷设备上方设置有集气罩，连接集气管道，废气收集后引至一套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处理后通过22m高排气筒DA001排放。</w:t>
            </w:r>
          </w:p>
          <w:p w14:paraId="00576991">
            <w:pPr>
              <w:pStyle w:val="45"/>
              <w:keepNext w:val="0"/>
              <w:keepLines w:val="0"/>
              <w:pageBreakBefore w:val="0"/>
              <w:widowControl w:val="0"/>
              <w:kinsoku/>
              <w:wordWrap w:val="0"/>
              <w:overflowPunct/>
              <w:topLinePunct/>
              <w:autoSpaceDE/>
              <w:autoSpaceDN/>
              <w:bidi w:val="0"/>
              <w:adjustRightInd/>
              <w:snapToGrid/>
              <w:ind w:left="0" w:leftChars="0" w:right="0" w:firstLine="48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②复合废气</w:t>
            </w:r>
          </w:p>
          <w:p w14:paraId="5F6708F8">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本项目复合工序采用无溶剂</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"https://baike.baidu.com/item/%E8%81%9A%E6%B0%A8%E9%85%AF/2444330?fromModule=lemma_inlink" \t "https://baike.baidu.com/item/%E8%81%9A%E6%B0%A8%E9%85%AF%E8%83%B6%E7%B2%98%E5%89%82/_blank"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聚氨酯</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胶粘剂进行复合</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根据建设单位提供《化学品安全技术说明书》中成分组成，本项目无溶剂型胶水为NCO组分与OH组分，异氰酸酯、聚醚、组分聚醚、蓖麻油均为不易挥发物。</w:t>
            </w:r>
          </w:p>
          <w:p w14:paraId="3D48A1F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本次参考《印刷工业污染防治可行技术指南》（HJ1089-2020）表C.2，无溶剂胶水单位胶粘剂VOCs产生量≤0.01（tVOCs/t 胶粘剂），本项目</w:t>
            </w:r>
            <w:r>
              <w:rPr>
                <w:rFonts w:hint="default" w:ascii="Times New Roman" w:hAnsi="Times New Roman" w:eastAsia="宋体" w:cs="Times New Roman"/>
                <w:color w:val="000000" w:themeColor="text1"/>
                <w:lang w:eastAsia="zh-CN"/>
                <w14:textFill>
                  <w14:solidFill>
                    <w14:schemeClr w14:val="tx1"/>
                  </w14:solidFill>
                </w14:textFill>
              </w:rPr>
              <w:t>无溶剂</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"https://baike.baidu.com/item/%E8%81%9A%E6%B0%A8%E9%85%AF/2444330?fromModule=lemma_inlink" \t "https://baike.baidu.com/item/%E8%81%9A%E6%B0%A8%E9%85%AF%E8%83%B6%E7%B2%98%E5%89%82/_blank"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聚氨酯</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粘剂用量约</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2.122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即复合</w:t>
            </w:r>
            <w:r>
              <w:rPr>
                <w:rFonts w:hint="default" w:ascii="Times New Roman" w:hAnsi="Times New Roman" w:eastAsia="宋体" w:cs="Times New Roman"/>
                <w:b w:val="0"/>
                <w:bCs w:val="0"/>
                <w:color w:val="000000" w:themeColor="text1"/>
                <w:lang w:val="en-US" w:eastAsia="zh-CN"/>
                <w14:textFill>
                  <w14:solidFill>
                    <w14:schemeClr w14:val="tx1"/>
                  </w14:solidFill>
                </w14:textFill>
              </w:rPr>
              <w:t>工序</w:t>
            </w:r>
            <w:r>
              <w:rPr>
                <w:rFonts w:hint="default" w:ascii="Times New Roman" w:hAnsi="Times New Roman" w:eastAsia="宋体" w:cs="Times New Roman"/>
                <w:color w:val="000000" w:themeColor="text1"/>
                <w:lang w:val="en-US" w:eastAsia="zh-CN"/>
                <w14:textFill>
                  <w14:solidFill>
                    <w14:schemeClr w14:val="tx1"/>
                  </w14:solidFill>
                </w14:textFill>
              </w:rPr>
              <w:t>有机废气产生量为0.0212t/a。</w:t>
            </w:r>
          </w:p>
          <w:p w14:paraId="36976550">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复合设备上方设置有集气罩，连接集气管道，废气收集后引至一套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处理后通过22m高排气筒DA001排放。</w:t>
            </w:r>
          </w:p>
          <w:p w14:paraId="5157DB4C">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③制袋废气</w:t>
            </w:r>
          </w:p>
          <w:p w14:paraId="7AA66621">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根据建设单位提供资料，本项目采购各种膜料现成品到厂区内进行封边制袋，本项目制袋过程中封边温度约150℃。</w:t>
            </w:r>
          </w:p>
          <w:p w14:paraId="32C59D5F">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根据工程分析，经查阅相关资料，本项目涉及原料熔点如下。</w:t>
            </w:r>
          </w:p>
          <w:p w14:paraId="2AC89763">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表4-2 项目原料分解温度一览表</w:t>
            </w:r>
          </w:p>
          <w:tbl>
            <w:tblPr>
              <w:tblStyle w:val="32"/>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5"/>
              <w:gridCol w:w="1241"/>
              <w:gridCol w:w="1527"/>
              <w:gridCol w:w="1527"/>
              <w:gridCol w:w="1527"/>
              <w:gridCol w:w="1527"/>
            </w:tblGrid>
            <w:tr w14:paraId="1681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762FB88">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名称</w:t>
                  </w:r>
                </w:p>
              </w:tc>
              <w:tc>
                <w:tcPr>
                  <w:tcW w:w="770"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6489ECF">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主要成分</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F4B1044">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熔点℃</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B1465D8">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分解温度℃</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401CDF2">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本项目制袋温度℃</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B9D1F9A">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材料是否会分解</w:t>
                  </w:r>
                </w:p>
              </w:tc>
            </w:tr>
            <w:tr w14:paraId="27476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60DF99B">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OPP膜</w:t>
                  </w:r>
                </w:p>
              </w:tc>
              <w:tc>
                <w:tcPr>
                  <w:tcW w:w="770"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A91AFD7">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聚丙烯</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6F1866A">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150~176</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4C47EAD">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350~380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22DB644">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EC0D120">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r>
            <w:tr w14:paraId="16FF8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03FB4AF">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PET膜</w:t>
                  </w:r>
                </w:p>
              </w:tc>
              <w:tc>
                <w:tcPr>
                  <w:tcW w:w="770"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6623BD6">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聚对苯二甲酸乙二醇酯</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20EC735">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256~265</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A1CF638">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350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4A5890B">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E94AE46">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r>
            <w:tr w14:paraId="4C34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29D7F53">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CPP膜</w:t>
                  </w:r>
                </w:p>
              </w:tc>
              <w:tc>
                <w:tcPr>
                  <w:tcW w:w="770"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15DCE95">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聚丙烯</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003B134">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150~176</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6ABC4DE">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350~380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B29FDD9">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0A61506">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r>
            <w:tr w14:paraId="76F58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A2F9AEB">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PE膜</w:t>
                  </w:r>
                </w:p>
              </w:tc>
              <w:tc>
                <w:tcPr>
                  <w:tcW w:w="770"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3704305">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聚乙烯</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3F28E79">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85~136</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99D6DAD">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300~400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56244C7">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B561FF2">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r>
            <w:tr w14:paraId="1709F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11B0E26">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尼龙膜</w:t>
                  </w:r>
                </w:p>
              </w:tc>
              <w:tc>
                <w:tcPr>
                  <w:tcW w:w="770"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91D4687">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聚酰胺</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111CE5F">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178~260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E3A5E93">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CADC181">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91AF378">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r>
            <w:tr w14:paraId="0CE6A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8"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2B53ACD">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铝箔</w:t>
                  </w:r>
                </w:p>
              </w:tc>
              <w:tc>
                <w:tcPr>
                  <w:tcW w:w="770"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C2A28F3">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铝</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D5AC95A">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660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CEF77D8">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F6BDD63">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94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D74FF9B">
                  <w:pPr>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r>
          </w:tbl>
          <w:p w14:paraId="49E30AFC">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根据上表，项目制袋过程中不涉及原料分解，但仍会有一定的有机废气产生，以非甲烷总烃计。</w:t>
            </w:r>
          </w:p>
          <w:p w14:paraId="2F303E66">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项目制袋工序非甲烷总烃产生源强根据《排放源统计调查产排污核算方法和系数手册》（生态环境部，2021 年第 24 号文）中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292 塑料制品行业系数手册</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，参照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2923塑料丝、绳及编织品制造行业系数表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，挥发性有机物产污系数为3.76kg/t-产品。本项目产品总重量为2825t/a，制袋工序封边量约占总重量的5%，即封边量约141.25t/a，即制袋工序有机废气产生量为0.5311t/a。</w:t>
            </w:r>
          </w:p>
          <w:p w14:paraId="2FD92C3D">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制袋机上方设置有集气罩，连接集气管道，废气收集后引至一套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处理后通过22m高排气筒DA001排放。</w:t>
            </w:r>
          </w:p>
          <w:p w14:paraId="0D5B5CCF">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④溶剂间废气</w:t>
            </w:r>
          </w:p>
          <w:p w14:paraId="1DF5435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本项目油墨使用前将外购油墨与稀释剂按照10:1比例进行混合调墨，调墨过程会产生一定的有机废气。本项目采用人工调墨，工作人员在溶剂间调墨桶中配比调墨，调墨完成后油墨加入印刷机使用。</w:t>
            </w:r>
          </w:p>
          <w:p w14:paraId="3E924238">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调墨工序非甲烷总烃产生源强根据《排放源统计调查产排污核算方法和系数手册》（生态环境部，2021 年第 24 号文）中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2642 油墨及类似产品制造行业系数手册行业系数手册</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，参照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2642 油墨及类似产品制造系数表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凹版油墨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产污系数，其挥发性有机物产污系数为22.5kg/t-产品，根据工程分析，本项目油墨用量7.679t/a，稀释剂用量0.7679t/a，即有机废气产生量为0.1901t/a。</w:t>
            </w:r>
          </w:p>
          <w:p w14:paraId="4B9AFBDC">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《塑料包装印刷挥发性有机物治理实用手册》（生态环境部</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2020年7月2日发布</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油墨、胶粘剂等 VOCs 物料的调配过程应采用密闭设备或在密闭空间内操作，废气应排至 VOCs 废气收集处理系统；无法密闭的，应采取局部气体收集措施，废气应排至 VOCs 废气收集处理系统。</w:t>
            </w:r>
            <w:r>
              <w:rPr>
                <w:rFonts w:hint="eastAsia" w:cs="Times New Roman"/>
                <w:b w:val="0"/>
                <w:bCs w:val="0"/>
                <w:color w:val="000000" w:themeColor="text1"/>
                <w:lang w:val="en-US" w:eastAsia="zh-CN"/>
                <w14:textFill>
                  <w14:solidFill>
                    <w14:schemeClr w14:val="tx1"/>
                  </w14:solidFill>
                </w14:textFill>
              </w:rPr>
              <w:t>”</w:t>
            </w:r>
          </w:p>
          <w:p w14:paraId="0995964A">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故本环评要求建设单位，溶剂间设置集气设施，溶剂间废气经收集后废气收集后引至一套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处理后通过22m高排气筒DA001排放。</w:t>
            </w:r>
          </w:p>
          <w:p w14:paraId="4DB25F4E">
            <w:pPr>
              <w:pStyle w:val="45"/>
              <w:keepNext w:val="0"/>
              <w:keepLines w:val="0"/>
              <w:pageBreakBefore w:val="0"/>
              <w:widowControl w:val="0"/>
              <w:kinsoku/>
              <w:wordWrap w:val="0"/>
              <w:overflowPunct/>
              <w:topLinePunct/>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4-3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各工段有机废气产生量汇总表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4"/>
              <w:gridCol w:w="2689"/>
              <w:gridCol w:w="2689"/>
            </w:tblGrid>
            <w:tr w14:paraId="6290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42303402">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产生工序</w:t>
                  </w:r>
                </w:p>
              </w:tc>
              <w:tc>
                <w:tcPr>
                  <w:tcW w:w="1667" w:type="pct"/>
                  <w:vAlign w:val="center"/>
                </w:tcPr>
                <w:p w14:paraId="0BE0F5FD">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污染物</w:t>
                  </w:r>
                </w:p>
              </w:tc>
              <w:tc>
                <w:tcPr>
                  <w:tcW w:w="1667" w:type="pct"/>
                  <w:vAlign w:val="center"/>
                </w:tcPr>
                <w:p w14:paraId="40F6BD23">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产生量（</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tc>
            </w:tr>
            <w:tr w14:paraId="0DE2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41604D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印刷废气</w:t>
                  </w:r>
                </w:p>
              </w:tc>
              <w:tc>
                <w:tcPr>
                  <w:tcW w:w="1667" w:type="pct"/>
                  <w:vMerge w:val="restart"/>
                  <w:vAlign w:val="center"/>
                </w:tcPr>
                <w:p w14:paraId="01072D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667" w:type="pct"/>
                  <w:vAlign w:val="center"/>
                </w:tcPr>
                <w:p w14:paraId="5E803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5.6057</w:t>
                  </w:r>
                </w:p>
              </w:tc>
            </w:tr>
            <w:tr w14:paraId="7121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1A3321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复合废气</w:t>
                  </w:r>
                </w:p>
              </w:tc>
              <w:tc>
                <w:tcPr>
                  <w:tcW w:w="1667" w:type="pct"/>
                  <w:vMerge w:val="continue"/>
                  <w:vAlign w:val="center"/>
                </w:tcPr>
                <w:p w14:paraId="0AC189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1667" w:type="pct"/>
                  <w:vAlign w:val="center"/>
                </w:tcPr>
                <w:p w14:paraId="3F68C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0.0212</w:t>
                  </w:r>
                </w:p>
              </w:tc>
            </w:tr>
            <w:tr w14:paraId="44E5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265AC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制袋废气</w:t>
                  </w:r>
                </w:p>
              </w:tc>
              <w:tc>
                <w:tcPr>
                  <w:tcW w:w="1667" w:type="pct"/>
                  <w:vMerge w:val="continue"/>
                  <w:vAlign w:val="center"/>
                </w:tcPr>
                <w:p w14:paraId="158E67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1667" w:type="pct"/>
                  <w:vAlign w:val="center"/>
                </w:tcPr>
                <w:p w14:paraId="5B231C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0.5311</w:t>
                  </w:r>
                </w:p>
              </w:tc>
            </w:tr>
            <w:tr w14:paraId="2217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260313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溶剂间废气</w:t>
                  </w:r>
                </w:p>
              </w:tc>
              <w:tc>
                <w:tcPr>
                  <w:tcW w:w="1667" w:type="pct"/>
                  <w:vMerge w:val="continue"/>
                  <w:vAlign w:val="center"/>
                </w:tcPr>
                <w:p w14:paraId="0EA0E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1667" w:type="pct"/>
                  <w:vAlign w:val="center"/>
                </w:tcPr>
                <w:p w14:paraId="3FAB6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0.1901</w:t>
                  </w:r>
                </w:p>
              </w:tc>
            </w:tr>
          </w:tbl>
          <w:p w14:paraId="362B372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⑤风机风量</w:t>
            </w:r>
          </w:p>
          <w:p w14:paraId="35586C3E">
            <w:pPr>
              <w:pStyle w:val="45"/>
              <w:keepNext w:val="0"/>
              <w:keepLines/>
              <w:pageBreakBefore w:val="0"/>
              <w:kinsoku/>
              <w:overflowPunct/>
              <w:bidi w:val="0"/>
              <w:adjustRightInd/>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项目通过在印刷、复合、制袋等工序上方设置集气罩（矩形顶吸罩）对废气进行收集，参考《印刷工业污染防治可行技术指南》（</w:t>
            </w:r>
            <w:r>
              <w:rPr>
                <w:rFonts w:hint="default" w:ascii="Times New Roman" w:hAnsi="Times New Roman" w:eastAsia="宋体" w:cs="Times New Roman"/>
                <w:color w:val="000000" w:themeColor="text1"/>
                <w:lang w:eastAsia="zh-CN"/>
                <w14:textFill>
                  <w14:solidFill>
                    <w14:schemeClr w14:val="tx1"/>
                  </w14:solidFill>
                </w14:textFill>
              </w:rPr>
              <w:t>HJ1089—2020</w:t>
            </w:r>
            <w:r>
              <w:rPr>
                <w:rFonts w:hint="default" w:ascii="Times New Roman" w:hAnsi="Times New Roman" w:eastAsia="宋体" w:cs="Times New Roman"/>
                <w:color w:val="000000" w:themeColor="text1"/>
                <w:lang w:val="en-US" w:eastAsia="zh-CN"/>
                <w14:textFill>
                  <w14:solidFill>
                    <w14:schemeClr w14:val="tx1"/>
                  </w14:solidFill>
                </w14:textFill>
              </w:rPr>
              <w:t>）</w:t>
            </w:r>
          </w:p>
          <w:p w14:paraId="14B67FB0">
            <w:pPr>
              <w:pStyle w:val="28"/>
              <w:keepNext w:val="0"/>
              <w:keepLines w:val="0"/>
              <w:pageBreakBefore w:val="0"/>
              <w:widowControl w:val="0"/>
              <w:kinsoku/>
              <w:wordWrap w:val="0"/>
              <w:overflowPunct/>
              <w:topLinePunct/>
              <w:autoSpaceDE/>
              <w:autoSpaceDN/>
              <w:bidi w:val="0"/>
              <w:adjustRightInd w:val="0"/>
              <w:snapToGrid w:val="0"/>
              <w:spacing w:before="0" w:beforeAutospacing="0" w:after="0" w:afterAutospacing="0" w:line="360" w:lineRule="auto"/>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中D.3.2外部排风罩风量计算，集气罩的设置如下：</w:t>
            </w:r>
          </w:p>
          <w:p w14:paraId="3FCEC45D">
            <w:pPr>
              <w:pStyle w:val="28"/>
              <w:keepNext w:val="0"/>
              <w:keepLines/>
              <w:pageBreakBefore w:val="0"/>
              <w:widowControl w:val="0"/>
              <w:numPr>
                <w:ilvl w:val="0"/>
                <w:numId w:val="0"/>
              </w:numPr>
              <w:kinsoku/>
              <w:wordWrap/>
              <w:overflowPunct/>
              <w:topLinePunct w:val="0"/>
              <w:bidi w:val="0"/>
              <w:adjustRightInd w:val="0"/>
              <w:snapToGrid w:val="0"/>
              <w:spacing w:before="0" w:beforeAutospacing="0" w:after="0" w:afterAutospacing="0" w:line="36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L=</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V</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×F</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×3600</w:t>
            </w:r>
          </w:p>
          <w:p w14:paraId="65EBD428">
            <w:pPr>
              <w:pStyle w:val="28"/>
              <w:keepNext w:val="0"/>
              <w:keepLines/>
              <w:pageBreakBefore w:val="0"/>
              <w:widowControl w:val="0"/>
              <w:kinsoku/>
              <w:wordWrap/>
              <w:overflowPunct/>
              <w:topLinePunct w:val="0"/>
              <w:bidi w:val="0"/>
              <w:adjustRightInd w:val="0"/>
              <w:snapToGrid w:val="0"/>
              <w:spacing w:before="0" w:beforeAutospacing="0" w:after="0" w:afterAutospacing="0" w:line="360" w:lineRule="auto"/>
              <w:ind w:firstLine="422" w:firstLineChars="200"/>
              <w:jc w:val="both"/>
              <w:textAlignment w:val="auto"/>
              <w:rPr>
                <w:rFonts w:hint="default" w:ascii="Times New Roman" w:hAnsi="Times New Roman" w:eastAsia="宋体" w:cs="Times New Roman"/>
                <w:color w:val="000000" w:themeColor="text1"/>
                <w:sz w:val="21"/>
                <w:szCs w:val="16"/>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16"/>
                <w:lang w:val="en-US" w:eastAsia="zh-CN"/>
                <w14:textFill>
                  <w14:solidFill>
                    <w14:schemeClr w14:val="tx1"/>
                  </w14:solidFill>
                </w14:textFill>
              </w:rPr>
              <w:t>式中：</w:t>
            </w:r>
            <w:r>
              <w:rPr>
                <w:rFonts w:hint="default" w:ascii="Times New Roman" w:hAnsi="Times New Roman" w:eastAsia="宋体" w:cs="Times New Roman"/>
                <w:color w:val="000000" w:themeColor="text1"/>
                <w:sz w:val="21"/>
                <w:szCs w:val="16"/>
                <w:lang w:val="en-US" w:eastAsia="zh-CN"/>
                <w14:textFill>
                  <w14:solidFill>
                    <w14:schemeClr w14:val="tx1"/>
                  </w14:solidFill>
                </w14:textFill>
              </w:rPr>
              <w:t>L--顶吸罩的计算风量，m</w:t>
            </w:r>
            <w:r>
              <w:rPr>
                <w:rFonts w:hint="default" w:ascii="Times New Roman" w:hAnsi="Times New Roman" w:eastAsia="宋体" w:cs="Times New Roman"/>
                <w:color w:val="000000" w:themeColor="text1"/>
                <w:sz w:val="21"/>
                <w:szCs w:val="16"/>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16"/>
                <w:lang w:val="en-US" w:eastAsia="zh-CN"/>
                <w14:textFill>
                  <w14:solidFill>
                    <w14:schemeClr w14:val="tx1"/>
                  </w14:solidFill>
                </w14:textFill>
              </w:rPr>
              <w:t>/h；</w:t>
            </w:r>
          </w:p>
          <w:p w14:paraId="2BB01DA8">
            <w:pPr>
              <w:pStyle w:val="28"/>
              <w:keepNext w:val="0"/>
              <w:keepLines/>
              <w:pageBreakBefore w:val="0"/>
              <w:widowControl w:val="0"/>
              <w:kinsoku/>
              <w:wordWrap/>
              <w:overflowPunct/>
              <w:topLinePunct w:val="0"/>
              <w:bidi w:val="0"/>
              <w:adjustRightInd w:val="0"/>
              <w:snapToGrid w:val="0"/>
              <w:spacing w:before="0" w:beforeAutospacing="0" w:after="0" w:afterAutospacing="0" w:line="360" w:lineRule="auto"/>
              <w:ind w:firstLine="1050" w:firstLineChars="500"/>
              <w:jc w:val="both"/>
              <w:textAlignment w:val="auto"/>
              <w:rPr>
                <w:rFonts w:hint="default" w:ascii="Times New Roman" w:hAnsi="Times New Roman" w:eastAsia="宋体" w:cs="Times New Roman"/>
                <w:color w:val="000000" w:themeColor="text1"/>
                <w:sz w:val="21"/>
                <w:szCs w:val="16"/>
                <w:lang w:val="en-US" w:eastAsia="zh-CN"/>
                <w14:textFill>
                  <w14:solidFill>
                    <w14:schemeClr w14:val="tx1"/>
                  </w14:solidFill>
                </w14:textFill>
              </w:rPr>
            </w:pPr>
            <w:r>
              <w:rPr>
                <w:rFonts w:hint="default" w:ascii="Times New Roman" w:hAnsi="Times New Roman" w:eastAsia="宋体" w:cs="Times New Roman"/>
                <w:color w:val="000000" w:themeColor="text1"/>
                <w:sz w:val="21"/>
                <w:szCs w:val="16"/>
                <w:lang w:val="en-US" w:eastAsia="zh-CN"/>
                <w14:textFill>
                  <w14:solidFill>
                    <w14:schemeClr w14:val="tx1"/>
                  </w14:solidFill>
                </w14:textFill>
              </w:rPr>
              <w:t>V</w:t>
            </w:r>
            <w:r>
              <w:rPr>
                <w:rFonts w:hint="default" w:ascii="Times New Roman" w:hAnsi="Times New Roman" w:eastAsia="宋体" w:cs="Times New Roman"/>
                <w:color w:val="000000" w:themeColor="text1"/>
                <w:sz w:val="21"/>
                <w:szCs w:val="16"/>
                <w:vertAlign w:val="subscript"/>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16"/>
                <w:vertAlign w:val="baseline"/>
                <w:lang w:val="en-US" w:eastAsia="zh-CN"/>
                <w14:textFill>
                  <w14:solidFill>
                    <w14:schemeClr w14:val="tx1"/>
                  </w14:solidFill>
                </w14:textFill>
              </w:rPr>
              <w:t>--罩口平均风速，m/s，本环评取1.05；</w:t>
            </w:r>
          </w:p>
          <w:p w14:paraId="7A548549">
            <w:pPr>
              <w:pStyle w:val="28"/>
              <w:keepNext w:val="0"/>
              <w:keepLines/>
              <w:pageBreakBefore w:val="0"/>
              <w:widowControl w:val="0"/>
              <w:kinsoku/>
              <w:wordWrap/>
              <w:overflowPunct/>
              <w:topLinePunct w:val="0"/>
              <w:bidi w:val="0"/>
              <w:adjustRightInd w:val="0"/>
              <w:snapToGrid w:val="0"/>
              <w:spacing w:before="0" w:beforeAutospacing="0" w:after="0" w:afterAutospacing="0" w:line="360" w:lineRule="auto"/>
              <w:ind w:firstLine="1050" w:firstLineChars="500"/>
              <w:jc w:val="both"/>
              <w:textAlignment w:val="auto"/>
              <w:rPr>
                <w:rFonts w:hint="default" w:ascii="Times New Roman" w:hAnsi="Times New Roman" w:eastAsia="宋体" w:cs="Times New Roman"/>
                <w:color w:val="000000" w:themeColor="text1"/>
                <w:sz w:val="21"/>
                <w:szCs w:val="16"/>
                <w:lang w:val="en-US" w:eastAsia="zh-CN"/>
                <w14:textFill>
                  <w14:solidFill>
                    <w14:schemeClr w14:val="tx1"/>
                  </w14:solidFill>
                </w14:textFill>
              </w:rPr>
            </w:pPr>
            <w:r>
              <w:rPr>
                <w:rFonts w:hint="default" w:ascii="Times New Roman" w:hAnsi="Times New Roman" w:eastAsia="宋体" w:cs="Times New Roman"/>
                <w:color w:val="000000" w:themeColor="text1"/>
                <w:sz w:val="21"/>
                <w:szCs w:val="16"/>
                <w:lang w:val="en-US" w:eastAsia="zh-CN"/>
                <w14:textFill>
                  <w14:solidFill>
                    <w14:schemeClr w14:val="tx1"/>
                  </w14:solidFill>
                </w14:textFill>
              </w:rPr>
              <w:t>F--罩口面积，m</w:t>
            </w:r>
            <w:r>
              <w:rPr>
                <w:rFonts w:hint="default" w:ascii="Times New Roman" w:hAnsi="Times New Roman" w:eastAsia="宋体" w:cs="Times New Roman"/>
                <w:color w:val="000000" w:themeColor="text1"/>
                <w:sz w:val="21"/>
                <w:szCs w:val="16"/>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16"/>
                <w:lang w:val="en-US" w:eastAsia="zh-CN"/>
                <w14:textFill>
                  <w14:solidFill>
                    <w14:schemeClr w14:val="tx1"/>
                  </w14:solidFill>
                </w14:textFill>
              </w:rPr>
              <w:t>；</w:t>
            </w:r>
          </w:p>
          <w:p w14:paraId="4C59CDDE">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表4-4 罩口平均风速系数   m/s</w:t>
            </w:r>
          </w:p>
          <w:tbl>
            <w:tblPr>
              <w:tblStyle w:val="33"/>
              <w:tblW w:w="8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1453"/>
              <w:gridCol w:w="1613"/>
              <w:gridCol w:w="1613"/>
              <w:gridCol w:w="1613"/>
            </w:tblGrid>
            <w:tr w14:paraId="1E8B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tcPr>
                <w:p w14:paraId="22A20D47">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顶吸罩敞开情况</w:t>
                  </w:r>
                </w:p>
              </w:tc>
              <w:tc>
                <w:tcPr>
                  <w:tcW w:w="1453" w:type="dxa"/>
                </w:tcPr>
                <w:p w14:paraId="6D256334">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一边敞开</w:t>
                  </w:r>
                </w:p>
              </w:tc>
              <w:tc>
                <w:tcPr>
                  <w:tcW w:w="1613" w:type="dxa"/>
                </w:tcPr>
                <w:p w14:paraId="1D83CDF9">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两边敞开</w:t>
                  </w:r>
                </w:p>
              </w:tc>
              <w:tc>
                <w:tcPr>
                  <w:tcW w:w="1613" w:type="dxa"/>
                </w:tcPr>
                <w:p w14:paraId="130862B7">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三边敞开</w:t>
                  </w:r>
                </w:p>
              </w:tc>
              <w:tc>
                <w:tcPr>
                  <w:tcW w:w="1613" w:type="dxa"/>
                </w:tcPr>
                <w:p w14:paraId="44D44939">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四边敞开</w:t>
                  </w:r>
                </w:p>
              </w:tc>
            </w:tr>
            <w:tr w14:paraId="336D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tcPr>
                <w:p w14:paraId="414DADE2">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V1</w:t>
                  </w:r>
                </w:p>
              </w:tc>
              <w:tc>
                <w:tcPr>
                  <w:tcW w:w="1453" w:type="dxa"/>
                </w:tcPr>
                <w:p w14:paraId="6D2A0EB6">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0.5~0.7</w:t>
                  </w:r>
                </w:p>
              </w:tc>
              <w:tc>
                <w:tcPr>
                  <w:tcW w:w="1613" w:type="dxa"/>
                </w:tcPr>
                <w:p w14:paraId="589D11AF">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0.75~0.9</w:t>
                  </w:r>
                </w:p>
              </w:tc>
              <w:tc>
                <w:tcPr>
                  <w:tcW w:w="1613" w:type="dxa"/>
                </w:tcPr>
                <w:p w14:paraId="0E2EA452">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0.9~1.05</w:t>
                  </w:r>
                </w:p>
              </w:tc>
              <w:tc>
                <w:tcPr>
                  <w:tcW w:w="1613" w:type="dxa"/>
                </w:tcPr>
                <w:p w14:paraId="3557FF1B">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1.05~1.25</w:t>
                  </w:r>
                </w:p>
              </w:tc>
            </w:tr>
          </w:tbl>
          <w:p w14:paraId="549471D4">
            <w:pPr>
              <w:pStyle w:val="28"/>
              <w:keepNext w:val="0"/>
              <w:keepLines/>
              <w:pageBreakBefore w:val="0"/>
              <w:widowControl w:val="0"/>
              <w:numPr>
                <w:ilvl w:val="0"/>
                <w:numId w:val="0"/>
              </w:numPr>
              <w:kinsoku/>
              <w:wordWrap/>
              <w:overflowPunct/>
              <w:topLinePunct w:val="0"/>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根据</w:t>
            </w:r>
            <w:r>
              <w:rPr>
                <w:rFonts w:hint="default" w:ascii="Times New Roman" w:hAnsi="Times New Roman" w:eastAsia="宋体" w:cs="Times New Roman"/>
                <w:b w:val="0"/>
                <w:bCs w:val="0"/>
                <w:color w:val="000000" w:themeColor="text1"/>
                <w:lang w:val="en-US" w:eastAsia="zh-CN"/>
                <w14:textFill>
                  <w14:solidFill>
                    <w14:schemeClr w14:val="tx1"/>
                  </w14:solidFill>
                </w14:textFill>
              </w:rPr>
              <w:t>《排风罩的分类及技术条件》（GB/T16758-2008）中第6.4.3章节的相关要求，对于悬挂高度低于1m的接受罩，罩口尺寸应每边扩大150-200mm，本次评价取值150mm。</w:t>
            </w:r>
          </w:p>
          <w:p w14:paraId="062270E5">
            <w:pPr>
              <w:pStyle w:val="28"/>
              <w:keepNext w:val="0"/>
              <w:keepLines w:val="0"/>
              <w:pageBreakBefore w:val="0"/>
              <w:widowControl w:val="0"/>
              <w:numPr>
                <w:ilvl w:val="0"/>
                <w:numId w:val="0"/>
              </w:numPr>
              <w:kinsoku/>
              <w:wordWrap w:val="0"/>
              <w:overflowPunct/>
              <w:topLinePunct/>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根据上述公式，本项目风机风量如下：</w:t>
            </w:r>
          </w:p>
          <w:p w14:paraId="00A1CDE1">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表4-5 项目风量一览表</w:t>
            </w:r>
          </w:p>
          <w:tbl>
            <w:tblPr>
              <w:tblStyle w:val="33"/>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37"/>
              <w:gridCol w:w="1059"/>
              <w:gridCol w:w="864"/>
              <w:gridCol w:w="848"/>
              <w:gridCol w:w="1195"/>
              <w:gridCol w:w="984"/>
              <w:gridCol w:w="1270"/>
            </w:tblGrid>
            <w:tr w14:paraId="63AA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53C4F176">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序号</w:t>
                  </w:r>
                </w:p>
              </w:tc>
              <w:tc>
                <w:tcPr>
                  <w:tcW w:w="837" w:type="pct"/>
                  <w:vAlign w:val="center"/>
                </w:tcPr>
                <w:p w14:paraId="61293A57">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设备</w:t>
                  </w:r>
                </w:p>
              </w:tc>
              <w:tc>
                <w:tcPr>
                  <w:tcW w:w="663" w:type="pct"/>
                  <w:vAlign w:val="center"/>
                </w:tcPr>
                <w:p w14:paraId="33682714">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工作尺寸（m）</w:t>
                  </w:r>
                </w:p>
              </w:tc>
              <w:tc>
                <w:tcPr>
                  <w:tcW w:w="541" w:type="pct"/>
                  <w:vAlign w:val="center"/>
                </w:tcPr>
                <w:p w14:paraId="068E2657">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集气罩尺寸</w:t>
                  </w:r>
                </w:p>
              </w:tc>
              <w:tc>
                <w:tcPr>
                  <w:tcW w:w="531" w:type="pct"/>
                  <w:vAlign w:val="center"/>
                </w:tcPr>
                <w:p w14:paraId="4531620C">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数量（个）</w:t>
                  </w:r>
                </w:p>
              </w:tc>
              <w:tc>
                <w:tcPr>
                  <w:tcW w:w="748" w:type="pct"/>
                  <w:vAlign w:val="center"/>
                </w:tcPr>
                <w:p w14:paraId="52EAC041">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罩口总面积（m2）</w:t>
                  </w:r>
                </w:p>
              </w:tc>
              <w:tc>
                <w:tcPr>
                  <w:tcW w:w="616" w:type="pct"/>
                  <w:vAlign w:val="center"/>
                </w:tcPr>
                <w:p w14:paraId="44CC8DC5">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平均风速（m/s）</w:t>
                  </w:r>
                </w:p>
              </w:tc>
              <w:tc>
                <w:tcPr>
                  <w:tcW w:w="795" w:type="pct"/>
                  <w:vAlign w:val="center"/>
                </w:tcPr>
                <w:p w14:paraId="6EE0850A">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风机风量（m3/h）</w:t>
                  </w:r>
                </w:p>
              </w:tc>
            </w:tr>
            <w:tr w14:paraId="2E2E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66F75A51">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w:t>
                  </w:r>
                </w:p>
              </w:tc>
              <w:tc>
                <w:tcPr>
                  <w:tcW w:w="837" w:type="pct"/>
                  <w:vAlign w:val="center"/>
                </w:tcPr>
                <w:p w14:paraId="30F145C5">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印刷机1</w:t>
                  </w:r>
                </w:p>
              </w:tc>
              <w:tc>
                <w:tcPr>
                  <w:tcW w:w="663" w:type="pct"/>
                  <w:vAlign w:val="center"/>
                </w:tcPr>
                <w:p w14:paraId="5D22840A">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0.6*0.2</w:t>
                  </w:r>
                </w:p>
              </w:tc>
              <w:tc>
                <w:tcPr>
                  <w:tcW w:w="541" w:type="pct"/>
                  <w:vAlign w:val="center"/>
                </w:tcPr>
                <w:p w14:paraId="66C8A03F">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0.75*0.35</w:t>
                  </w:r>
                </w:p>
              </w:tc>
              <w:tc>
                <w:tcPr>
                  <w:tcW w:w="531" w:type="pct"/>
                  <w:vAlign w:val="center"/>
                </w:tcPr>
                <w:p w14:paraId="2FADA493">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6</w:t>
                  </w:r>
                </w:p>
              </w:tc>
              <w:tc>
                <w:tcPr>
                  <w:tcW w:w="748" w:type="pct"/>
                  <w:vAlign w:val="center"/>
                </w:tcPr>
                <w:p w14:paraId="24A5E2FA">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1.575</w:t>
                  </w:r>
                </w:p>
              </w:tc>
              <w:tc>
                <w:tcPr>
                  <w:tcW w:w="616" w:type="pct"/>
                  <w:vAlign w:val="center"/>
                </w:tcPr>
                <w:p w14:paraId="40594034">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1.05</w:t>
                  </w:r>
                </w:p>
              </w:tc>
              <w:tc>
                <w:tcPr>
                  <w:tcW w:w="795" w:type="pct"/>
                  <w:vAlign w:val="center"/>
                </w:tcPr>
                <w:p w14:paraId="4417E92F">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5953.5</w:t>
                  </w:r>
                </w:p>
              </w:tc>
            </w:tr>
            <w:tr w14:paraId="6B77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079ADA91">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w:t>
                  </w:r>
                </w:p>
              </w:tc>
              <w:tc>
                <w:tcPr>
                  <w:tcW w:w="837" w:type="pct"/>
                  <w:vAlign w:val="center"/>
                </w:tcPr>
                <w:p w14:paraId="4E0DBB75">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印刷机2</w:t>
                  </w:r>
                </w:p>
              </w:tc>
              <w:tc>
                <w:tcPr>
                  <w:tcW w:w="663" w:type="pct"/>
                  <w:vAlign w:val="center"/>
                </w:tcPr>
                <w:p w14:paraId="7FCF5675">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0.6*0.2</w:t>
                  </w:r>
                </w:p>
              </w:tc>
              <w:tc>
                <w:tcPr>
                  <w:tcW w:w="541" w:type="pct"/>
                  <w:vAlign w:val="center"/>
                </w:tcPr>
                <w:p w14:paraId="74BB684B">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0.75*0.35</w:t>
                  </w:r>
                </w:p>
              </w:tc>
              <w:tc>
                <w:tcPr>
                  <w:tcW w:w="531" w:type="pct"/>
                  <w:vAlign w:val="center"/>
                </w:tcPr>
                <w:p w14:paraId="714DF518">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6</w:t>
                  </w:r>
                </w:p>
              </w:tc>
              <w:tc>
                <w:tcPr>
                  <w:tcW w:w="748" w:type="pct"/>
                  <w:vAlign w:val="center"/>
                </w:tcPr>
                <w:p w14:paraId="35DAFEEC">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1.575</w:t>
                  </w:r>
                </w:p>
              </w:tc>
              <w:tc>
                <w:tcPr>
                  <w:tcW w:w="616" w:type="pct"/>
                  <w:vAlign w:val="center"/>
                </w:tcPr>
                <w:p w14:paraId="7FA17A6B">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1.05</w:t>
                  </w:r>
                </w:p>
              </w:tc>
              <w:tc>
                <w:tcPr>
                  <w:tcW w:w="795" w:type="pct"/>
                  <w:vAlign w:val="center"/>
                </w:tcPr>
                <w:p w14:paraId="4D04482F">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5953.5</w:t>
                  </w:r>
                </w:p>
              </w:tc>
            </w:tr>
            <w:tr w14:paraId="4F85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1FF3B9BE">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w:t>
                  </w:r>
                </w:p>
              </w:tc>
              <w:tc>
                <w:tcPr>
                  <w:tcW w:w="837" w:type="pct"/>
                  <w:vAlign w:val="center"/>
                </w:tcPr>
                <w:p w14:paraId="517D8B94">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干式复合机</w:t>
                  </w:r>
                </w:p>
              </w:tc>
              <w:tc>
                <w:tcPr>
                  <w:tcW w:w="663" w:type="pct"/>
                  <w:vAlign w:val="center"/>
                </w:tcPr>
                <w:p w14:paraId="4B7A404C">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0.8*0.2</w:t>
                  </w:r>
                </w:p>
              </w:tc>
              <w:tc>
                <w:tcPr>
                  <w:tcW w:w="541" w:type="pct"/>
                  <w:vAlign w:val="center"/>
                </w:tcPr>
                <w:p w14:paraId="73717193">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0.95*0.35</w:t>
                  </w:r>
                </w:p>
              </w:tc>
              <w:tc>
                <w:tcPr>
                  <w:tcW w:w="531" w:type="pct"/>
                  <w:vAlign w:val="center"/>
                </w:tcPr>
                <w:p w14:paraId="642F0EED">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4</w:t>
                  </w:r>
                </w:p>
              </w:tc>
              <w:tc>
                <w:tcPr>
                  <w:tcW w:w="748" w:type="pct"/>
                  <w:vAlign w:val="center"/>
                </w:tcPr>
                <w:p w14:paraId="20115212">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w:t>
                  </w:r>
                  <w:r>
                    <w:rPr>
                      <w:rFonts w:hint="eastAsia" w:cs="Times New Roman"/>
                      <w:color w:val="000000" w:themeColor="text1"/>
                      <w:kern w:val="0"/>
                      <w:sz w:val="21"/>
                      <w:szCs w:val="21"/>
                      <w:vertAlign w:val="baseline"/>
                      <w:lang w:val="en-US" w:eastAsia="zh-CN"/>
                      <w14:textFill>
                        <w14:solidFill>
                          <w14:schemeClr w14:val="tx1"/>
                        </w14:solidFill>
                      </w14:textFill>
                    </w:rPr>
                    <w:t>33</w:t>
                  </w:r>
                </w:p>
              </w:tc>
              <w:tc>
                <w:tcPr>
                  <w:tcW w:w="616" w:type="pct"/>
                  <w:vAlign w:val="center"/>
                </w:tcPr>
                <w:p w14:paraId="6028EB66">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1.05</w:t>
                  </w:r>
                </w:p>
              </w:tc>
              <w:tc>
                <w:tcPr>
                  <w:tcW w:w="795" w:type="pct"/>
                  <w:vAlign w:val="center"/>
                </w:tcPr>
                <w:p w14:paraId="22098C0A">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5027.4</w:t>
                  </w:r>
                </w:p>
              </w:tc>
            </w:tr>
            <w:tr w14:paraId="7270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 w:type="pct"/>
                  <w:vAlign w:val="center"/>
                </w:tcPr>
                <w:p w14:paraId="4A3A6F0D">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w:t>
                  </w:r>
                </w:p>
              </w:tc>
              <w:tc>
                <w:tcPr>
                  <w:tcW w:w="837" w:type="pct"/>
                  <w:vAlign w:val="center"/>
                </w:tcPr>
                <w:p w14:paraId="794C915B">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三合一无溶剂复合机</w:t>
                  </w:r>
                </w:p>
              </w:tc>
              <w:tc>
                <w:tcPr>
                  <w:tcW w:w="663" w:type="pct"/>
                  <w:vAlign w:val="center"/>
                </w:tcPr>
                <w:p w14:paraId="18DC8BD3">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0.8*0.3</w:t>
                  </w:r>
                </w:p>
              </w:tc>
              <w:tc>
                <w:tcPr>
                  <w:tcW w:w="541" w:type="pct"/>
                  <w:vAlign w:val="center"/>
                </w:tcPr>
                <w:p w14:paraId="7FCD7AEA">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0.95*0.35</w:t>
                  </w:r>
                </w:p>
              </w:tc>
              <w:tc>
                <w:tcPr>
                  <w:tcW w:w="531" w:type="pct"/>
                  <w:vAlign w:val="center"/>
                </w:tcPr>
                <w:p w14:paraId="5D7AC226">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w:t>
                  </w:r>
                </w:p>
              </w:tc>
              <w:tc>
                <w:tcPr>
                  <w:tcW w:w="748" w:type="pct"/>
                  <w:vAlign w:val="center"/>
                </w:tcPr>
                <w:p w14:paraId="476798EE">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0.3325</w:t>
                  </w:r>
                </w:p>
              </w:tc>
              <w:tc>
                <w:tcPr>
                  <w:tcW w:w="616" w:type="pct"/>
                  <w:vAlign w:val="center"/>
                </w:tcPr>
                <w:p w14:paraId="1332CB89">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1.05</w:t>
                  </w:r>
                </w:p>
              </w:tc>
              <w:tc>
                <w:tcPr>
                  <w:tcW w:w="795" w:type="pct"/>
                  <w:vAlign w:val="center"/>
                </w:tcPr>
                <w:p w14:paraId="3A076609">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1256.85</w:t>
                  </w:r>
                </w:p>
              </w:tc>
            </w:tr>
            <w:tr w14:paraId="0DBB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1A74E915">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5</w:t>
                  </w:r>
                </w:p>
              </w:tc>
              <w:tc>
                <w:tcPr>
                  <w:tcW w:w="837" w:type="pct"/>
                  <w:vAlign w:val="center"/>
                </w:tcPr>
                <w:p w14:paraId="4AEBF06D">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无溶剂复合机</w:t>
                  </w:r>
                </w:p>
              </w:tc>
              <w:tc>
                <w:tcPr>
                  <w:tcW w:w="663" w:type="pct"/>
                  <w:vAlign w:val="center"/>
                </w:tcPr>
                <w:p w14:paraId="5ADBCE5E">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0.8*0.3</w:t>
                  </w:r>
                </w:p>
              </w:tc>
              <w:tc>
                <w:tcPr>
                  <w:tcW w:w="541" w:type="pct"/>
                  <w:vAlign w:val="center"/>
                </w:tcPr>
                <w:p w14:paraId="43E6F6C9">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0.95*0.35</w:t>
                  </w:r>
                </w:p>
              </w:tc>
              <w:tc>
                <w:tcPr>
                  <w:tcW w:w="531" w:type="pct"/>
                  <w:vAlign w:val="center"/>
                </w:tcPr>
                <w:p w14:paraId="55A077FA">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w:t>
                  </w:r>
                </w:p>
              </w:tc>
              <w:tc>
                <w:tcPr>
                  <w:tcW w:w="748" w:type="pct"/>
                  <w:vAlign w:val="center"/>
                </w:tcPr>
                <w:p w14:paraId="295B77F8">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0.3325</w:t>
                  </w:r>
                </w:p>
              </w:tc>
              <w:tc>
                <w:tcPr>
                  <w:tcW w:w="616" w:type="pct"/>
                  <w:vAlign w:val="center"/>
                </w:tcPr>
                <w:p w14:paraId="6A93B48B">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1.05</w:t>
                  </w:r>
                </w:p>
              </w:tc>
              <w:tc>
                <w:tcPr>
                  <w:tcW w:w="795" w:type="pct"/>
                  <w:vAlign w:val="center"/>
                </w:tcPr>
                <w:p w14:paraId="229B1476">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1256.85</w:t>
                  </w:r>
                </w:p>
              </w:tc>
            </w:tr>
            <w:tr w14:paraId="25DE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5F133BA2">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6</w:t>
                  </w:r>
                </w:p>
              </w:tc>
              <w:tc>
                <w:tcPr>
                  <w:tcW w:w="837" w:type="pct"/>
                  <w:vAlign w:val="center"/>
                </w:tcPr>
                <w:p w14:paraId="2EE8B739">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无溶剂复合机</w:t>
                  </w:r>
                </w:p>
              </w:tc>
              <w:tc>
                <w:tcPr>
                  <w:tcW w:w="663" w:type="pct"/>
                  <w:vAlign w:val="center"/>
                </w:tcPr>
                <w:p w14:paraId="2C01B4A2">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0.8*0.3</w:t>
                  </w:r>
                </w:p>
              </w:tc>
              <w:tc>
                <w:tcPr>
                  <w:tcW w:w="541" w:type="pct"/>
                  <w:vAlign w:val="center"/>
                </w:tcPr>
                <w:p w14:paraId="7C9AB1D7">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0.95*0.35</w:t>
                  </w:r>
                </w:p>
              </w:tc>
              <w:tc>
                <w:tcPr>
                  <w:tcW w:w="531" w:type="pct"/>
                  <w:vAlign w:val="center"/>
                </w:tcPr>
                <w:p w14:paraId="4C2B49CF">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w:t>
                  </w:r>
                </w:p>
              </w:tc>
              <w:tc>
                <w:tcPr>
                  <w:tcW w:w="748" w:type="pct"/>
                  <w:vAlign w:val="center"/>
                </w:tcPr>
                <w:p w14:paraId="2F481683">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0.3325</w:t>
                  </w:r>
                </w:p>
              </w:tc>
              <w:tc>
                <w:tcPr>
                  <w:tcW w:w="616" w:type="pct"/>
                  <w:vAlign w:val="center"/>
                </w:tcPr>
                <w:p w14:paraId="1A9F51E3">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1.05</w:t>
                  </w:r>
                </w:p>
              </w:tc>
              <w:tc>
                <w:tcPr>
                  <w:tcW w:w="795" w:type="pct"/>
                  <w:vAlign w:val="center"/>
                </w:tcPr>
                <w:p w14:paraId="7128C6DA">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1256.85</w:t>
                  </w:r>
                </w:p>
              </w:tc>
            </w:tr>
            <w:tr w14:paraId="407F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2881A2A0">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7</w:t>
                  </w:r>
                </w:p>
              </w:tc>
              <w:tc>
                <w:tcPr>
                  <w:tcW w:w="837" w:type="pct"/>
                  <w:vAlign w:val="center"/>
                </w:tcPr>
                <w:p w14:paraId="37EA719A">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制袋机1~8</w:t>
                  </w:r>
                </w:p>
              </w:tc>
              <w:tc>
                <w:tcPr>
                  <w:tcW w:w="663" w:type="pct"/>
                  <w:vAlign w:val="center"/>
                </w:tcPr>
                <w:p w14:paraId="61177351">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w:t>
                  </w:r>
                  <w:r>
                    <w:rPr>
                      <w:rFonts w:hint="eastAsia" w:cs="Times New Roman"/>
                      <w:color w:val="000000" w:themeColor="text1"/>
                      <w:kern w:val="0"/>
                      <w:sz w:val="21"/>
                      <w:szCs w:val="21"/>
                      <w:vertAlign w:val="baseli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*0.2</w:t>
                  </w:r>
                </w:p>
              </w:tc>
              <w:tc>
                <w:tcPr>
                  <w:tcW w:w="541" w:type="pct"/>
                  <w:vAlign w:val="center"/>
                </w:tcPr>
                <w:p w14:paraId="6D912D2F">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w:t>
                  </w:r>
                  <w:r>
                    <w:rPr>
                      <w:rFonts w:hint="eastAsia" w:cs="Times New Roman"/>
                      <w:color w:val="000000" w:themeColor="text1"/>
                      <w:kern w:val="0"/>
                      <w:sz w:val="21"/>
                      <w:szCs w:val="21"/>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5*0.35</w:t>
                  </w:r>
                </w:p>
              </w:tc>
              <w:tc>
                <w:tcPr>
                  <w:tcW w:w="531" w:type="pct"/>
                  <w:vAlign w:val="center"/>
                </w:tcPr>
                <w:p w14:paraId="6697602F">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8</w:t>
                  </w:r>
                </w:p>
              </w:tc>
              <w:tc>
                <w:tcPr>
                  <w:tcW w:w="748" w:type="pct"/>
                  <w:vAlign w:val="center"/>
                </w:tcPr>
                <w:p w14:paraId="6957332A">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w:t>
                  </w:r>
                  <w:r>
                    <w:rPr>
                      <w:rFonts w:hint="eastAsia" w:cs="Times New Roman"/>
                      <w:color w:val="000000" w:themeColor="text1"/>
                      <w:kern w:val="0"/>
                      <w:sz w:val="21"/>
                      <w:szCs w:val="21"/>
                      <w:vertAlign w:val="baseline"/>
                      <w:lang w:val="en-US" w:eastAsia="zh-CN"/>
                      <w14:textFill>
                        <w14:solidFill>
                          <w14:schemeClr w14:val="tx1"/>
                        </w14:solidFill>
                      </w14:textFill>
                    </w:rPr>
                    <w:t>54</w:t>
                  </w:r>
                </w:p>
              </w:tc>
              <w:tc>
                <w:tcPr>
                  <w:tcW w:w="616" w:type="pct"/>
                  <w:vAlign w:val="center"/>
                </w:tcPr>
                <w:p w14:paraId="4CFC2F15">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1.05</w:t>
                  </w:r>
                </w:p>
              </w:tc>
              <w:tc>
                <w:tcPr>
                  <w:tcW w:w="795" w:type="pct"/>
                  <w:vAlign w:val="center"/>
                </w:tcPr>
                <w:p w14:paraId="6ECAD7CC">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5821.2</w:t>
                  </w:r>
                </w:p>
              </w:tc>
            </w:tr>
            <w:tr w14:paraId="43AB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1C42E057">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8</w:t>
                  </w:r>
                </w:p>
              </w:tc>
              <w:tc>
                <w:tcPr>
                  <w:tcW w:w="837" w:type="pct"/>
                  <w:vAlign w:val="center"/>
                </w:tcPr>
                <w:p w14:paraId="6240B4DC">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八角制袋机1~3</w:t>
                  </w:r>
                </w:p>
              </w:tc>
              <w:tc>
                <w:tcPr>
                  <w:tcW w:w="663" w:type="pct"/>
                  <w:vAlign w:val="center"/>
                </w:tcPr>
                <w:p w14:paraId="2E6E2A6E">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0.3*0.1</w:t>
                  </w:r>
                </w:p>
              </w:tc>
              <w:tc>
                <w:tcPr>
                  <w:tcW w:w="541" w:type="pct"/>
                  <w:vAlign w:val="center"/>
                </w:tcPr>
                <w:p w14:paraId="7D38F716">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0.45*0.35</w:t>
                  </w:r>
                </w:p>
              </w:tc>
              <w:tc>
                <w:tcPr>
                  <w:tcW w:w="531" w:type="pct"/>
                  <w:vAlign w:val="center"/>
                </w:tcPr>
                <w:p w14:paraId="30867F61">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w:t>
                  </w:r>
                </w:p>
              </w:tc>
              <w:tc>
                <w:tcPr>
                  <w:tcW w:w="748" w:type="pct"/>
                  <w:vAlign w:val="center"/>
                </w:tcPr>
                <w:p w14:paraId="008AE266">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0.4725</w:t>
                  </w:r>
                </w:p>
              </w:tc>
              <w:tc>
                <w:tcPr>
                  <w:tcW w:w="616" w:type="pct"/>
                  <w:vAlign w:val="center"/>
                </w:tcPr>
                <w:p w14:paraId="2A08899C">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1.05</w:t>
                  </w:r>
                </w:p>
              </w:tc>
              <w:tc>
                <w:tcPr>
                  <w:tcW w:w="795" w:type="pct"/>
                  <w:vAlign w:val="center"/>
                </w:tcPr>
                <w:p w14:paraId="4C94651F">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1786.05</w:t>
                  </w:r>
                </w:p>
              </w:tc>
            </w:tr>
            <w:tr w14:paraId="2E01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7618C1BC">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9</w:t>
                  </w:r>
                </w:p>
              </w:tc>
              <w:tc>
                <w:tcPr>
                  <w:tcW w:w="837" w:type="pct"/>
                  <w:vAlign w:val="center"/>
                </w:tcPr>
                <w:p w14:paraId="00CD95E2">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溶剂间</w:t>
                  </w:r>
                </w:p>
              </w:tc>
              <w:tc>
                <w:tcPr>
                  <w:tcW w:w="663" w:type="pct"/>
                  <w:vAlign w:val="center"/>
                </w:tcPr>
                <w:p w14:paraId="31B1DBA3">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0.5*0.5</w:t>
                  </w:r>
                </w:p>
              </w:tc>
              <w:tc>
                <w:tcPr>
                  <w:tcW w:w="541" w:type="pct"/>
                  <w:vAlign w:val="center"/>
                </w:tcPr>
                <w:p w14:paraId="0F1EDE5B">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0.65*0.65</w:t>
                  </w:r>
                </w:p>
              </w:tc>
              <w:tc>
                <w:tcPr>
                  <w:tcW w:w="531" w:type="pct"/>
                  <w:vAlign w:val="center"/>
                </w:tcPr>
                <w:p w14:paraId="32705F98">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w:t>
                  </w:r>
                </w:p>
              </w:tc>
              <w:tc>
                <w:tcPr>
                  <w:tcW w:w="748" w:type="pct"/>
                  <w:vAlign w:val="center"/>
                </w:tcPr>
                <w:p w14:paraId="4548ACD0">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0.4225</w:t>
                  </w:r>
                </w:p>
              </w:tc>
              <w:tc>
                <w:tcPr>
                  <w:tcW w:w="616" w:type="pct"/>
                  <w:vAlign w:val="center"/>
                </w:tcPr>
                <w:p w14:paraId="5849E026">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1.05</w:t>
                  </w:r>
                </w:p>
              </w:tc>
              <w:tc>
                <w:tcPr>
                  <w:tcW w:w="795" w:type="pct"/>
                  <w:vAlign w:val="center"/>
                </w:tcPr>
                <w:p w14:paraId="786EE4B6">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1597.05</w:t>
                  </w:r>
                </w:p>
              </w:tc>
            </w:tr>
            <w:tr w14:paraId="5B93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7AB58D7F">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合计</w:t>
                  </w:r>
                </w:p>
              </w:tc>
              <w:tc>
                <w:tcPr>
                  <w:tcW w:w="837" w:type="pct"/>
                  <w:vAlign w:val="center"/>
                </w:tcPr>
                <w:p w14:paraId="44C03425">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663" w:type="pct"/>
                  <w:vAlign w:val="center"/>
                </w:tcPr>
                <w:p w14:paraId="2A6DE009">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541" w:type="pct"/>
                  <w:vAlign w:val="center"/>
                </w:tcPr>
                <w:p w14:paraId="6354CEF5">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531" w:type="pct"/>
                  <w:vAlign w:val="center"/>
                </w:tcPr>
                <w:p w14:paraId="10FDF485">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748" w:type="pct"/>
                  <w:vAlign w:val="center"/>
                </w:tcPr>
                <w:p w14:paraId="30093469">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616" w:type="pct"/>
                  <w:vAlign w:val="center"/>
                </w:tcPr>
                <w:p w14:paraId="4CB4A296">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795" w:type="pct"/>
                  <w:shd w:val="clear" w:color="auto" w:fill="auto"/>
                  <w:vAlign w:val="center"/>
                </w:tcPr>
                <w:p w14:paraId="0208C754">
                  <w:pPr>
                    <w:pStyle w:val="124"/>
                    <w:keepNext w:val="0"/>
                    <w:keepLines w:val="0"/>
                    <w:pageBreakBefore w:val="0"/>
                    <w:widowControl w:val="0"/>
                    <w:kinsoku/>
                    <w:wordWrap w:val="0"/>
                    <w:overflowPunct/>
                    <w:topLinePunct/>
                    <w:autoSpaceDE/>
                    <w:autoSpaceDN/>
                    <w:bidi w:val="0"/>
                    <w:spacing w:before="0" w:after="0"/>
                    <w:ind w:left="0" w:leftChars="0" w:right="0" w:rightChars="0"/>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29909.25</w:t>
                  </w:r>
                </w:p>
              </w:tc>
            </w:tr>
          </w:tbl>
          <w:p w14:paraId="73FD320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根据上表，本项目风机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风量不小于</w:t>
            </w:r>
            <w:r>
              <w:rPr>
                <w:rFonts w:hint="eastAsia"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29909.25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/h，根据建设单位提供资料，建设单位预计设计1台风量为</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/h的风机，</w:t>
            </w:r>
            <w:r>
              <w:rPr>
                <w:rFonts w:hint="default" w:ascii="Times New Roman" w:hAnsi="Times New Roman" w:eastAsia="宋体" w:cs="Times New Roman"/>
                <w:color w:val="000000" w:themeColor="text1"/>
                <w:lang w:val="en-US" w:eastAsia="zh-CN"/>
                <w14:textFill>
                  <w14:solidFill>
                    <w14:schemeClr w14:val="tx1"/>
                  </w14:solidFill>
                </w14:textFill>
              </w:rPr>
              <w:t>设计风量满足要求。</w:t>
            </w:r>
          </w:p>
          <w:p w14:paraId="47825716">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⑥RTO</w:t>
            </w:r>
            <w:r>
              <w:rPr>
                <w:rFonts w:hint="eastAsia" w:ascii="Times New Roman" w:hAnsi="Times New Roman" w:eastAsia="宋体" w:cs="Times New Roman"/>
                <w:b/>
                <w:bCs/>
                <w:color w:val="000000" w:themeColor="text1"/>
                <w:lang w:val="en-US" w:eastAsia="zh-CN"/>
                <w14:textFill>
                  <w14:solidFill>
                    <w14:schemeClr w14:val="tx1"/>
                  </w14:solidFill>
                </w14:textFill>
              </w:rPr>
              <w:t>设备</w:t>
            </w:r>
            <w:r>
              <w:rPr>
                <w:rFonts w:hint="default" w:ascii="Times New Roman" w:hAnsi="Times New Roman" w:eastAsia="宋体" w:cs="Times New Roman"/>
                <w:b/>
                <w:bCs/>
                <w:color w:val="000000" w:themeColor="text1"/>
                <w:lang w:val="en-US" w:eastAsia="zh-CN"/>
                <w14:textFill>
                  <w14:solidFill>
                    <w14:schemeClr w14:val="tx1"/>
                  </w14:solidFill>
                </w14:textFill>
              </w:rPr>
              <w:t>废气</w:t>
            </w:r>
          </w:p>
          <w:p w14:paraId="54E18D6B">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1）RTO设备天然气燃烧废气</w:t>
            </w:r>
          </w:p>
          <w:p w14:paraId="22FAD927">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RTO设备运行时燃料主要包括两部分，一部分是经收集进入设备的有机废气，另一部分则是当VOCs浓度不够高时需补充的助燃剂（天然气）。</w:t>
            </w:r>
          </w:p>
          <w:p w14:paraId="2F8D3E91">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根据企业关于各类涂料、溶剂及胶水的挥发份元素成分组成可知，有机废气主要成分为 C、H、O 元素，有机分有机废气在燃烧过程产物为CO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、H</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O、CO等，不涉及</w:t>
            </w:r>
            <w:r>
              <w:rPr>
                <w:rFonts w:hint="eastAsia" w:cs="Times New Roman"/>
                <w:color w:val="000000" w:themeColor="text1"/>
                <w:lang w:val="en-US" w:eastAsia="zh-CN"/>
                <w14:textFill>
                  <w14:solidFill>
                    <w14:schemeClr w14:val="tx1"/>
                  </w14:solidFill>
                </w14:textFill>
              </w:rPr>
              <w:t>燃料型</w:t>
            </w:r>
            <w:r>
              <w:rPr>
                <w:rFonts w:hint="default" w:ascii="Times New Roman" w:hAnsi="Times New Roman" w:eastAsia="宋体" w:cs="Times New Roman"/>
                <w:color w:val="000000" w:themeColor="text1"/>
                <w:lang w:val="en-US" w:eastAsia="zh-CN"/>
                <w14:textFill>
                  <w14:solidFill>
                    <w14:schemeClr w14:val="tx1"/>
                  </w14:solidFill>
                </w14:textFill>
              </w:rPr>
              <w:t>氮氧化物、二氧化硫、二噁英等。</w:t>
            </w:r>
          </w:p>
          <w:p w14:paraId="3AF95A4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故本次RTO设备天然气燃烧废气主要是来自于天然气燃烧，其主要产生SO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、NOx、颗粒物。本次考虑RTO系统助燃运行所需热量全部由天然气提供。</w:t>
            </w:r>
          </w:p>
          <w:p w14:paraId="4E65936C">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根据建设单位提供的设计文件，本项目有组织有机废气采用RTO处理工艺，因有机物浓度不满足运行浓度，需持续添加天然气。</w:t>
            </w:r>
          </w:p>
          <w:p w14:paraId="5515E01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天然气消耗量计算公式如下（V天然气）：</w:t>
            </w:r>
          </w:p>
          <w:p w14:paraId="352C4869">
            <w:pPr>
              <w:pStyle w:val="45"/>
              <w:keepNext w:val="0"/>
              <w:keepLines w:val="0"/>
              <w:pageBreakBefore w:val="0"/>
              <w:widowControl w:val="0"/>
              <w:kinsoku/>
              <w:wordWrap w:val="0"/>
              <w:overflowPunct/>
              <w:topLinePunct/>
              <w:autoSpaceDE/>
              <w:autoSpaceDN/>
              <w:bidi w:val="0"/>
              <w:ind w:left="0" w:leftChars="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Q热量=1.005×ρ×V×ΔT</w:t>
            </w:r>
          </w:p>
          <w:p w14:paraId="45F12032">
            <w:pPr>
              <w:pStyle w:val="45"/>
              <w:keepNext w:val="0"/>
              <w:keepLines w:val="0"/>
              <w:pageBreakBefore w:val="0"/>
              <w:widowControl w:val="0"/>
              <w:kinsoku/>
              <w:wordWrap w:val="0"/>
              <w:overflowPunct/>
              <w:topLinePunct/>
              <w:autoSpaceDE/>
              <w:autoSpaceDN/>
              <w:bidi w:val="0"/>
              <w:ind w:left="0" w:leftChars="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V天然气= Q热量/qT</w:t>
            </w:r>
          </w:p>
          <w:p w14:paraId="32107808">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式中：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Q热量——是RTO系统空车运行时的热量需求（kJ/h）</w:t>
            </w:r>
          </w:p>
          <w:p w14:paraId="0BC4280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ρ——是烟气密度（kg/m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），空载运行时取空气密度1.293kg/m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01808CC4">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V——是烟气流量（m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/h），风量</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t>
            </w:r>
          </w:p>
          <w:p w14:paraId="51991298">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ΔT——是进出口温差（℃）；根据相关资料，参考《蓄热燃烧法工业有机废气治理工程技术规范（HJ1093-2020）》，6.3.6.3进出口气体温差不宜大于60℃，故本次以50℃计。</w:t>
            </w:r>
          </w:p>
          <w:p w14:paraId="0F44A5BF">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qT——是标况下天然气热值（kJ/Nm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），参照《综合能耗计算通则》（GB/T 2589-2020）天然气平均低位发热量32238~38979kJ/m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。本次以天然气热值以32238kJ/m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w:t>
            </w:r>
          </w:p>
          <w:p w14:paraId="68849EE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V天然气——是天然气耗量（Nm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t>
            </w:r>
          </w:p>
          <w:p w14:paraId="71F1806A">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由上述数据核算得，Q热量=</w:t>
            </w:r>
            <w:r>
              <w:rPr>
                <w:rFonts w:hint="eastAsia" w:cs="Times New Roman"/>
                <w:color w:val="000000" w:themeColor="text1"/>
                <w:lang w:val="en-US" w:eastAsia="zh-CN"/>
                <w14:textFill>
                  <w14:solidFill>
                    <w14:schemeClr w14:val="tx1"/>
                  </w14:solidFill>
                </w14:textFill>
              </w:rPr>
              <w:t>1949197.5</w:t>
            </w:r>
            <w:r>
              <w:rPr>
                <w:rFonts w:hint="default" w:ascii="Times New Roman" w:hAnsi="Times New Roman" w:eastAsia="宋体" w:cs="Times New Roman"/>
                <w:color w:val="000000" w:themeColor="text1"/>
                <w:lang w:val="en-US" w:eastAsia="zh-CN"/>
                <w14:textFill>
                  <w14:solidFill>
                    <w14:schemeClr w14:val="tx1"/>
                  </w14:solidFill>
                </w14:textFill>
              </w:rPr>
              <w:t>kJ/h；折算天然气用量为</w:t>
            </w:r>
            <w:r>
              <w:rPr>
                <w:rFonts w:hint="eastAsia" w:cs="Times New Roman"/>
                <w:color w:val="000000" w:themeColor="text1"/>
                <w:lang w:val="en-US" w:eastAsia="zh-CN"/>
                <w14:textFill>
                  <w14:solidFill>
                    <w14:schemeClr w14:val="tx1"/>
                  </w14:solidFill>
                </w14:textFill>
              </w:rPr>
              <w:t>60.46</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/h。</w:t>
            </w:r>
          </w:p>
          <w:p w14:paraId="2D70B82E">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本次考虑若挥发性有机物的产生浓度低于RTO低于RTO运行浓度，应随时添加天然气助燃，本项目年运行7200h，则天然气年耗量为</w:t>
            </w:r>
            <w:r>
              <w:rPr>
                <w:rFonts w:hint="eastAsia" w:cs="Times New Roman"/>
                <w:color w:val="000000" w:themeColor="text1"/>
                <w:lang w:val="en-US" w:eastAsia="zh-CN"/>
                <w14:textFill>
                  <w14:solidFill>
                    <w14:schemeClr w14:val="tx1"/>
                  </w14:solidFill>
                </w14:textFill>
              </w:rPr>
              <w:t>435312</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/a。</w:t>
            </w:r>
          </w:p>
          <w:p w14:paraId="1F2ED35E">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为了解实际运行过程中RTO设备燃烧废气具体情况，本次参考《苏州朝露新材料科技有限公司RTO废气净化系统项目专项竣工验收监测报告》（https://szhbgz.org/uploads/FCKeditor/files/苏州朝露新材料科技有限公司废气治理设施改造项目专项验收-公示.pdf）（该公司为印刷行业，工艺与本项目类似，具有可比性），根据其监测结果，二氧化硫、氮氧化物均低于检出限。</w:t>
            </w:r>
          </w:p>
          <w:p w14:paraId="77415788">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故本次</w:t>
            </w:r>
            <w:r>
              <w:rPr>
                <w:rFonts w:hint="default" w:ascii="Times New Roman" w:hAnsi="Times New Roman" w:eastAsia="宋体" w:cs="Times New Roman"/>
                <w:color w:val="000000" w:themeColor="text1"/>
                <w:lang w:val="en-US" w:eastAsia="zh-CN"/>
                <w14:textFill>
                  <w14:solidFill>
                    <w14:schemeClr w14:val="tx1"/>
                  </w14:solidFill>
                </w14:textFill>
              </w:rPr>
              <w:t>RTO天然气燃烧废气参照《排放源统计调查产排污核算方法和系数手册》（生态环境部公告2021年第24号）中《33-37，431-434 机械行业系数手册》中天然气工业炉窑产排污系数</w:t>
            </w:r>
            <w:r>
              <w:rPr>
                <w:rFonts w:hint="eastAsia" w:cs="Times New Roman"/>
                <w:color w:val="000000" w:themeColor="text1"/>
                <w:lang w:val="en-US" w:eastAsia="zh-CN"/>
                <w14:textFill>
                  <w14:solidFill>
                    <w14:schemeClr w14:val="tx1"/>
                  </w14:solidFill>
                </w14:textFill>
              </w:rPr>
              <w:t>。</w:t>
            </w:r>
          </w:p>
          <w:p w14:paraId="3057BC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w:t>
            </w:r>
            <w:r>
              <w:rPr>
                <w:rFonts w:hint="default" w:ascii="Times New Roman" w:hAnsi="Times New Roman" w:eastAsia="宋体" w:cs="Times New Roman"/>
                <w:b/>
                <w:bCs/>
                <w:color w:val="000000" w:themeColor="text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Cs w:val="21"/>
                <w14:textFill>
                  <w14:solidFill>
                    <w14:schemeClr w14:val="tx1"/>
                  </w14:solidFill>
                </w14:textFill>
              </w:rPr>
              <w:t xml:space="preserve">  </w:t>
            </w:r>
            <w:r>
              <w:rPr>
                <w:rFonts w:hint="default" w:ascii="Times New Roman" w:hAnsi="Times New Roman" w:eastAsia="宋体" w:cs="Times New Roman"/>
                <w:b/>
                <w:bCs/>
                <w:color w:val="000000" w:themeColor="text1"/>
                <w:szCs w:val="21"/>
                <w:lang w:val="en-US" w:eastAsia="zh-CN"/>
                <w14:textFill>
                  <w14:solidFill>
                    <w14:schemeClr w14:val="tx1"/>
                  </w14:solidFill>
                </w14:textFill>
              </w:rPr>
              <w:t>RTO天然气燃烧废气污染产污系数</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990"/>
              <w:gridCol w:w="771"/>
              <w:gridCol w:w="1132"/>
              <w:gridCol w:w="1619"/>
              <w:gridCol w:w="1259"/>
              <w:gridCol w:w="1553"/>
            </w:tblGrid>
            <w:tr w14:paraId="5B24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shd w:val="clear" w:color="auto" w:fill="auto"/>
                  <w:vAlign w:val="center"/>
                </w:tcPr>
                <w:p w14:paraId="0B730972">
                  <w:pPr>
                    <w:pStyle w:val="152"/>
                    <w:widowContro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原料名称</w:t>
                  </w:r>
                </w:p>
              </w:tc>
              <w:tc>
                <w:tcPr>
                  <w:tcW w:w="614" w:type="pct"/>
                  <w:shd w:val="clear" w:color="auto" w:fill="auto"/>
                  <w:vAlign w:val="center"/>
                </w:tcPr>
                <w:p w14:paraId="4C718084">
                  <w:pPr>
                    <w:pStyle w:val="152"/>
                    <w:widowContro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工艺名称</w:t>
                  </w:r>
                </w:p>
              </w:tc>
              <w:tc>
                <w:tcPr>
                  <w:tcW w:w="478" w:type="pct"/>
                  <w:shd w:val="clear" w:color="auto" w:fill="auto"/>
                  <w:vAlign w:val="center"/>
                </w:tcPr>
                <w:p w14:paraId="33CA0181">
                  <w:pPr>
                    <w:pStyle w:val="152"/>
                    <w:widowContro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规模等级</w:t>
                  </w:r>
                </w:p>
              </w:tc>
              <w:tc>
                <w:tcPr>
                  <w:tcW w:w="702" w:type="pct"/>
                  <w:shd w:val="clear" w:color="auto" w:fill="auto"/>
                  <w:vAlign w:val="center"/>
                </w:tcPr>
                <w:p w14:paraId="2C7FA9CD">
                  <w:pPr>
                    <w:pStyle w:val="152"/>
                    <w:widowContro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污染物指标</w:t>
                  </w:r>
                </w:p>
              </w:tc>
              <w:tc>
                <w:tcPr>
                  <w:tcW w:w="1004" w:type="pct"/>
                  <w:shd w:val="clear" w:color="auto" w:fill="auto"/>
                  <w:vAlign w:val="center"/>
                </w:tcPr>
                <w:p w14:paraId="1F21121A">
                  <w:pPr>
                    <w:pStyle w:val="152"/>
                    <w:widowContro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781" w:type="pct"/>
                  <w:shd w:val="clear" w:color="auto" w:fill="auto"/>
                  <w:vAlign w:val="center"/>
                </w:tcPr>
                <w:p w14:paraId="2AC10F69">
                  <w:pPr>
                    <w:pStyle w:val="152"/>
                    <w:widowContro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产污系数</w:t>
                  </w:r>
                </w:p>
              </w:tc>
              <w:tc>
                <w:tcPr>
                  <w:tcW w:w="959" w:type="pct"/>
                  <w:shd w:val="clear" w:color="auto" w:fill="auto"/>
                  <w:vAlign w:val="center"/>
                </w:tcPr>
                <w:p w14:paraId="4B3E6ED9">
                  <w:pPr>
                    <w:pStyle w:val="152"/>
                    <w:widowControl w:val="0"/>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产生量（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p>
              </w:tc>
            </w:tr>
            <w:tr w14:paraId="6CD5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restart"/>
                  <w:shd w:val="clear" w:color="auto" w:fill="auto"/>
                  <w:vAlign w:val="center"/>
                </w:tcPr>
                <w:p w14:paraId="35BBF307">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天然气</w:t>
                  </w:r>
                </w:p>
              </w:tc>
              <w:tc>
                <w:tcPr>
                  <w:tcW w:w="614" w:type="pct"/>
                  <w:vMerge w:val="restart"/>
                  <w:shd w:val="clear" w:color="auto" w:fill="auto"/>
                  <w:vAlign w:val="center"/>
                </w:tcPr>
                <w:p w14:paraId="23BEBEF1">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天然气工业炉窑</w:t>
                  </w:r>
                </w:p>
              </w:tc>
              <w:tc>
                <w:tcPr>
                  <w:tcW w:w="478" w:type="pct"/>
                  <w:vMerge w:val="restart"/>
                  <w:shd w:val="clear" w:color="auto" w:fill="auto"/>
                  <w:vAlign w:val="center"/>
                </w:tcPr>
                <w:p w14:paraId="2C5ED85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所有规模</w:t>
                  </w:r>
                </w:p>
              </w:tc>
              <w:tc>
                <w:tcPr>
                  <w:tcW w:w="702" w:type="pct"/>
                  <w:shd w:val="clear" w:color="auto" w:fill="auto"/>
                  <w:vAlign w:val="center"/>
                </w:tcPr>
                <w:p w14:paraId="2A3081B1">
                  <w:pPr>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1"/>
                      <w:rFonts w:hint="default" w:ascii="Times New Roman" w:hAnsi="Times New Roman" w:eastAsia="宋体" w:cs="Times New Roman"/>
                      <w:color w:val="000000" w:themeColor="text1"/>
                      <w:sz w:val="21"/>
                      <w:szCs w:val="21"/>
                      <w:lang w:bidi="ar"/>
                      <w14:textFill>
                        <w14:solidFill>
                          <w14:schemeClr w14:val="tx1"/>
                        </w14:solidFill>
                      </w14:textFill>
                    </w:rPr>
                    <w:t>颗粒物</w:t>
                  </w:r>
                </w:p>
              </w:tc>
              <w:tc>
                <w:tcPr>
                  <w:tcW w:w="1004" w:type="pct"/>
                  <w:shd w:val="clear" w:color="auto" w:fill="auto"/>
                  <w:vAlign w:val="center"/>
                </w:tcPr>
                <w:p w14:paraId="60762EEB">
                  <w:pPr>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1"/>
                      <w:rFonts w:hint="default" w:ascii="Times New Roman" w:hAnsi="Times New Roman" w:eastAsia="宋体" w:cs="Times New Roman"/>
                      <w:color w:val="000000" w:themeColor="text1"/>
                      <w:sz w:val="21"/>
                      <w:szCs w:val="21"/>
                      <w:lang w:bidi="ar"/>
                      <w14:textFill>
                        <w14:solidFill>
                          <w14:schemeClr w14:val="tx1"/>
                        </w14:solidFill>
                      </w14:textFill>
                    </w:rPr>
                    <w:t>千克</w:t>
                  </w:r>
                  <w:r>
                    <w:rPr>
                      <w:rStyle w:val="115"/>
                      <w:rFonts w:hint="default" w:ascii="Times New Roman" w:hAnsi="Times New Roman" w:eastAsia="宋体" w:cs="Times New Roman"/>
                      <w:color w:val="000000" w:themeColor="text1"/>
                      <w:sz w:val="21"/>
                      <w:szCs w:val="21"/>
                      <w:lang w:bidi="ar"/>
                      <w14:textFill>
                        <w14:solidFill>
                          <w14:schemeClr w14:val="tx1"/>
                        </w14:solidFill>
                      </w14:textFill>
                    </w:rPr>
                    <w:t>/</w:t>
                  </w:r>
                  <w:r>
                    <w:rPr>
                      <w:rStyle w:val="101"/>
                      <w:rFonts w:hint="default" w:ascii="Times New Roman" w:hAnsi="Times New Roman" w:eastAsia="宋体" w:cs="Times New Roman"/>
                      <w:color w:val="000000" w:themeColor="text1"/>
                      <w:sz w:val="21"/>
                      <w:szCs w:val="21"/>
                      <w:lang w:eastAsia="zh-CN" w:bidi="ar"/>
                      <w14:textFill>
                        <w14:solidFill>
                          <w14:schemeClr w14:val="tx1"/>
                        </w14:solidFill>
                      </w14:textFill>
                    </w:rPr>
                    <w:t>立方米</w:t>
                  </w:r>
                  <w:r>
                    <w:rPr>
                      <w:rStyle w:val="115"/>
                      <w:rFonts w:hint="default" w:ascii="Times New Roman" w:hAnsi="Times New Roman" w:eastAsia="宋体" w:cs="Times New Roman"/>
                      <w:color w:val="000000" w:themeColor="text1"/>
                      <w:sz w:val="21"/>
                      <w:szCs w:val="21"/>
                      <w:lang w:bidi="ar"/>
                      <w14:textFill>
                        <w14:solidFill>
                          <w14:schemeClr w14:val="tx1"/>
                        </w14:solidFill>
                      </w14:textFill>
                    </w:rPr>
                    <w:t>-</w:t>
                  </w:r>
                  <w:r>
                    <w:rPr>
                      <w:rStyle w:val="101"/>
                      <w:rFonts w:hint="default" w:ascii="Times New Roman" w:hAnsi="Times New Roman" w:eastAsia="宋体" w:cs="Times New Roman"/>
                      <w:color w:val="000000" w:themeColor="text1"/>
                      <w:sz w:val="21"/>
                      <w:szCs w:val="21"/>
                      <w:lang w:bidi="ar"/>
                      <w14:textFill>
                        <w14:solidFill>
                          <w14:schemeClr w14:val="tx1"/>
                        </w14:solidFill>
                      </w14:textFill>
                    </w:rPr>
                    <w:t>原料</w:t>
                  </w:r>
                </w:p>
              </w:tc>
              <w:tc>
                <w:tcPr>
                  <w:tcW w:w="781" w:type="pct"/>
                  <w:shd w:val="clear" w:color="auto" w:fill="auto"/>
                  <w:vAlign w:val="center"/>
                </w:tcPr>
                <w:p w14:paraId="7339257F">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0.000286</w:t>
                  </w:r>
                </w:p>
              </w:tc>
              <w:tc>
                <w:tcPr>
                  <w:tcW w:w="959" w:type="pct"/>
                  <w:shd w:val="clear" w:color="auto" w:fill="auto"/>
                  <w:vAlign w:val="center"/>
                </w:tcPr>
                <w:p w14:paraId="4350524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r>
                    <w:rPr>
                      <w:rFonts w:hint="eastAsia" w:cs="Times New Roman"/>
                      <w:color w:val="000000" w:themeColor="text1"/>
                      <w:sz w:val="21"/>
                      <w:szCs w:val="21"/>
                      <w:lang w:val="en-US" w:eastAsia="zh-CN"/>
                      <w14:textFill>
                        <w14:solidFill>
                          <w14:schemeClr w14:val="tx1"/>
                        </w14:solidFill>
                      </w14:textFill>
                    </w:rPr>
                    <w:t>245</w:t>
                  </w:r>
                </w:p>
              </w:tc>
            </w:tr>
            <w:tr w14:paraId="7576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continue"/>
                  <w:shd w:val="clear" w:color="auto" w:fill="auto"/>
                  <w:vAlign w:val="center"/>
                </w:tcPr>
                <w:p w14:paraId="028FE51B">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14" w:type="pct"/>
                  <w:vMerge w:val="continue"/>
                  <w:shd w:val="clear" w:color="auto" w:fill="auto"/>
                  <w:vAlign w:val="center"/>
                </w:tcPr>
                <w:p w14:paraId="4D4E1346">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478" w:type="pct"/>
                  <w:vMerge w:val="continue"/>
                  <w:shd w:val="clear" w:color="auto" w:fill="auto"/>
                  <w:vAlign w:val="center"/>
                </w:tcPr>
                <w:p w14:paraId="27776516">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02" w:type="pct"/>
                  <w:shd w:val="clear" w:color="auto" w:fill="auto"/>
                  <w:vAlign w:val="center"/>
                </w:tcPr>
                <w:p w14:paraId="0E8B45AA">
                  <w:pPr>
                    <w:jc w:val="center"/>
                    <w:textAlignment w:val="center"/>
                    <w:rPr>
                      <w:rStyle w:val="101"/>
                      <w:rFonts w:hint="default" w:ascii="Times New Roman" w:hAnsi="Times New Roman" w:eastAsia="宋体" w:cs="Times New Roman"/>
                      <w:color w:val="000000" w:themeColor="text1"/>
                      <w:sz w:val="21"/>
                      <w:szCs w:val="21"/>
                      <w:lang w:bidi="ar"/>
                      <w14:textFill>
                        <w14:solidFill>
                          <w14:schemeClr w14:val="tx1"/>
                        </w14:solidFill>
                      </w14:textFill>
                    </w:rPr>
                  </w:pPr>
                  <w:r>
                    <w:rPr>
                      <w:rStyle w:val="101"/>
                      <w:rFonts w:hint="default" w:ascii="Times New Roman" w:hAnsi="Times New Roman" w:eastAsia="宋体" w:cs="Times New Roman"/>
                      <w:color w:val="000000" w:themeColor="text1"/>
                      <w:sz w:val="21"/>
                      <w:szCs w:val="21"/>
                      <w:lang w:bidi="ar"/>
                      <w14:textFill>
                        <w14:solidFill>
                          <w14:schemeClr w14:val="tx1"/>
                        </w14:solidFill>
                      </w14:textFill>
                    </w:rPr>
                    <w:t>二氧化硫</w:t>
                  </w:r>
                </w:p>
              </w:tc>
              <w:tc>
                <w:tcPr>
                  <w:tcW w:w="1004" w:type="pct"/>
                  <w:shd w:val="clear" w:color="auto" w:fill="auto"/>
                  <w:vAlign w:val="center"/>
                </w:tcPr>
                <w:p w14:paraId="298FF3F2">
                  <w:pPr>
                    <w:jc w:val="center"/>
                    <w:textAlignment w:val="center"/>
                    <w:rPr>
                      <w:rStyle w:val="101"/>
                      <w:rFonts w:hint="default" w:ascii="Times New Roman" w:hAnsi="Times New Roman" w:eastAsia="宋体" w:cs="Times New Roman"/>
                      <w:color w:val="000000" w:themeColor="text1"/>
                      <w:sz w:val="21"/>
                      <w:szCs w:val="21"/>
                      <w:lang w:bidi="ar"/>
                      <w14:textFill>
                        <w14:solidFill>
                          <w14:schemeClr w14:val="tx1"/>
                        </w14:solidFill>
                      </w14:textFill>
                    </w:rPr>
                  </w:pPr>
                  <w:r>
                    <w:rPr>
                      <w:rStyle w:val="101"/>
                      <w:rFonts w:hint="default" w:ascii="Times New Roman" w:hAnsi="Times New Roman" w:eastAsia="宋体" w:cs="Times New Roman"/>
                      <w:color w:val="000000" w:themeColor="text1"/>
                      <w:sz w:val="21"/>
                      <w:szCs w:val="21"/>
                      <w:lang w:bidi="ar"/>
                      <w14:textFill>
                        <w14:solidFill>
                          <w14:schemeClr w14:val="tx1"/>
                        </w14:solidFill>
                      </w14:textFill>
                    </w:rPr>
                    <w:t>千克</w:t>
                  </w:r>
                  <w:r>
                    <w:rPr>
                      <w:rStyle w:val="115"/>
                      <w:rFonts w:hint="default" w:ascii="Times New Roman" w:hAnsi="Times New Roman" w:eastAsia="宋体" w:cs="Times New Roman"/>
                      <w:color w:val="000000" w:themeColor="text1"/>
                      <w:sz w:val="21"/>
                      <w:szCs w:val="21"/>
                      <w:lang w:bidi="ar"/>
                      <w14:textFill>
                        <w14:solidFill>
                          <w14:schemeClr w14:val="tx1"/>
                        </w14:solidFill>
                      </w14:textFill>
                    </w:rPr>
                    <w:t>/</w:t>
                  </w:r>
                  <w:r>
                    <w:rPr>
                      <w:rStyle w:val="101"/>
                      <w:rFonts w:hint="default" w:ascii="Times New Roman" w:hAnsi="Times New Roman" w:eastAsia="宋体" w:cs="Times New Roman"/>
                      <w:color w:val="000000" w:themeColor="text1"/>
                      <w:sz w:val="21"/>
                      <w:szCs w:val="21"/>
                      <w:lang w:eastAsia="zh-CN" w:bidi="ar"/>
                      <w14:textFill>
                        <w14:solidFill>
                          <w14:schemeClr w14:val="tx1"/>
                        </w14:solidFill>
                      </w14:textFill>
                    </w:rPr>
                    <w:t>立方米</w:t>
                  </w:r>
                  <w:r>
                    <w:rPr>
                      <w:rStyle w:val="115"/>
                      <w:rFonts w:hint="default" w:ascii="Times New Roman" w:hAnsi="Times New Roman" w:eastAsia="宋体" w:cs="Times New Roman"/>
                      <w:color w:val="000000" w:themeColor="text1"/>
                      <w:sz w:val="21"/>
                      <w:szCs w:val="21"/>
                      <w:lang w:bidi="ar"/>
                      <w14:textFill>
                        <w14:solidFill>
                          <w14:schemeClr w14:val="tx1"/>
                        </w14:solidFill>
                      </w14:textFill>
                    </w:rPr>
                    <w:t>-</w:t>
                  </w:r>
                  <w:r>
                    <w:rPr>
                      <w:rStyle w:val="101"/>
                      <w:rFonts w:hint="default" w:ascii="Times New Roman" w:hAnsi="Times New Roman" w:eastAsia="宋体" w:cs="Times New Roman"/>
                      <w:color w:val="000000" w:themeColor="text1"/>
                      <w:sz w:val="21"/>
                      <w:szCs w:val="21"/>
                      <w:lang w:bidi="ar"/>
                      <w14:textFill>
                        <w14:solidFill>
                          <w14:schemeClr w14:val="tx1"/>
                        </w14:solidFill>
                      </w14:textFill>
                    </w:rPr>
                    <w:t>原料</w:t>
                  </w:r>
                </w:p>
              </w:tc>
              <w:tc>
                <w:tcPr>
                  <w:tcW w:w="781" w:type="pct"/>
                  <w:shd w:val="clear" w:color="auto" w:fill="auto"/>
                  <w:vAlign w:val="center"/>
                </w:tcPr>
                <w:p w14:paraId="2F79577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0.000002</w:t>
                  </w:r>
                  <w:r>
                    <w:rPr>
                      <w:rFonts w:hint="default" w:ascii="Times New Roman" w:hAnsi="Times New Roman" w:eastAsia="宋体" w:cs="Times New Roman"/>
                      <w:color w:val="000000" w:themeColor="text1"/>
                      <w:sz w:val="21"/>
                      <w:szCs w:val="21"/>
                      <w14:textFill>
                        <w14:solidFill>
                          <w14:schemeClr w14:val="tx1"/>
                        </w14:solidFill>
                      </w14:textFill>
                    </w:rPr>
                    <w:t>S</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①</w:t>
                  </w:r>
                </w:p>
              </w:tc>
              <w:tc>
                <w:tcPr>
                  <w:tcW w:w="959" w:type="pct"/>
                  <w:shd w:val="clear" w:color="auto" w:fill="auto"/>
                  <w:vAlign w:val="center"/>
                </w:tcPr>
                <w:p w14:paraId="05401C7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0871</w:t>
                  </w:r>
                </w:p>
              </w:tc>
            </w:tr>
            <w:tr w14:paraId="533F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continue"/>
                  <w:shd w:val="clear" w:color="auto" w:fill="auto"/>
                  <w:vAlign w:val="center"/>
                </w:tcPr>
                <w:p w14:paraId="00764C95">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14" w:type="pct"/>
                  <w:vMerge w:val="continue"/>
                  <w:shd w:val="clear" w:color="auto" w:fill="auto"/>
                  <w:vAlign w:val="center"/>
                </w:tcPr>
                <w:p w14:paraId="2C96AEA7">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8" w:type="pct"/>
                  <w:vMerge w:val="continue"/>
                  <w:shd w:val="clear" w:color="auto" w:fill="auto"/>
                  <w:vAlign w:val="center"/>
                </w:tcPr>
                <w:p w14:paraId="5D1A449F">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02" w:type="pct"/>
                  <w:shd w:val="clear" w:color="auto" w:fill="auto"/>
                  <w:vAlign w:val="center"/>
                </w:tcPr>
                <w:p w14:paraId="3B9B2938">
                  <w:pPr>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1"/>
                      <w:rFonts w:hint="default" w:ascii="Times New Roman" w:hAnsi="Times New Roman" w:eastAsia="宋体" w:cs="Times New Roman"/>
                      <w:color w:val="000000" w:themeColor="text1"/>
                      <w:sz w:val="21"/>
                      <w:szCs w:val="21"/>
                      <w:lang w:bidi="ar"/>
                      <w14:textFill>
                        <w14:solidFill>
                          <w14:schemeClr w14:val="tx1"/>
                        </w14:solidFill>
                      </w14:textFill>
                    </w:rPr>
                    <w:t>氮氧化物</w:t>
                  </w:r>
                </w:p>
              </w:tc>
              <w:tc>
                <w:tcPr>
                  <w:tcW w:w="1004" w:type="pct"/>
                  <w:shd w:val="clear" w:color="auto" w:fill="auto"/>
                  <w:vAlign w:val="center"/>
                </w:tcPr>
                <w:p w14:paraId="4686DFE6">
                  <w:pPr>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1"/>
                      <w:rFonts w:hint="default" w:ascii="Times New Roman" w:hAnsi="Times New Roman" w:eastAsia="宋体" w:cs="Times New Roman"/>
                      <w:color w:val="000000" w:themeColor="text1"/>
                      <w:sz w:val="21"/>
                      <w:szCs w:val="21"/>
                      <w:lang w:bidi="ar"/>
                      <w14:textFill>
                        <w14:solidFill>
                          <w14:schemeClr w14:val="tx1"/>
                        </w14:solidFill>
                      </w14:textFill>
                    </w:rPr>
                    <w:t>千克</w:t>
                  </w:r>
                  <w:r>
                    <w:rPr>
                      <w:rStyle w:val="115"/>
                      <w:rFonts w:hint="default" w:ascii="Times New Roman" w:hAnsi="Times New Roman" w:eastAsia="宋体" w:cs="Times New Roman"/>
                      <w:color w:val="000000" w:themeColor="text1"/>
                      <w:sz w:val="21"/>
                      <w:szCs w:val="21"/>
                      <w:lang w:bidi="ar"/>
                      <w14:textFill>
                        <w14:solidFill>
                          <w14:schemeClr w14:val="tx1"/>
                        </w14:solidFill>
                      </w14:textFill>
                    </w:rPr>
                    <w:t>/</w:t>
                  </w:r>
                  <w:r>
                    <w:rPr>
                      <w:rStyle w:val="101"/>
                      <w:rFonts w:hint="default" w:ascii="Times New Roman" w:hAnsi="Times New Roman" w:eastAsia="宋体" w:cs="Times New Roman"/>
                      <w:color w:val="000000" w:themeColor="text1"/>
                      <w:sz w:val="21"/>
                      <w:szCs w:val="21"/>
                      <w:lang w:eastAsia="zh-CN" w:bidi="ar"/>
                      <w14:textFill>
                        <w14:solidFill>
                          <w14:schemeClr w14:val="tx1"/>
                        </w14:solidFill>
                      </w14:textFill>
                    </w:rPr>
                    <w:t>立方米</w:t>
                  </w:r>
                  <w:r>
                    <w:rPr>
                      <w:rStyle w:val="115"/>
                      <w:rFonts w:hint="default" w:ascii="Times New Roman" w:hAnsi="Times New Roman" w:eastAsia="宋体" w:cs="Times New Roman"/>
                      <w:color w:val="000000" w:themeColor="text1"/>
                      <w:sz w:val="21"/>
                      <w:szCs w:val="21"/>
                      <w:lang w:bidi="ar"/>
                      <w14:textFill>
                        <w14:solidFill>
                          <w14:schemeClr w14:val="tx1"/>
                        </w14:solidFill>
                      </w14:textFill>
                    </w:rPr>
                    <w:t>-</w:t>
                  </w:r>
                  <w:r>
                    <w:rPr>
                      <w:rStyle w:val="101"/>
                      <w:rFonts w:hint="default" w:ascii="Times New Roman" w:hAnsi="Times New Roman" w:eastAsia="宋体" w:cs="Times New Roman"/>
                      <w:color w:val="000000" w:themeColor="text1"/>
                      <w:sz w:val="21"/>
                      <w:szCs w:val="21"/>
                      <w:lang w:bidi="ar"/>
                      <w14:textFill>
                        <w14:solidFill>
                          <w14:schemeClr w14:val="tx1"/>
                        </w14:solidFill>
                      </w14:textFill>
                    </w:rPr>
                    <w:t>原料</w:t>
                  </w:r>
                </w:p>
              </w:tc>
              <w:tc>
                <w:tcPr>
                  <w:tcW w:w="781" w:type="pct"/>
                  <w:shd w:val="clear" w:color="auto" w:fill="auto"/>
                  <w:vAlign w:val="center"/>
                </w:tcPr>
                <w:p w14:paraId="5EEEECA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0.00187</w:t>
                  </w:r>
                </w:p>
              </w:tc>
              <w:tc>
                <w:tcPr>
                  <w:tcW w:w="959" w:type="pct"/>
                  <w:shd w:val="clear" w:color="auto" w:fill="auto"/>
                  <w:vAlign w:val="center"/>
                </w:tcPr>
                <w:p w14:paraId="501AA00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0.8140</w:t>
                  </w:r>
                </w:p>
              </w:tc>
            </w:tr>
            <w:tr w14:paraId="50E1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vAlign w:val="center"/>
                </w:tcPr>
                <w:p w14:paraId="7375551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备注：根据《天然气标准》（GB17820-2018）中表1天然气质量要求，天然气含硫量不大于100mg/m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，则本次按S=100mg/Nm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计算。</w:t>
                  </w:r>
                </w:p>
              </w:tc>
            </w:tr>
          </w:tbl>
          <w:p w14:paraId="67430BC3">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2）RTO设备燃烧废气</w:t>
            </w:r>
          </w:p>
          <w:p w14:paraId="0E2B820E">
            <w:pPr>
              <w:pStyle w:val="45"/>
              <w:keepNext w:val="0"/>
              <w:keepLines w:val="0"/>
              <w:pageBreakBefore w:val="0"/>
              <w:widowControl w:val="0"/>
              <w:kinsoku/>
              <w:wordWrap w:val="0"/>
              <w:overflowPunct/>
              <w:topLinePunct/>
              <w:autoSpaceDE/>
              <w:autoSpaceDN/>
              <w:bidi w:val="0"/>
              <w:ind w:left="0" w:leftChars="0" w:right="0" w:firstLine="480"/>
              <w:rPr>
                <w:rFonts w:hint="eastAsia"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本项目有机废气中主要成分为非甲烷总烃，</w:t>
            </w:r>
            <w:r>
              <w:rPr>
                <w:rFonts w:hint="eastAsia" w:cs="Times New Roman"/>
                <w:color w:val="000000" w:themeColor="text1"/>
                <w:lang w:val="en-US" w:eastAsia="zh-CN"/>
                <w14:textFill>
                  <w14:solidFill>
                    <w14:schemeClr w14:val="tx1"/>
                  </w14:solidFill>
                </w14:textFill>
              </w:rPr>
              <w:t>天然气主要成分为甲烷，</w:t>
            </w:r>
            <w:r>
              <w:rPr>
                <w:rFonts w:hint="default" w:ascii="Times New Roman" w:hAnsi="Times New Roman" w:eastAsia="宋体" w:cs="Times New Roman"/>
                <w:color w:val="000000" w:themeColor="text1"/>
                <w:lang w:val="en-US" w:eastAsia="zh-CN"/>
                <w14:textFill>
                  <w14:solidFill>
                    <w14:schemeClr w14:val="tx1"/>
                  </w14:solidFill>
                </w14:textFill>
              </w:rPr>
              <w:t>烃类化合物主要由碳和氢元素组成</w:t>
            </w:r>
            <w:r>
              <w:rPr>
                <w:rFonts w:hint="eastAsia" w:eastAsia="宋体" w:cs="Times New Roman"/>
                <w:color w:val="000000" w:themeColor="text1"/>
                <w:lang w:val="en-US" w:eastAsia="zh-CN"/>
                <w14:textFill>
                  <w14:solidFill>
                    <w14:schemeClr w14:val="tx1"/>
                  </w14:solidFill>
                </w14:textFill>
              </w:rPr>
              <w:t>，不涉及燃料型NOx。</w:t>
            </w:r>
          </w:p>
          <w:p w14:paraId="552469A9">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RTO设备处理有机废气过程中</w:t>
            </w:r>
            <w:r>
              <w:rPr>
                <w:rFonts w:hint="default" w:ascii="Times New Roman" w:hAnsi="Times New Roman" w:eastAsia="宋体" w:cs="Times New Roman"/>
                <w:color w:val="000000" w:themeColor="text1"/>
                <w:lang w:val="en-US" w:eastAsia="zh-CN"/>
                <w14:textFill>
                  <w14:solidFill>
                    <w14:schemeClr w14:val="tx1"/>
                  </w14:solidFill>
                </w14:textFill>
              </w:rPr>
              <w:t>空气中的氮气和氧气在高温下发生化学反应</w:t>
            </w:r>
            <w:r>
              <w:rPr>
                <w:rFonts w:hint="eastAsia" w:eastAsia="宋体" w:cs="Times New Roman"/>
                <w:color w:val="000000" w:themeColor="text1"/>
                <w:lang w:val="en-US" w:eastAsia="zh-CN"/>
                <w14:textFill>
                  <w14:solidFill>
                    <w14:schemeClr w14:val="tx1"/>
                  </w14:solidFill>
                </w14:textFill>
              </w:rPr>
              <w:t>，会产生少量</w:t>
            </w:r>
            <w:r>
              <w:rPr>
                <w:rFonts w:hint="default" w:ascii="Times New Roman" w:hAnsi="Times New Roman" w:eastAsia="宋体" w:cs="Times New Roman"/>
                <w:color w:val="000000" w:themeColor="text1"/>
                <w:lang w:val="en-US" w:eastAsia="zh-CN"/>
                <w14:textFill>
                  <w14:solidFill>
                    <w14:schemeClr w14:val="tx1"/>
                  </w14:solidFill>
                </w14:textFill>
              </w:rPr>
              <w:t>热力型 NOx。</w:t>
            </w:r>
          </w:p>
          <w:p w14:paraId="78981194">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查阅相关资料，热力NOx的生成和温度关系很大，在温度足够高时，热力型NOx的生成量可占到NOx总量的30%。随着反应温度T的升高，其反应速率按指数规律增加。当T&lt;1300℃时NOx的生成量不大，而当T&gt;1300%时T每增加100℃，反应速率增大6~7倍。热力型NOx的生成是一种缓慢的反应过程，是由燃烧空气中的N与反应物如O和OH以及分子O反应而成的。</w:t>
            </w:r>
          </w:p>
          <w:p w14:paraId="7DFA5B2B">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根据相关资料，RTO设备运行温度一般在760~980℃之间，低于热力型NOx生成的温度条件，相应的热力型NOx产生量较少。</w:t>
            </w:r>
          </w:p>
          <w:p w14:paraId="00D0730B">
            <w:pPr>
              <w:pStyle w:val="45"/>
              <w:keepNext w:val="0"/>
              <w:keepLines w:val="0"/>
              <w:pageBreakBefore w:val="0"/>
              <w:widowControl w:val="0"/>
              <w:kinsoku/>
              <w:wordWrap w:val="0"/>
              <w:overflowPunct/>
              <w:topLinePunct/>
              <w:autoSpaceDE/>
              <w:autoSpaceDN/>
              <w:bidi w:val="0"/>
              <w:ind w:left="0" w:leftChars="0" w:right="0" w:firstLine="480"/>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参考《广东龙兴新材料有限公司尖端电子基新材料建设项目环境影响评价报告表》（http://www.xinhui.gov.cn/zwgk/zdlyxxgk/hjbhxxgk/jsxmhjyxpjxx/jsxmhpspslgg/content/post_3293495.html）中引用</w:t>
            </w:r>
            <w:r>
              <w:rPr>
                <w:rFonts w:hint="eastAsia" w:cs="Times New Roman"/>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处理废气RTO设备燃烧废气，《工业污染源现场检查执法指南》（2003年，中国环境科学出版社出版），单位燃料燃烧时生成的热力型NO</w:t>
            </w:r>
            <w:r>
              <w:rPr>
                <w:rFonts w:hint="eastAsia" w:eastAsia="宋体" w:cs="Times New Roman"/>
                <w:color w:val="000000" w:themeColor="text1"/>
                <w:vertAlign w:val="subscript"/>
                <w:lang w:val="en-US" w:eastAsia="zh-CN"/>
                <w14:textFill>
                  <w14:solidFill>
                    <w14:schemeClr w14:val="tx1"/>
                  </w14:solidFill>
                </w14:textFill>
              </w:rPr>
              <w:t>2</w:t>
            </w:r>
            <w:r>
              <w:rPr>
                <w:rFonts w:hint="eastAsia" w:eastAsia="宋体" w:cs="Times New Roman"/>
                <w:color w:val="000000" w:themeColor="text1"/>
                <w:lang w:val="en-US" w:eastAsia="zh-CN"/>
                <w14:textFill>
                  <w14:solidFill>
                    <w14:schemeClr w14:val="tx1"/>
                  </w14:solidFill>
                </w14:textFill>
              </w:rPr>
              <w:t>的经验公式</w:t>
            </w:r>
            <w:r>
              <w:rPr>
                <w:rFonts w:hint="eastAsia" w:cs="Times New Roman"/>
                <w:color w:val="000000" w:themeColor="text1"/>
                <w:lang w:val="en-US" w:eastAsia="zh-CN"/>
                <w14:textFill>
                  <w14:solidFill>
                    <w14:schemeClr w14:val="tx1"/>
                  </w14:solidFill>
                </w14:textFill>
              </w:rPr>
              <w:t>”。</w:t>
            </w:r>
          </w:p>
          <w:p w14:paraId="4CE6064E">
            <w:pPr>
              <w:pStyle w:val="45"/>
              <w:keepNext w:val="0"/>
              <w:keepLines w:val="0"/>
              <w:pageBreakBefore w:val="0"/>
              <w:widowControl w:val="0"/>
              <w:kinsoku/>
              <w:wordWrap w:val="0"/>
              <w:overflowPunct/>
              <w:topLinePunct/>
              <w:autoSpaceDE/>
              <w:autoSpaceDN/>
              <w:bidi w:val="0"/>
              <w:ind w:right="0"/>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GNO</w:t>
            </w:r>
            <w:r>
              <w:rPr>
                <w:rFonts w:hint="eastAsia" w:eastAsia="宋体" w:cs="Times New Roman"/>
                <w:color w:val="000000" w:themeColor="text1"/>
                <w:vertAlign w:val="subscript"/>
                <w:lang w:val="en-US" w:eastAsia="zh-CN"/>
                <w14:textFill>
                  <w14:solidFill>
                    <w14:schemeClr w14:val="tx1"/>
                  </w14:solidFill>
                </w14:textFill>
              </w:rPr>
              <w:t>2</w:t>
            </w:r>
            <w:r>
              <w:rPr>
                <w:rFonts w:hint="eastAsia" w:eastAsia="宋体" w:cs="Times New Roman"/>
                <w:color w:val="000000" w:themeColor="text1"/>
                <w:lang w:val="en-US" w:eastAsia="zh-CN"/>
                <w14:textFill>
                  <w14:solidFill>
                    <w14:schemeClr w14:val="tx1"/>
                  </w14:solidFill>
                </w14:textFill>
              </w:rPr>
              <w:t>=1630×B×（0.015×η3+0.000938）</w:t>
            </w:r>
          </w:p>
          <w:p w14:paraId="22488277">
            <w:pPr>
              <w:pStyle w:val="45"/>
              <w:keepNext w:val="0"/>
              <w:keepLines w:val="0"/>
              <w:pageBreakBefore w:val="0"/>
              <w:widowControl w:val="0"/>
              <w:kinsoku/>
              <w:wordWrap w:val="0"/>
              <w:overflowPunct/>
              <w:topLinePunct/>
              <w:autoSpaceDE/>
              <w:autoSpaceDN/>
              <w:bidi w:val="0"/>
              <w:ind w:left="0" w:leftChars="0" w:right="0" w:firstLine="48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GNO</w:t>
            </w:r>
            <w:r>
              <w:rPr>
                <w:rFonts w:hint="eastAsia" w:eastAsia="宋体" w:cs="Times New Roman"/>
                <w:color w:val="000000" w:themeColor="text1"/>
                <w:vertAlign w:val="subscript"/>
                <w:lang w:val="en-US" w:eastAsia="zh-CN"/>
                <w14:textFill>
                  <w14:solidFill>
                    <w14:schemeClr w14:val="tx1"/>
                  </w14:solidFill>
                </w14:textFill>
              </w:rPr>
              <w:t>2</w:t>
            </w:r>
            <w:r>
              <w:rPr>
                <w:rFonts w:hint="eastAsia" w:eastAsia="宋体" w:cs="Times New Roman"/>
                <w:color w:val="000000" w:themeColor="text1"/>
                <w:lang w:val="en-US" w:eastAsia="zh-CN"/>
                <w14:textFill>
                  <w14:solidFill>
                    <w14:schemeClr w14:val="tx1"/>
                  </w14:solidFill>
                </w14:textFill>
              </w:rPr>
              <w:t>—NO</w:t>
            </w:r>
            <w:r>
              <w:rPr>
                <w:rFonts w:hint="eastAsia" w:eastAsia="宋体" w:cs="Times New Roman"/>
                <w:color w:val="000000" w:themeColor="text1"/>
                <w:vertAlign w:val="subscript"/>
                <w:lang w:val="en-US" w:eastAsia="zh-CN"/>
                <w14:textFill>
                  <w14:solidFill>
                    <w14:schemeClr w14:val="tx1"/>
                  </w14:solidFill>
                </w14:textFill>
              </w:rPr>
              <w:t>2</w:t>
            </w:r>
            <w:r>
              <w:rPr>
                <w:rFonts w:hint="eastAsia" w:eastAsia="宋体" w:cs="Times New Roman"/>
                <w:color w:val="000000" w:themeColor="text1"/>
                <w:lang w:val="en-US" w:eastAsia="zh-CN"/>
                <w14:textFill>
                  <w14:solidFill>
                    <w14:schemeClr w14:val="tx1"/>
                  </w14:solidFill>
                </w14:textFill>
              </w:rPr>
              <w:t>排放量，kg；</w:t>
            </w:r>
          </w:p>
          <w:p w14:paraId="0B6266DB">
            <w:pPr>
              <w:pStyle w:val="45"/>
              <w:keepNext w:val="0"/>
              <w:keepLines w:val="0"/>
              <w:pageBreakBefore w:val="0"/>
              <w:widowControl w:val="0"/>
              <w:kinsoku/>
              <w:wordWrap w:val="0"/>
              <w:overflowPunct/>
              <w:topLinePunct/>
              <w:autoSpaceDE/>
              <w:autoSpaceDN/>
              <w:bidi w:val="0"/>
              <w:ind w:left="0" w:leftChars="0" w:right="0" w:firstLine="48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B—燃料量，T，本项目燃烧有机废气约6.34812t/a；</w:t>
            </w:r>
            <w:r>
              <w:rPr>
                <w:rFonts w:hint="eastAsia" w:cs="Times New Roman"/>
                <w:color w:val="000000" w:themeColor="text1"/>
                <w:lang w:val="en-US" w:eastAsia="zh-CN"/>
                <w14:textFill>
                  <w14:solidFill>
                    <w14:schemeClr w14:val="tx1"/>
                  </w14:solidFill>
                </w14:textFill>
              </w:rPr>
              <w:t>天然气燃烧量为435312</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/a</w:t>
            </w:r>
            <w:r>
              <w:rPr>
                <w:rFonts w:hint="eastAsia" w:ascii="Times New Roman" w:hAnsi="Times New Roman" w:eastAsia="宋体" w:cs="Times New Roman"/>
                <w:color w:val="000000" w:themeColor="text1"/>
                <w:lang w:val="en-US" w:eastAsia="zh-CN"/>
                <w14:textFill>
                  <w14:solidFill>
                    <w14:schemeClr w14:val="tx1"/>
                  </w14:solidFill>
                </w14:textFill>
              </w:rPr>
              <w:t>（天然气密度约0.717kg/m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），即312.12t。</w:t>
            </w:r>
          </w:p>
          <w:p w14:paraId="197C2F04">
            <w:pPr>
              <w:pStyle w:val="45"/>
              <w:keepNext w:val="0"/>
              <w:keepLines w:val="0"/>
              <w:pageBreakBefore w:val="0"/>
              <w:widowControl w:val="0"/>
              <w:kinsoku/>
              <w:wordWrap w:val="0"/>
              <w:overflowPunct/>
              <w:topLinePunct/>
              <w:autoSpaceDE/>
              <w:autoSpaceDN/>
              <w:bidi w:val="0"/>
              <w:ind w:left="0" w:leftChars="0" w:right="0" w:firstLine="48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η3—燃料中氮的转化率，RTO设备温度760℃~980℃，远低于1300℃，取0。</w:t>
            </w:r>
          </w:p>
          <w:p w14:paraId="1C09C610">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NOx以NO</w:t>
            </w:r>
            <w:r>
              <w:rPr>
                <w:rFonts w:hint="eastAsia" w:eastAsia="宋体" w:cs="Times New Roman"/>
                <w:color w:val="000000" w:themeColor="text1"/>
                <w:vertAlign w:val="subscript"/>
                <w:lang w:val="en-US" w:eastAsia="zh-CN"/>
                <w14:textFill>
                  <w14:solidFill>
                    <w14:schemeClr w14:val="tx1"/>
                  </w14:solidFill>
                </w14:textFill>
              </w:rPr>
              <w:t>2</w:t>
            </w:r>
            <w:r>
              <w:rPr>
                <w:rFonts w:hint="eastAsia" w:eastAsia="宋体" w:cs="Times New Roman"/>
                <w:color w:val="000000" w:themeColor="text1"/>
                <w:lang w:val="en-US" w:eastAsia="zh-CN"/>
                <w14:textFill>
                  <w14:solidFill>
                    <w14:schemeClr w14:val="tx1"/>
                  </w14:solidFill>
                </w14:textFill>
              </w:rPr>
              <w:t>计，综上所述，</w:t>
            </w:r>
            <w:r>
              <w:rPr>
                <w:rFonts w:hint="default" w:eastAsia="宋体" w:cs="Times New Roman"/>
                <w:color w:val="000000" w:themeColor="text1"/>
                <w:lang w:val="en-US" w:eastAsia="zh-CN"/>
                <w14:textFill>
                  <w14:solidFill>
                    <w14:schemeClr w14:val="tx1"/>
                  </w14:solidFill>
                </w14:textFill>
              </w:rPr>
              <w:t>通过计算得出</w:t>
            </w:r>
            <w:r>
              <w:rPr>
                <w:rFonts w:hint="eastAsia" w:eastAsia="宋体" w:cs="Times New Roman"/>
                <w:color w:val="000000" w:themeColor="text1"/>
                <w:lang w:val="en-US" w:eastAsia="zh-CN"/>
                <w14:textFill>
                  <w14:solidFill>
                    <w14:schemeClr w14:val="tx1"/>
                  </w14:solidFill>
                </w14:textFill>
              </w:rPr>
              <w:t>本项目有机废气RT设备</w:t>
            </w:r>
            <w:r>
              <w:rPr>
                <w:rFonts w:hint="default" w:eastAsia="宋体" w:cs="Times New Roman"/>
                <w:color w:val="000000" w:themeColor="text1"/>
                <w:lang w:val="en-US" w:eastAsia="zh-CN"/>
                <w14:textFill>
                  <w14:solidFill>
                    <w14:schemeClr w14:val="tx1"/>
                  </w14:solidFill>
                </w14:textFill>
              </w:rPr>
              <w:t>燃烧时生成的热力型氮氧化物量为0.</w:t>
            </w:r>
            <w:r>
              <w:rPr>
                <w:rFonts w:hint="eastAsia" w:cs="Times New Roman"/>
                <w:color w:val="000000" w:themeColor="text1"/>
                <w:lang w:val="en-US" w:eastAsia="zh-CN"/>
                <w14:textFill>
                  <w14:solidFill>
                    <w14:schemeClr w14:val="tx1"/>
                  </w14:solidFill>
                </w14:textFill>
              </w:rPr>
              <w:t>4869</w:t>
            </w:r>
            <w:r>
              <w:rPr>
                <w:rFonts w:hint="default" w:eastAsia="宋体" w:cs="Times New Roman"/>
                <w:color w:val="000000" w:themeColor="text1"/>
                <w:lang w:val="en-US" w:eastAsia="zh-CN"/>
                <w14:textFill>
                  <w14:solidFill>
                    <w14:schemeClr w14:val="tx1"/>
                  </w14:solidFill>
                </w14:textFill>
              </w:rPr>
              <w:t>t/a。</w:t>
            </w:r>
          </w:p>
          <w:p w14:paraId="42F2ABD5">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⑦熟化废气</w:t>
            </w:r>
          </w:p>
          <w:p w14:paraId="4C76539F">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项目生产过程中复合后的材料需进入熟化箱内进行熟化，熟化需要保持 70~100℃，熟化时间一般需要12~72小时。熟化过程主要是为了使胶粘剂彻底交联固化。</w:t>
            </w:r>
          </w:p>
          <w:p w14:paraId="4F2CE921">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由于彩印和复合过程中的有机溶剂在印刷、复合的烘干过程中已基本挥发，熟化废气主要为熟化箱打开的短暂时间会有少量挥发性有机污染物废气逸散，熟化废气产生量极少，本环评仅做定性分析。</w:t>
            </w:r>
          </w:p>
          <w:p w14:paraId="31EDAE09">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考虑到物料熟化过程时间较长，本环评建议建设单位在熟化工序结束后收集熟化室内的废气并引入RTO废气处理系统处理。</w:t>
            </w:r>
          </w:p>
          <w:p w14:paraId="069024B0">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⑧小计</w:t>
            </w:r>
          </w:p>
          <w:p w14:paraId="30651F83">
            <w:pPr>
              <w:pStyle w:val="45"/>
              <w:keepNext w:val="0"/>
              <w:keepLines/>
              <w:pageBreakBefore w:val="0"/>
              <w:kinsoku/>
              <w:overflowPunct/>
              <w:bidi w:val="0"/>
              <w:adjustRightInd/>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本项目集气罩废气收集效率</w:t>
            </w:r>
            <w:r>
              <w:rPr>
                <w:rFonts w:hint="default" w:ascii="Times New Roman" w:hAnsi="Times New Roman" w:eastAsia="宋体" w:cs="Times New Roman"/>
                <w:color w:val="000000" w:themeColor="text1"/>
                <w:lang w:eastAsia="zh-CN"/>
                <w14:textFill>
                  <w14:solidFill>
                    <w14:schemeClr w14:val="tx1"/>
                  </w14:solidFill>
                </w14:textFill>
              </w:rPr>
              <w:t>参考《浙江省重点行业</w:t>
            </w:r>
            <w:r>
              <w:rPr>
                <w:rFonts w:hint="default" w:ascii="Times New Roman" w:hAnsi="Times New Roman" w:eastAsia="宋体" w:cs="Times New Roman"/>
                <w:color w:val="000000" w:themeColor="text1"/>
                <w:lang w:val="en-US" w:eastAsia="zh-CN"/>
                <w14:textFill>
                  <w14:solidFill>
                    <w14:schemeClr w14:val="tx1"/>
                  </w14:solidFill>
                </w14:textFill>
              </w:rPr>
              <w:t>VOCs污染排放源排放量计算方法</w:t>
            </w:r>
            <w:r>
              <w:rPr>
                <w:rFonts w:hint="default" w:ascii="Times New Roman" w:hAnsi="Times New Roman" w:eastAsia="宋体" w:cs="Times New Roman"/>
                <w:color w:val="000000" w:themeColor="text1"/>
                <w:lang w:eastAsia="zh-CN"/>
                <w14:textFill>
                  <w14:solidFill>
                    <w14:schemeClr w14:val="tx1"/>
                  </w14:solidFill>
                </w14:textFill>
              </w:rPr>
              <w:t>》（浙江省环境保护科学设计研究院、浙江环科环境研究院有限公司），</w:t>
            </w:r>
            <w:r>
              <w:rPr>
                <w:rFonts w:hint="eastAsia" w:cs="Times New Roman"/>
                <w:color w:val="000000" w:themeColor="text1"/>
                <w:lang w:eastAsia="zh-CN"/>
                <w14:textFill>
                  <w14:solidFill>
                    <w14:schemeClr w14:val="tx1"/>
                  </w14:solidFill>
                </w14:textFill>
              </w:rPr>
              <w:t>“半密闭罩或通风橱方式收集，收集效率为</w:t>
            </w:r>
            <w:r>
              <w:rPr>
                <w:rFonts w:hint="eastAsia" w:cs="Times New Roman"/>
                <w:color w:val="000000" w:themeColor="text1"/>
                <w:lang w:val="en-US" w:eastAsia="zh-CN"/>
                <w14:textFill>
                  <w14:solidFill>
                    <w14:schemeClr w14:val="tx1"/>
                  </w14:solidFill>
                </w14:textFill>
              </w:rPr>
              <w:t>65~85%。</w:t>
            </w:r>
            <w:r>
              <w:rPr>
                <w:rFonts w:hint="default" w:ascii="Times New Roman" w:hAnsi="Times New Roman" w:eastAsia="宋体" w:cs="Times New Roman"/>
                <w:color w:val="000000" w:themeColor="text1"/>
                <w:lang w:val="en-US" w:eastAsia="zh-CN"/>
                <w14:textFill>
                  <w14:solidFill>
                    <w14:schemeClr w14:val="tx1"/>
                  </w14:solidFill>
                </w14:textFill>
              </w:rPr>
              <w:t>污染物产生点（面）处，往吸入口方向的控制风速不小于某一数值（喷漆不小于0.75m/s，其余不小于0.5m/s</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根据上文风机风量计算，本项目平均风速取1.05m/s，</w:t>
            </w:r>
            <w:r>
              <w:rPr>
                <w:rFonts w:hint="default" w:ascii="Times New Roman" w:hAnsi="Times New Roman" w:eastAsia="宋体" w:cs="Times New Roman"/>
                <w:color w:val="000000" w:themeColor="text1"/>
                <w:lang w:val="en-US" w:eastAsia="zh-CN"/>
                <w14:textFill>
                  <w14:solidFill>
                    <w14:schemeClr w14:val="tx1"/>
                  </w14:solidFill>
                </w14:textFill>
              </w:rPr>
              <w:t>故本项目收集效率按</w:t>
            </w:r>
            <w:r>
              <w:rPr>
                <w:rFonts w:hint="eastAsia" w:cs="Times New Roman"/>
                <w:color w:val="000000" w:themeColor="text1"/>
                <w:lang w:val="en-US" w:eastAsia="zh-CN"/>
                <w14:textFill>
                  <w14:solidFill>
                    <w14:schemeClr w14:val="tx1"/>
                  </w14:solidFill>
                </w14:textFill>
              </w:rPr>
              <w:t>85</w:t>
            </w:r>
            <w:r>
              <w:rPr>
                <w:rFonts w:hint="default" w:ascii="Times New Roman" w:hAnsi="Times New Roman" w:eastAsia="宋体" w:cs="Times New Roman"/>
                <w:color w:val="000000" w:themeColor="text1"/>
                <w:lang w:val="en-US" w:eastAsia="zh-CN"/>
                <w14:textFill>
                  <w14:solidFill>
                    <w14:schemeClr w14:val="tx1"/>
                  </w14:solidFill>
                </w14:textFill>
              </w:rPr>
              <w:t>%计，则</w:t>
            </w:r>
            <w:r>
              <w:rPr>
                <w:rFonts w:hint="default" w:ascii="Times New Roman" w:hAnsi="Times New Roman" w:eastAsia="宋体" w:cs="Times New Roman"/>
                <w:color w:val="000000" w:themeColor="text1"/>
                <w14:textFill>
                  <w14:solidFill>
                    <w14:schemeClr w14:val="tx1"/>
                  </w14:solidFill>
                </w14:textFill>
              </w:rPr>
              <w:t>剩余</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%未收集的废气为无组织排放。</w:t>
            </w:r>
            <w:r>
              <w:rPr>
                <w:rFonts w:hint="default" w:ascii="Times New Roman" w:hAnsi="Times New Roman" w:eastAsia="宋体" w:cs="Times New Roman"/>
                <w:color w:val="000000" w:themeColor="text1"/>
                <w:lang w:eastAsia="zh-CN"/>
                <w14:textFill>
                  <w14:solidFill>
                    <w14:schemeClr w14:val="tx1"/>
                  </w14:solidFill>
                </w14:textFill>
              </w:rPr>
              <w:t>溶剂间为密闭收集，</w:t>
            </w:r>
            <w:r>
              <w:rPr>
                <w:rFonts w:hint="eastAsia" w:cs="Times New Roman"/>
                <w:color w:val="000000" w:themeColor="text1"/>
                <w:lang w:eastAsia="zh-CN"/>
                <w14:textFill>
                  <w14:solidFill>
                    <w14:schemeClr w14:val="tx1"/>
                  </w14:solidFill>
                </w14:textFill>
              </w:rPr>
              <w:t>考虑少量门窗及缝隙逸散，</w:t>
            </w:r>
            <w:r>
              <w:rPr>
                <w:rFonts w:hint="default" w:ascii="Times New Roman" w:hAnsi="Times New Roman" w:eastAsia="宋体" w:cs="Times New Roman"/>
                <w:color w:val="000000" w:themeColor="text1"/>
                <w:lang w:eastAsia="zh-CN"/>
                <w14:textFill>
                  <w14:solidFill>
                    <w14:schemeClr w14:val="tx1"/>
                  </w14:solidFill>
                </w14:textFill>
              </w:rPr>
              <w:t>收集效率按</w:t>
            </w:r>
            <w:r>
              <w:rPr>
                <w:rFonts w:hint="eastAsia" w:cs="Times New Roman"/>
                <w:color w:val="000000" w:themeColor="text1"/>
                <w:lang w:val="en-US" w:eastAsia="zh-CN"/>
                <w14:textFill>
                  <w14:solidFill>
                    <w14:schemeClr w14:val="tx1"/>
                  </w14:solidFill>
                </w14:textFill>
              </w:rPr>
              <w:t>95</w:t>
            </w:r>
            <w:r>
              <w:rPr>
                <w:rFonts w:hint="default" w:ascii="Times New Roman" w:hAnsi="Times New Roman" w:eastAsia="宋体" w:cs="Times New Roman"/>
                <w:color w:val="000000" w:themeColor="text1"/>
                <w:lang w:val="en-US" w:eastAsia="zh-CN"/>
                <w14:textFill>
                  <w14:solidFill>
                    <w14:schemeClr w14:val="tx1"/>
                  </w14:solidFill>
                </w14:textFill>
              </w:rPr>
              <w:t>%计。</w:t>
            </w:r>
          </w:p>
          <w:p w14:paraId="7C00EAEA">
            <w:pPr>
              <w:pStyle w:val="45"/>
              <w:keepNext w:val="0"/>
              <w:keepLines/>
              <w:pageBreakBefore w:val="0"/>
              <w:kinsoku/>
              <w:overflowPunct/>
              <w:bidi w:val="0"/>
              <w:adjustRightInd/>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本项目废气经收集后引至一套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处理后通过22m高排气。本次参照《印刷工业污染防治可行技术指南》（</w:t>
            </w:r>
            <w:r>
              <w:rPr>
                <w:rFonts w:hint="default" w:ascii="Times New Roman" w:hAnsi="Times New Roman" w:eastAsia="宋体" w:cs="Times New Roman"/>
                <w:color w:val="000000" w:themeColor="text1"/>
                <w:lang w:eastAsia="zh-CN"/>
                <w14:textFill>
                  <w14:solidFill>
                    <w14:schemeClr w14:val="tx1"/>
                  </w14:solidFill>
                </w14:textFill>
              </w:rPr>
              <w:t>HJ1089—2020</w:t>
            </w:r>
            <w:r>
              <w:rPr>
                <w:rFonts w:hint="default" w:ascii="Times New Roman" w:hAnsi="Times New Roman" w:eastAsia="宋体" w:cs="Times New Roman"/>
                <w:color w:val="000000" w:themeColor="text1"/>
                <w:lang w:val="en-US" w:eastAsia="zh-CN"/>
                <w14:textFill>
                  <w14:solidFill>
                    <w14:schemeClr w14:val="tx1"/>
                  </w14:solidFill>
                </w14:textFill>
              </w:rPr>
              <w:t>）中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6.1.3.2蓄热燃烧技术，两室RTO的VOCs去除效率通常可达90%以上，多室床式或旋转式RTO的VOCs去除效率通常可达95%以上。</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，同时参照《蓄热燃烧法工业有机废气治理工程技术规范》（HJ1093—2020）中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6.1.2两室蓄热燃烧装置的净化效率不宜低于95 %，多室或旋转式蓄热燃烧装置的净化效率不宜低于98%。</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bidi="ar"/>
                <w14:textFill>
                  <w14:solidFill>
                    <w14:schemeClr w14:val="tx1"/>
                  </w14:solidFill>
                </w14:textFill>
              </w:rPr>
              <w:t>RTO设备为三厢式结构设计</w:t>
            </w:r>
            <w:r>
              <w:rPr>
                <w:rFonts w:hint="default" w:ascii="Times New Roman" w:hAnsi="Times New Roman" w:eastAsia="宋体" w:cs="Times New Roman"/>
                <w:color w:val="000000" w:themeColor="text1"/>
                <w:lang w:val="en-US" w:eastAsia="zh-CN"/>
                <w14:textFill>
                  <w14:solidFill>
                    <w14:schemeClr w14:val="tx1"/>
                  </w14:solidFill>
                </w14:textFill>
              </w:rPr>
              <w:t>，治理效率95%~98%，本次以95%计。</w:t>
            </w:r>
          </w:p>
          <w:p w14:paraId="7CBB3B24">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本项目有组织废气排放量详见下表。</w:t>
            </w:r>
          </w:p>
          <w:p w14:paraId="0BCED4F3">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表4-7  本项目有组织废气源强一览表</w:t>
            </w:r>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657"/>
              <w:gridCol w:w="891"/>
              <w:gridCol w:w="558"/>
              <w:gridCol w:w="899"/>
              <w:gridCol w:w="899"/>
              <w:gridCol w:w="829"/>
              <w:gridCol w:w="899"/>
              <w:gridCol w:w="892"/>
              <w:gridCol w:w="892"/>
            </w:tblGrid>
            <w:tr w14:paraId="7232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02" w:type="pct"/>
                  <w:noWrap w:val="0"/>
                  <w:vAlign w:val="center"/>
                </w:tcPr>
                <w:p w14:paraId="05763B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废气类型</w:t>
                  </w:r>
                </w:p>
              </w:tc>
              <w:tc>
                <w:tcPr>
                  <w:tcW w:w="412" w:type="pct"/>
                  <w:noWrap w:val="0"/>
                  <w:vAlign w:val="center"/>
                </w:tcPr>
                <w:p w14:paraId="03F6FE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557" w:type="pct"/>
                  <w:noWrap w:val="0"/>
                  <w:vAlign w:val="center"/>
                </w:tcPr>
                <w:p w14:paraId="5F19F7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w:t>
                  </w:r>
                </w:p>
                <w:p w14:paraId="18ADCB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（t/a）</w:t>
                  </w:r>
                </w:p>
              </w:tc>
              <w:tc>
                <w:tcPr>
                  <w:tcW w:w="350" w:type="pct"/>
                  <w:noWrap w:val="0"/>
                  <w:vAlign w:val="center"/>
                </w:tcPr>
                <w:p w14:paraId="6C38CF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收集效率</w:t>
                  </w:r>
                </w:p>
                <w:p w14:paraId="342D35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526" w:type="pct"/>
                  <w:noWrap w:val="0"/>
                  <w:vAlign w:val="center"/>
                </w:tcPr>
                <w:p w14:paraId="10876A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无组织源强t/a</w:t>
                  </w:r>
                </w:p>
              </w:tc>
              <w:tc>
                <w:tcPr>
                  <w:tcW w:w="557" w:type="pct"/>
                  <w:noWrap w:val="0"/>
                  <w:vAlign w:val="center"/>
                </w:tcPr>
                <w:p w14:paraId="514CCC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有组织源强t/a</w:t>
                  </w:r>
                </w:p>
              </w:tc>
              <w:tc>
                <w:tcPr>
                  <w:tcW w:w="518" w:type="pct"/>
                  <w:noWrap w:val="0"/>
                  <w:vAlign w:val="center"/>
                </w:tcPr>
                <w:p w14:paraId="01DB2F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废气治理措施</w:t>
                  </w:r>
                </w:p>
              </w:tc>
              <w:tc>
                <w:tcPr>
                  <w:tcW w:w="557" w:type="pct"/>
                  <w:noWrap w:val="0"/>
                  <w:vAlign w:val="center"/>
                </w:tcPr>
                <w:p w14:paraId="7F475A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排放量t/a</w:t>
                  </w:r>
                </w:p>
              </w:tc>
              <w:tc>
                <w:tcPr>
                  <w:tcW w:w="557" w:type="pct"/>
                  <w:noWrap w:val="0"/>
                  <w:vAlign w:val="center"/>
                </w:tcPr>
                <w:p w14:paraId="5D2E4E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排放速率kg/h</w:t>
                  </w:r>
                </w:p>
              </w:tc>
              <w:tc>
                <w:tcPr>
                  <w:tcW w:w="557" w:type="pct"/>
                  <w:noWrap w:val="0"/>
                  <w:vAlign w:val="center"/>
                </w:tcPr>
                <w:p w14:paraId="00ACFE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排放浓度</w:t>
                  </w:r>
                </w:p>
                <w:p w14:paraId="1BD9383A">
                  <w:pPr>
                    <w:pStyle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mg/m</w:t>
                  </w:r>
                  <w:r>
                    <w:rPr>
                      <w:rFonts w:hint="default" w:ascii="Times New Roman" w:hAnsi="Times New Roman" w:eastAsia="宋体" w:cs="Times New Roman"/>
                      <w:b/>
                      <w:bCs/>
                      <w:color w:val="000000" w:themeColor="text1"/>
                      <w:vertAlign w:val="superscript"/>
                      <w:lang w:val="en-US" w:eastAsia="zh-CN"/>
                      <w14:textFill>
                        <w14:solidFill>
                          <w14:schemeClr w14:val="tx1"/>
                        </w14:solidFill>
                      </w14:textFill>
                    </w:rPr>
                    <w:t>3</w:t>
                  </w:r>
                </w:p>
              </w:tc>
            </w:tr>
            <w:tr w14:paraId="0BB2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02" w:type="pct"/>
                  <w:vMerge w:val="restart"/>
                  <w:noWrap w:val="0"/>
                  <w:vAlign w:val="center"/>
                </w:tcPr>
                <w:p w14:paraId="5BE3F5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印刷废气</w:t>
                  </w:r>
                </w:p>
              </w:tc>
              <w:tc>
                <w:tcPr>
                  <w:tcW w:w="412" w:type="pct"/>
                  <w:noWrap w:val="0"/>
                  <w:vAlign w:val="center"/>
                </w:tcPr>
                <w:p w14:paraId="11D901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苯及苯系物</w:t>
                  </w:r>
                </w:p>
              </w:tc>
              <w:tc>
                <w:tcPr>
                  <w:tcW w:w="557" w:type="pct"/>
                  <w:noWrap w:val="0"/>
                  <w:vAlign w:val="center"/>
                </w:tcPr>
                <w:p w14:paraId="4C321B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少量</w:t>
                  </w:r>
                </w:p>
              </w:tc>
              <w:tc>
                <w:tcPr>
                  <w:tcW w:w="350" w:type="pct"/>
                  <w:noWrap w:val="0"/>
                  <w:vAlign w:val="center"/>
                </w:tcPr>
                <w:p w14:paraId="0C8537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6" w:type="pct"/>
                  <w:noWrap w:val="0"/>
                  <w:vAlign w:val="center"/>
                </w:tcPr>
                <w:p w14:paraId="0445A9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57" w:type="pct"/>
                  <w:noWrap w:val="0"/>
                  <w:vAlign w:val="center"/>
                </w:tcPr>
                <w:p w14:paraId="27F363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518" w:type="pct"/>
                  <w:vMerge w:val="restart"/>
                  <w:noWrap w:val="0"/>
                  <w:vAlign w:val="center"/>
                </w:tcPr>
                <w:p w14:paraId="09292274">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RTO蓄热燃烧，治理效率95%，22m高排气筒DA001排放；风机风量</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0000m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/h</w:t>
                  </w:r>
                </w:p>
              </w:tc>
              <w:tc>
                <w:tcPr>
                  <w:tcW w:w="557" w:type="pct"/>
                  <w:noWrap w:val="0"/>
                  <w:vAlign w:val="center"/>
                </w:tcPr>
                <w:p w14:paraId="12BEE5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少量</w:t>
                  </w:r>
                </w:p>
              </w:tc>
              <w:tc>
                <w:tcPr>
                  <w:tcW w:w="557" w:type="pct"/>
                  <w:noWrap w:val="0"/>
                  <w:vAlign w:val="center"/>
                </w:tcPr>
                <w:p w14:paraId="4AA0EA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557" w:type="pct"/>
                  <w:noWrap w:val="0"/>
                  <w:vAlign w:val="center"/>
                </w:tcPr>
                <w:p w14:paraId="6F9277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0A6F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02" w:type="pct"/>
                  <w:vMerge w:val="continue"/>
                  <w:noWrap w:val="0"/>
                  <w:vAlign w:val="center"/>
                </w:tcPr>
                <w:p w14:paraId="36A7D1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12" w:type="pct"/>
                  <w:vMerge w:val="restart"/>
                  <w:noWrap w:val="0"/>
                  <w:vAlign w:val="center"/>
                </w:tcPr>
                <w:p w14:paraId="7E88D9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557" w:type="pct"/>
                  <w:noWrap w:val="0"/>
                  <w:vAlign w:val="center"/>
                </w:tcPr>
                <w:p w14:paraId="06AFAA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5.6057</w:t>
                  </w:r>
                </w:p>
              </w:tc>
              <w:tc>
                <w:tcPr>
                  <w:tcW w:w="350" w:type="pct"/>
                  <w:noWrap w:val="0"/>
                  <w:vAlign w:val="center"/>
                </w:tcPr>
                <w:p w14:paraId="33A3DD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c>
                <w:tcPr>
                  <w:tcW w:w="526" w:type="pct"/>
                  <w:noWrap w:val="0"/>
                  <w:vAlign w:val="center"/>
                </w:tcPr>
                <w:p w14:paraId="2E1731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0.8409</w:t>
                  </w:r>
                </w:p>
              </w:tc>
              <w:tc>
                <w:tcPr>
                  <w:tcW w:w="557" w:type="pct"/>
                  <w:noWrap w:val="0"/>
                  <w:vAlign w:val="center"/>
                </w:tcPr>
                <w:p w14:paraId="0C93F6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4.7648</w:t>
                  </w:r>
                </w:p>
              </w:tc>
              <w:tc>
                <w:tcPr>
                  <w:tcW w:w="518" w:type="pct"/>
                  <w:vMerge w:val="continue"/>
                  <w:noWrap w:val="0"/>
                  <w:vAlign w:val="center"/>
                </w:tcPr>
                <w:p w14:paraId="79A6F611">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899" w:type="dxa"/>
                  <w:vMerge w:val="restart"/>
                  <w:noWrap w:val="0"/>
                  <w:vAlign w:val="center"/>
                </w:tcPr>
                <w:p w14:paraId="00A7AE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w:t>
                  </w:r>
                  <w:r>
                    <w:rPr>
                      <w:rFonts w:hint="eastAsia" w:cs="Times New Roman"/>
                      <w:color w:val="000000" w:themeColor="text1"/>
                      <w:lang w:val="en-US" w:eastAsia="zh-CN"/>
                      <w14:textFill>
                        <w14:solidFill>
                          <w14:schemeClr w14:val="tx1"/>
                        </w14:solidFill>
                      </w14:textFill>
                    </w:rPr>
                    <w:t>7074</w:t>
                  </w:r>
                </w:p>
              </w:tc>
              <w:tc>
                <w:tcPr>
                  <w:tcW w:w="899" w:type="dxa"/>
                  <w:vMerge w:val="restart"/>
                  <w:shd w:val="clear" w:color="auto" w:fill="auto"/>
                  <w:noWrap w:val="0"/>
                  <w:vAlign w:val="center"/>
                </w:tcPr>
                <w:p w14:paraId="449123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0.0376</w:t>
                  </w:r>
                </w:p>
              </w:tc>
              <w:tc>
                <w:tcPr>
                  <w:tcW w:w="899" w:type="dxa"/>
                  <w:vMerge w:val="restart"/>
                  <w:noWrap w:val="0"/>
                  <w:vAlign w:val="center"/>
                </w:tcPr>
                <w:p w14:paraId="60AEAC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1.25</w:t>
                  </w:r>
                </w:p>
              </w:tc>
            </w:tr>
            <w:tr w14:paraId="043A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402" w:type="pct"/>
                  <w:noWrap w:val="0"/>
                  <w:vAlign w:val="center"/>
                </w:tcPr>
                <w:p w14:paraId="296143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复合废气</w:t>
                  </w:r>
                </w:p>
              </w:tc>
              <w:tc>
                <w:tcPr>
                  <w:tcW w:w="412" w:type="pct"/>
                  <w:vMerge w:val="continue"/>
                  <w:noWrap w:val="0"/>
                  <w:vAlign w:val="center"/>
                </w:tcPr>
                <w:p w14:paraId="45606C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7" w:type="pct"/>
                  <w:noWrap w:val="0"/>
                  <w:vAlign w:val="center"/>
                </w:tcPr>
                <w:p w14:paraId="737465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0.0212</w:t>
                  </w:r>
                </w:p>
              </w:tc>
              <w:tc>
                <w:tcPr>
                  <w:tcW w:w="350" w:type="pct"/>
                  <w:noWrap w:val="0"/>
                  <w:vAlign w:val="center"/>
                </w:tcPr>
                <w:p w14:paraId="4190BF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c>
                <w:tcPr>
                  <w:tcW w:w="526" w:type="pct"/>
                  <w:noWrap w:val="0"/>
                  <w:vAlign w:val="center"/>
                </w:tcPr>
                <w:p w14:paraId="54B214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0.00318</w:t>
                  </w:r>
                </w:p>
              </w:tc>
              <w:tc>
                <w:tcPr>
                  <w:tcW w:w="557" w:type="pct"/>
                  <w:noWrap w:val="0"/>
                  <w:vAlign w:val="center"/>
                </w:tcPr>
                <w:p w14:paraId="49C77B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0.0180</w:t>
                  </w:r>
                </w:p>
              </w:tc>
              <w:tc>
                <w:tcPr>
                  <w:tcW w:w="518" w:type="pct"/>
                  <w:vMerge w:val="continue"/>
                  <w:noWrap w:val="0"/>
                  <w:vAlign w:val="center"/>
                </w:tcPr>
                <w:p w14:paraId="2EF5D2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7" w:type="pct"/>
                  <w:vMerge w:val="continue"/>
                  <w:noWrap w:val="0"/>
                  <w:vAlign w:val="center"/>
                </w:tcPr>
                <w:p w14:paraId="73840C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7" w:type="pct"/>
                  <w:vMerge w:val="continue"/>
                  <w:noWrap w:val="0"/>
                  <w:vAlign w:val="center"/>
                </w:tcPr>
                <w:p w14:paraId="644870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7" w:type="pct"/>
                  <w:vMerge w:val="continue"/>
                  <w:noWrap w:val="0"/>
                  <w:vAlign w:val="center"/>
                </w:tcPr>
                <w:p w14:paraId="73B981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69D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02" w:type="pct"/>
                  <w:noWrap w:val="0"/>
                  <w:vAlign w:val="center"/>
                </w:tcPr>
                <w:p w14:paraId="39C27D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制袋废气</w:t>
                  </w:r>
                </w:p>
              </w:tc>
              <w:tc>
                <w:tcPr>
                  <w:tcW w:w="412" w:type="pct"/>
                  <w:vMerge w:val="continue"/>
                  <w:noWrap w:val="0"/>
                  <w:vAlign w:val="center"/>
                </w:tcPr>
                <w:p w14:paraId="285E9F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7" w:type="pct"/>
                  <w:noWrap w:val="0"/>
                  <w:vAlign w:val="center"/>
                </w:tcPr>
                <w:p w14:paraId="1CA16B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0.5311</w:t>
                  </w:r>
                </w:p>
              </w:tc>
              <w:tc>
                <w:tcPr>
                  <w:tcW w:w="350" w:type="pct"/>
                  <w:noWrap w:val="0"/>
                  <w:vAlign w:val="center"/>
                </w:tcPr>
                <w:p w14:paraId="2FF87B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85</w:t>
                  </w:r>
                </w:p>
              </w:tc>
              <w:tc>
                <w:tcPr>
                  <w:tcW w:w="526" w:type="pct"/>
                  <w:noWrap w:val="0"/>
                  <w:vAlign w:val="center"/>
                </w:tcPr>
                <w:p w14:paraId="0A370C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0.0797</w:t>
                  </w:r>
                </w:p>
              </w:tc>
              <w:tc>
                <w:tcPr>
                  <w:tcW w:w="557" w:type="pct"/>
                  <w:noWrap w:val="0"/>
                  <w:vAlign w:val="center"/>
                </w:tcPr>
                <w:p w14:paraId="4A69AD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0.4514</w:t>
                  </w:r>
                </w:p>
              </w:tc>
              <w:tc>
                <w:tcPr>
                  <w:tcW w:w="518" w:type="pct"/>
                  <w:vMerge w:val="continue"/>
                  <w:noWrap w:val="0"/>
                  <w:vAlign w:val="center"/>
                </w:tcPr>
                <w:p w14:paraId="3E05E5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noWrap w:val="0"/>
                  <w:vAlign w:val="center"/>
                </w:tcPr>
                <w:p w14:paraId="6FFF41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noWrap w:val="0"/>
                  <w:vAlign w:val="center"/>
                </w:tcPr>
                <w:p w14:paraId="05D3E1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noWrap w:val="0"/>
                  <w:vAlign w:val="center"/>
                </w:tcPr>
                <w:p w14:paraId="77BB49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14:paraId="4FAD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noWrap w:val="0"/>
                  <w:vAlign w:val="center"/>
                </w:tcPr>
                <w:p w14:paraId="52A2CC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熟化废气</w:t>
                  </w:r>
                </w:p>
              </w:tc>
              <w:tc>
                <w:tcPr>
                  <w:tcW w:w="412" w:type="pct"/>
                  <w:vMerge w:val="continue"/>
                  <w:noWrap w:val="0"/>
                  <w:vAlign w:val="center"/>
                </w:tcPr>
                <w:p w14:paraId="71AC22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7" w:type="pct"/>
                  <w:noWrap w:val="0"/>
                  <w:vAlign w:val="center"/>
                </w:tcPr>
                <w:p w14:paraId="076FFC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少量</w:t>
                  </w:r>
                </w:p>
              </w:tc>
              <w:tc>
                <w:tcPr>
                  <w:tcW w:w="350" w:type="pct"/>
                  <w:noWrap w:val="0"/>
                  <w:vAlign w:val="center"/>
                </w:tcPr>
                <w:p w14:paraId="36091E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526" w:type="pct"/>
                  <w:noWrap w:val="0"/>
                  <w:vAlign w:val="center"/>
                </w:tcPr>
                <w:p w14:paraId="1A02BB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557" w:type="pct"/>
                  <w:noWrap w:val="0"/>
                  <w:vAlign w:val="center"/>
                </w:tcPr>
                <w:p w14:paraId="0D1D3C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518" w:type="pct"/>
                  <w:vMerge w:val="continue"/>
                  <w:noWrap w:val="0"/>
                  <w:vAlign w:val="center"/>
                </w:tcPr>
                <w:p w14:paraId="3AA8B0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noWrap w:val="0"/>
                  <w:vAlign w:val="center"/>
                </w:tcPr>
                <w:p w14:paraId="765C89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noWrap w:val="0"/>
                  <w:vAlign w:val="center"/>
                </w:tcPr>
                <w:p w14:paraId="796427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noWrap w:val="0"/>
                  <w:vAlign w:val="center"/>
                </w:tcPr>
                <w:p w14:paraId="0B70ED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14:paraId="189C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02" w:type="pct"/>
                  <w:noWrap w:val="0"/>
                  <w:vAlign w:val="center"/>
                </w:tcPr>
                <w:p w14:paraId="2912D9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溶剂间废气</w:t>
                  </w:r>
                </w:p>
              </w:tc>
              <w:tc>
                <w:tcPr>
                  <w:tcW w:w="412" w:type="pct"/>
                  <w:vMerge w:val="continue"/>
                  <w:noWrap w:val="0"/>
                  <w:vAlign w:val="center"/>
                </w:tcPr>
                <w:p w14:paraId="4F3892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7" w:type="pct"/>
                  <w:noWrap w:val="0"/>
                  <w:vAlign w:val="center"/>
                </w:tcPr>
                <w:p w14:paraId="5BE6D2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0.1901</w:t>
                  </w:r>
                </w:p>
              </w:tc>
              <w:tc>
                <w:tcPr>
                  <w:tcW w:w="350" w:type="pct"/>
                  <w:noWrap w:val="0"/>
                  <w:vAlign w:val="center"/>
                </w:tcPr>
                <w:p w14:paraId="7C4DF5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95</w:t>
                  </w:r>
                </w:p>
              </w:tc>
              <w:tc>
                <w:tcPr>
                  <w:tcW w:w="526" w:type="pct"/>
                  <w:noWrap w:val="0"/>
                  <w:vAlign w:val="center"/>
                </w:tcPr>
                <w:p w14:paraId="0685602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ascii="Times New Roman" w:hAnsi="Times New Roman" w:eastAsia="宋体" w:cs="Times New Roman"/>
                      <w:color w:val="000000" w:themeColor="text1"/>
                      <w:lang w:val="en-US" w:eastAsia="zh-CN"/>
                      <w14:textFill>
                        <w14:solidFill>
                          <w14:schemeClr w14:val="tx1"/>
                        </w14:solidFill>
                      </w14:textFill>
                    </w:rPr>
                    <w:t>00950</w:t>
                  </w:r>
                </w:p>
                <w:p w14:paraId="47A667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557" w:type="pct"/>
                  <w:noWrap w:val="0"/>
                  <w:vAlign w:val="center"/>
                </w:tcPr>
                <w:p w14:paraId="42A7A1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8059</w:t>
                  </w:r>
                </w:p>
                <w:p w14:paraId="79F67D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518" w:type="pct"/>
                  <w:vMerge w:val="continue"/>
                  <w:noWrap w:val="0"/>
                  <w:vAlign w:val="center"/>
                </w:tcPr>
                <w:p w14:paraId="6BAAA3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noWrap w:val="0"/>
                  <w:vAlign w:val="center"/>
                </w:tcPr>
                <w:p w14:paraId="4ACAA7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noWrap w:val="0"/>
                  <w:vAlign w:val="center"/>
                </w:tcPr>
                <w:p w14:paraId="440062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noWrap w:val="0"/>
                  <w:vAlign w:val="center"/>
                </w:tcPr>
                <w:p w14:paraId="075751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14:paraId="77BF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pct"/>
                  <w:gridSpan w:val="2"/>
                  <w:noWrap w:val="0"/>
                  <w:vAlign w:val="center"/>
                </w:tcPr>
                <w:p w14:paraId="50DD57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合计</w:t>
                  </w:r>
                </w:p>
              </w:tc>
              <w:tc>
                <w:tcPr>
                  <w:tcW w:w="557" w:type="pct"/>
                  <w:shd w:val="clear" w:color="auto" w:fill="auto"/>
                  <w:noWrap w:val="0"/>
                  <w:vAlign w:val="center"/>
                </w:tcPr>
                <w:p w14:paraId="7FE1D6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6.3481</w:t>
                  </w:r>
                </w:p>
              </w:tc>
              <w:tc>
                <w:tcPr>
                  <w:tcW w:w="350" w:type="pct"/>
                  <w:noWrap w:val="0"/>
                  <w:vAlign w:val="center"/>
                </w:tcPr>
                <w:p w14:paraId="3B2367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526" w:type="pct"/>
                  <w:shd w:val="clear" w:color="auto" w:fill="auto"/>
                  <w:noWrap w:val="0"/>
                  <w:vAlign w:val="center"/>
                </w:tcPr>
                <w:p w14:paraId="3B3C0E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w:t>
                  </w:r>
                  <w:r>
                    <w:rPr>
                      <w:rFonts w:hint="eastAsia" w:cs="Times New Roman"/>
                      <w:color w:val="000000" w:themeColor="text1"/>
                      <w:lang w:val="en-US" w:eastAsia="zh-CN"/>
                      <w14:textFill>
                        <w14:solidFill>
                          <w14:schemeClr w14:val="tx1"/>
                        </w14:solidFill>
                      </w14:textFill>
                    </w:rPr>
                    <w:t>3328</w:t>
                  </w:r>
                </w:p>
                <w:p w14:paraId="671C3C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557" w:type="pct"/>
                  <w:shd w:val="clear" w:color="auto" w:fill="auto"/>
                  <w:noWrap w:val="0"/>
                  <w:vAlign w:val="center"/>
                </w:tcPr>
                <w:p w14:paraId="4C9AF5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5.4</w:t>
                  </w:r>
                  <w:r>
                    <w:rPr>
                      <w:rFonts w:hint="eastAsia" w:cs="Times New Roman"/>
                      <w:color w:val="000000" w:themeColor="text1"/>
                      <w:lang w:val="en-US" w:eastAsia="zh-CN"/>
                      <w14:textFill>
                        <w14:solidFill>
                          <w14:schemeClr w14:val="tx1"/>
                        </w14:solidFill>
                      </w14:textFill>
                    </w:rPr>
                    <w:t>1479</w:t>
                  </w:r>
                </w:p>
                <w:p w14:paraId="4DEE89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518" w:type="pct"/>
                  <w:vMerge w:val="continue"/>
                  <w:shd w:val="clear" w:color="auto" w:fill="auto"/>
                  <w:noWrap w:val="0"/>
                  <w:vAlign w:val="center"/>
                </w:tcPr>
                <w:p w14:paraId="4BA1F5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shd w:val="clear" w:color="auto" w:fill="auto"/>
                  <w:noWrap w:val="0"/>
                  <w:vAlign w:val="center"/>
                </w:tcPr>
                <w:p w14:paraId="017E31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shd w:val="clear" w:color="auto" w:fill="auto"/>
                  <w:noWrap w:val="0"/>
                  <w:vAlign w:val="center"/>
                </w:tcPr>
                <w:p w14:paraId="3615FA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557" w:type="pct"/>
                  <w:vMerge w:val="continue"/>
                  <w:shd w:val="clear" w:color="auto" w:fill="auto"/>
                  <w:noWrap w:val="0"/>
                  <w:vAlign w:val="center"/>
                </w:tcPr>
                <w:p w14:paraId="6DFF39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14:paraId="6BD1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vMerge w:val="restart"/>
                  <w:noWrap w:val="0"/>
                  <w:vAlign w:val="center"/>
                </w:tcPr>
                <w:p w14:paraId="3B8565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天然气燃烧废气</w:t>
                  </w:r>
                </w:p>
              </w:tc>
              <w:tc>
                <w:tcPr>
                  <w:tcW w:w="412" w:type="pct"/>
                  <w:noWrap w:val="0"/>
                  <w:vAlign w:val="center"/>
                </w:tcPr>
                <w:p w14:paraId="7C511B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892" w:type="dxa"/>
                  <w:shd w:val="clear" w:color="auto" w:fill="auto"/>
                  <w:noWrap w:val="0"/>
                  <w:vAlign w:val="center"/>
                </w:tcPr>
                <w:p w14:paraId="3FABBCF1">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r>
                    <w:rPr>
                      <w:rFonts w:hint="eastAsia" w:cs="Times New Roman"/>
                      <w:color w:val="000000" w:themeColor="text1"/>
                      <w:sz w:val="21"/>
                      <w:szCs w:val="21"/>
                      <w:lang w:val="en-US" w:eastAsia="zh-CN"/>
                      <w14:textFill>
                        <w14:solidFill>
                          <w14:schemeClr w14:val="tx1"/>
                        </w14:solidFill>
                      </w14:textFill>
                    </w:rPr>
                    <w:t>245</w:t>
                  </w:r>
                </w:p>
              </w:tc>
              <w:tc>
                <w:tcPr>
                  <w:tcW w:w="350" w:type="pct"/>
                  <w:noWrap w:val="0"/>
                  <w:vAlign w:val="center"/>
                </w:tcPr>
                <w:p w14:paraId="70C720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26" w:type="pct"/>
                  <w:shd w:val="clear" w:color="auto" w:fill="auto"/>
                  <w:noWrap w:val="0"/>
                  <w:vAlign w:val="center"/>
                </w:tcPr>
                <w:p w14:paraId="34527D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899" w:type="dxa"/>
                  <w:shd w:val="clear" w:color="auto" w:fill="auto"/>
                  <w:noWrap w:val="0"/>
                  <w:vAlign w:val="center"/>
                </w:tcPr>
                <w:p w14:paraId="4C91D662">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r>
                    <w:rPr>
                      <w:rFonts w:hint="eastAsia" w:cs="Times New Roman"/>
                      <w:color w:val="000000" w:themeColor="text1"/>
                      <w:sz w:val="21"/>
                      <w:szCs w:val="21"/>
                      <w:lang w:val="en-US" w:eastAsia="zh-CN"/>
                      <w14:textFill>
                        <w14:solidFill>
                          <w14:schemeClr w14:val="tx1"/>
                        </w14:solidFill>
                      </w14:textFill>
                    </w:rPr>
                    <w:t>245</w:t>
                  </w:r>
                </w:p>
              </w:tc>
              <w:tc>
                <w:tcPr>
                  <w:tcW w:w="518" w:type="pct"/>
                  <w:vMerge w:val="continue"/>
                  <w:shd w:val="clear" w:color="auto" w:fill="auto"/>
                  <w:noWrap w:val="0"/>
                  <w:vAlign w:val="center"/>
                </w:tcPr>
                <w:p w14:paraId="52F222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899" w:type="dxa"/>
                  <w:shd w:val="clear" w:color="auto" w:fill="auto"/>
                  <w:noWrap w:val="0"/>
                  <w:vAlign w:val="center"/>
                </w:tcPr>
                <w:p w14:paraId="5454AB46">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r>
                    <w:rPr>
                      <w:rFonts w:hint="eastAsia" w:cs="Times New Roman"/>
                      <w:color w:val="000000" w:themeColor="text1"/>
                      <w:sz w:val="21"/>
                      <w:szCs w:val="21"/>
                      <w:lang w:val="en-US" w:eastAsia="zh-CN"/>
                      <w14:textFill>
                        <w14:solidFill>
                          <w14:schemeClr w14:val="tx1"/>
                        </w14:solidFill>
                      </w14:textFill>
                    </w:rPr>
                    <w:t>245</w:t>
                  </w:r>
                </w:p>
              </w:tc>
              <w:tc>
                <w:tcPr>
                  <w:tcW w:w="557" w:type="pct"/>
                  <w:shd w:val="clear" w:color="auto" w:fill="auto"/>
                  <w:noWrap w:val="0"/>
                  <w:vAlign w:val="center"/>
                </w:tcPr>
                <w:p w14:paraId="58B0B5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173</w:t>
                  </w:r>
                </w:p>
              </w:tc>
              <w:tc>
                <w:tcPr>
                  <w:tcW w:w="557" w:type="pct"/>
                  <w:shd w:val="clear" w:color="auto" w:fill="auto"/>
                  <w:noWrap w:val="0"/>
                  <w:vAlign w:val="center"/>
                </w:tcPr>
                <w:p w14:paraId="32E55F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0.577</w:t>
                  </w:r>
                </w:p>
              </w:tc>
            </w:tr>
            <w:tr w14:paraId="0DBB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vMerge w:val="continue"/>
                  <w:noWrap w:val="0"/>
                  <w:vAlign w:val="center"/>
                </w:tcPr>
                <w:p w14:paraId="300CBB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412" w:type="pct"/>
                  <w:noWrap w:val="0"/>
                  <w:vAlign w:val="center"/>
                </w:tcPr>
                <w:p w14:paraId="60921E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二氧化硫</w:t>
                  </w:r>
                </w:p>
              </w:tc>
              <w:tc>
                <w:tcPr>
                  <w:tcW w:w="892" w:type="dxa"/>
                  <w:shd w:val="clear" w:color="auto" w:fill="auto"/>
                  <w:noWrap w:val="0"/>
                  <w:vAlign w:val="center"/>
                </w:tcPr>
                <w:p w14:paraId="2605E7BB">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0871</w:t>
                  </w:r>
                </w:p>
              </w:tc>
              <w:tc>
                <w:tcPr>
                  <w:tcW w:w="350" w:type="pct"/>
                  <w:noWrap w:val="0"/>
                  <w:vAlign w:val="center"/>
                </w:tcPr>
                <w:p w14:paraId="01BF6B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26" w:type="pct"/>
                  <w:shd w:val="clear" w:color="auto" w:fill="auto"/>
                  <w:noWrap w:val="0"/>
                  <w:vAlign w:val="center"/>
                </w:tcPr>
                <w:p w14:paraId="790DB2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899" w:type="dxa"/>
                  <w:shd w:val="clear" w:color="auto" w:fill="auto"/>
                  <w:noWrap w:val="0"/>
                  <w:vAlign w:val="center"/>
                </w:tcPr>
                <w:p w14:paraId="12555B3D">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0871</w:t>
                  </w:r>
                </w:p>
              </w:tc>
              <w:tc>
                <w:tcPr>
                  <w:tcW w:w="518" w:type="pct"/>
                  <w:vMerge w:val="continue"/>
                  <w:shd w:val="clear" w:color="auto" w:fill="auto"/>
                  <w:noWrap w:val="0"/>
                  <w:vAlign w:val="center"/>
                </w:tcPr>
                <w:p w14:paraId="7D7F27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899" w:type="dxa"/>
                  <w:shd w:val="clear" w:color="auto" w:fill="auto"/>
                  <w:noWrap w:val="0"/>
                  <w:vAlign w:val="center"/>
                </w:tcPr>
                <w:p w14:paraId="055953F5">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0871</w:t>
                  </w:r>
                </w:p>
              </w:tc>
              <w:tc>
                <w:tcPr>
                  <w:tcW w:w="557" w:type="pct"/>
                  <w:shd w:val="clear" w:color="auto" w:fill="auto"/>
                  <w:noWrap w:val="0"/>
                  <w:vAlign w:val="center"/>
                </w:tcPr>
                <w:p w14:paraId="4089E1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21</w:t>
                  </w:r>
                </w:p>
              </w:tc>
              <w:tc>
                <w:tcPr>
                  <w:tcW w:w="557" w:type="pct"/>
                  <w:shd w:val="clear" w:color="auto" w:fill="auto"/>
                  <w:noWrap w:val="0"/>
                  <w:vAlign w:val="center"/>
                </w:tcPr>
                <w:p w14:paraId="418973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0.403</w:t>
                  </w:r>
                </w:p>
              </w:tc>
            </w:tr>
            <w:tr w14:paraId="74B1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vMerge w:val="continue"/>
                  <w:noWrap w:val="0"/>
                  <w:vAlign w:val="center"/>
                </w:tcPr>
                <w:p w14:paraId="2D3535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412" w:type="pct"/>
                  <w:noWrap w:val="0"/>
                  <w:vAlign w:val="center"/>
                </w:tcPr>
                <w:p w14:paraId="7EC721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氮氧化物</w:t>
                  </w:r>
                </w:p>
              </w:tc>
              <w:tc>
                <w:tcPr>
                  <w:tcW w:w="557" w:type="pct"/>
                  <w:shd w:val="clear" w:color="auto" w:fill="auto"/>
                  <w:noWrap w:val="0"/>
                  <w:vAlign w:val="center"/>
                </w:tcPr>
                <w:p w14:paraId="7CBD8D5D">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1.3009</w:t>
                  </w:r>
                </w:p>
              </w:tc>
              <w:tc>
                <w:tcPr>
                  <w:tcW w:w="350" w:type="pct"/>
                  <w:noWrap w:val="0"/>
                  <w:vAlign w:val="center"/>
                </w:tcPr>
                <w:p w14:paraId="158646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26" w:type="pct"/>
                  <w:shd w:val="clear" w:color="auto" w:fill="auto"/>
                  <w:noWrap w:val="0"/>
                  <w:vAlign w:val="center"/>
                </w:tcPr>
                <w:p w14:paraId="12D0D5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899" w:type="dxa"/>
                  <w:shd w:val="clear" w:color="auto" w:fill="auto"/>
                  <w:noWrap w:val="0"/>
                  <w:vAlign w:val="center"/>
                </w:tcPr>
                <w:p w14:paraId="53F498B9">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1.3009</w:t>
                  </w:r>
                </w:p>
              </w:tc>
              <w:tc>
                <w:tcPr>
                  <w:tcW w:w="518" w:type="pct"/>
                  <w:vMerge w:val="continue"/>
                  <w:shd w:val="clear" w:color="auto" w:fill="auto"/>
                  <w:noWrap w:val="0"/>
                  <w:vAlign w:val="center"/>
                </w:tcPr>
                <w:p w14:paraId="6F50CB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899" w:type="dxa"/>
                  <w:shd w:val="clear" w:color="auto" w:fill="auto"/>
                  <w:noWrap w:val="0"/>
                  <w:vAlign w:val="center"/>
                </w:tcPr>
                <w:p w14:paraId="1732E3FD">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1.3009</w:t>
                  </w:r>
                </w:p>
              </w:tc>
              <w:tc>
                <w:tcPr>
                  <w:tcW w:w="557" w:type="pct"/>
                  <w:shd w:val="clear" w:color="auto" w:fill="auto"/>
                  <w:noWrap w:val="0"/>
                  <w:vAlign w:val="center"/>
                </w:tcPr>
                <w:p w14:paraId="6C9ADD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807</w:t>
                  </w:r>
                </w:p>
              </w:tc>
              <w:tc>
                <w:tcPr>
                  <w:tcW w:w="557" w:type="pct"/>
                  <w:shd w:val="clear" w:color="auto" w:fill="auto"/>
                  <w:noWrap w:val="0"/>
                  <w:vAlign w:val="center"/>
                </w:tcPr>
                <w:p w14:paraId="703724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6.02</w:t>
                  </w:r>
                </w:p>
              </w:tc>
            </w:tr>
          </w:tbl>
          <w:p w14:paraId="4C767C13">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综上所述，本项目废气经处理后通过22m高排气筒DA001排放，废气排放量为2</w:t>
            </w:r>
            <w:r>
              <w:rPr>
                <w:rFonts w:hint="eastAsia" w:cs="Times New Roman"/>
                <w:b w:val="0"/>
                <w:bCs w:val="0"/>
                <w:color w:val="000000" w:themeColor="text1"/>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lang w:val="en-US" w:eastAsia="zh-CN"/>
                <w14:textFill>
                  <w14:solidFill>
                    <w14:schemeClr w14:val="tx1"/>
                  </w14:solidFill>
                </w14:textFill>
              </w:rPr>
              <w:t>00万m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/h，非甲烷总烃排放量为0.2</w:t>
            </w:r>
            <w:r>
              <w:rPr>
                <w:rFonts w:hint="eastAsia" w:cs="Times New Roman"/>
                <w:b w:val="0"/>
                <w:bCs w:val="0"/>
                <w:color w:val="000000" w:themeColor="text1"/>
                <w:lang w:val="en-US" w:eastAsia="zh-CN"/>
                <w14:textFill>
                  <w14:solidFill>
                    <w14:schemeClr w14:val="tx1"/>
                  </w14:solidFill>
                </w14:textFill>
              </w:rPr>
              <w:t>7074</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t/a，排放速率为0.03</w:t>
            </w:r>
            <w:r>
              <w:rPr>
                <w:rFonts w:hint="eastAsia" w:cs="Times New Roman"/>
                <w:b w:val="0"/>
                <w:bCs w:val="0"/>
                <w:color w:val="000000" w:themeColor="text1"/>
                <w:lang w:val="en-US" w:eastAsia="zh-CN"/>
                <w14:textFill>
                  <w14:solidFill>
                    <w14:schemeClr w14:val="tx1"/>
                  </w14:solidFill>
                </w14:textFill>
              </w:rPr>
              <w:t>76</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kg/h，排放浓度为</w:t>
            </w:r>
            <w:r>
              <w:rPr>
                <w:rFonts w:hint="eastAsia" w:cs="Times New Roman"/>
                <w:b w:val="0"/>
                <w:bCs w:val="0"/>
                <w:color w:val="000000" w:themeColor="text1"/>
                <w:lang w:val="en-US" w:eastAsia="zh-CN"/>
                <w14:textFill>
                  <w14:solidFill>
                    <w14:schemeClr w14:val="tx1"/>
                  </w14:solidFill>
                </w14:textFill>
              </w:rPr>
              <w:t>1.25</w:t>
            </w:r>
            <w:r>
              <w:rPr>
                <w:rFonts w:hint="default" w:ascii="Times New Roman" w:hAnsi="Times New Roman" w:eastAsia="宋体" w:cs="Times New Roman"/>
                <w:b w:val="0"/>
                <w:bCs w:val="0"/>
                <w:color w:val="000000" w:themeColor="text1"/>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14:paraId="1B65D566">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颗粒物排放量为0.1</w:t>
            </w:r>
            <w:r>
              <w:rPr>
                <w:rFonts w:hint="eastAsia" w:cs="Times New Roman"/>
                <w:b w:val="0"/>
                <w:bCs w:val="0"/>
                <w:color w:val="000000" w:themeColor="text1"/>
                <w:lang w:val="en-US" w:eastAsia="zh-CN"/>
                <w14:textFill>
                  <w14:solidFill>
                    <w14:schemeClr w14:val="tx1"/>
                  </w14:solidFill>
                </w14:textFill>
              </w:rPr>
              <w:t>245</w:t>
            </w:r>
            <w:r>
              <w:rPr>
                <w:rFonts w:hint="default" w:ascii="Times New Roman" w:hAnsi="Times New Roman" w:eastAsia="宋体" w:cs="Times New Roman"/>
                <w:b w:val="0"/>
                <w:bCs w:val="0"/>
                <w:color w:val="000000" w:themeColor="text1"/>
                <w:lang w:val="en-US" w:eastAsia="zh-CN"/>
                <w14:textFill>
                  <w14:solidFill>
                    <w14:schemeClr w14:val="tx1"/>
                  </w14:solidFill>
                </w14:textFill>
              </w:rPr>
              <w:t>/a，排放速率为0.0</w:t>
            </w:r>
            <w:r>
              <w:rPr>
                <w:rFonts w:hint="eastAsia" w:cs="Times New Roman"/>
                <w:b w:val="0"/>
                <w:bCs w:val="0"/>
                <w:color w:val="000000" w:themeColor="text1"/>
                <w:lang w:val="en-US" w:eastAsia="zh-CN"/>
                <w14:textFill>
                  <w14:solidFill>
                    <w14:schemeClr w14:val="tx1"/>
                  </w14:solidFill>
                </w14:textFill>
              </w:rPr>
              <w:t>173</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kg/h，排放浓度为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lang w:val="en-US" w:eastAsia="zh-CN"/>
                <w14:textFill>
                  <w14:solidFill>
                    <w14:schemeClr w14:val="tx1"/>
                  </w14:solidFill>
                </w14:textFill>
              </w:rPr>
              <w:t>7mg/m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14:paraId="6DCC7554">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二氧化硫排放量为0.</w:t>
            </w:r>
            <w:r>
              <w:rPr>
                <w:rFonts w:hint="eastAsia" w:cs="Times New Roman"/>
                <w:b w:val="0"/>
                <w:bCs w:val="0"/>
                <w:color w:val="000000" w:themeColor="text1"/>
                <w:lang w:val="en-US" w:eastAsia="zh-CN"/>
                <w14:textFill>
                  <w14:solidFill>
                    <w14:schemeClr w14:val="tx1"/>
                  </w14:solidFill>
                </w14:textFill>
              </w:rPr>
              <w:t>0871</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t/a，排放速率为0.01</w:t>
            </w:r>
            <w:r>
              <w:rPr>
                <w:rFonts w:hint="eastAsia" w:cs="Times New Roman"/>
                <w:b w:val="0"/>
                <w:bCs w:val="0"/>
                <w:color w:val="000000" w:themeColor="text1"/>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kg/h，排放浓度为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lang w:val="en-US" w:eastAsia="zh-CN"/>
                <w14:textFill>
                  <w14:solidFill>
                    <w14:schemeClr w14:val="tx1"/>
                  </w14:solidFill>
                </w14:textFill>
              </w:rPr>
              <w:t>4</w:t>
            </w:r>
            <w:r>
              <w:rPr>
                <w:rFonts w:hint="eastAsia" w:cs="Times New Roman"/>
                <w:b w:val="0"/>
                <w:bCs w:val="0"/>
                <w:color w:val="000000" w:themeColor="text1"/>
                <w:lang w:val="en-US" w:eastAsia="zh-CN"/>
                <w14:textFill>
                  <w14:solidFill>
                    <w14:schemeClr w14:val="tx1"/>
                  </w14:solidFill>
                </w14:textFill>
              </w:rPr>
              <w:t>03</w:t>
            </w:r>
            <w:r>
              <w:rPr>
                <w:rFonts w:hint="default" w:ascii="Times New Roman" w:hAnsi="Times New Roman" w:eastAsia="宋体" w:cs="Times New Roman"/>
                <w:b w:val="0"/>
                <w:bCs w:val="0"/>
                <w:color w:val="000000" w:themeColor="text1"/>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14:paraId="6F4A2A37">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氮氧化物排放量为1.</w:t>
            </w:r>
            <w:r>
              <w:rPr>
                <w:rFonts w:hint="eastAsia" w:cs="Times New Roman"/>
                <w:b w:val="0"/>
                <w:bCs w:val="0"/>
                <w:color w:val="000000" w:themeColor="text1"/>
                <w:lang w:val="en-US" w:eastAsia="zh-CN"/>
                <w14:textFill>
                  <w14:solidFill>
                    <w14:schemeClr w14:val="tx1"/>
                  </w14:solidFill>
                </w14:textFill>
              </w:rPr>
              <w:t>3009</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t/a，排放速率为0.1</w:t>
            </w:r>
            <w:r>
              <w:rPr>
                <w:rFonts w:hint="eastAsia" w:cs="Times New Roman"/>
                <w:b w:val="0"/>
                <w:bCs w:val="0"/>
                <w:color w:val="000000" w:themeColor="text1"/>
                <w:lang w:val="en-US" w:eastAsia="zh-CN"/>
                <w14:textFill>
                  <w14:solidFill>
                    <w14:schemeClr w14:val="tx1"/>
                  </w14:solidFill>
                </w14:textFill>
              </w:rPr>
              <w:t>807</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kg/h，排放浓度为</w:t>
            </w:r>
            <w:r>
              <w:rPr>
                <w:rFonts w:hint="eastAsia" w:cs="Times New Roman"/>
                <w:b w:val="0"/>
                <w:bCs w:val="0"/>
                <w:color w:val="000000" w:themeColor="text1"/>
                <w:lang w:val="en-US" w:eastAsia="zh-CN"/>
                <w14:textFill>
                  <w14:solidFill>
                    <w14:schemeClr w14:val="tx1"/>
                  </w14:solidFill>
                </w14:textFill>
              </w:rPr>
              <w:t>6.02</w:t>
            </w:r>
            <w:r>
              <w:rPr>
                <w:rFonts w:hint="default" w:ascii="Times New Roman" w:hAnsi="Times New Roman" w:eastAsia="宋体" w:cs="Times New Roman"/>
                <w:b w:val="0"/>
                <w:bCs w:val="0"/>
                <w:color w:val="000000" w:themeColor="text1"/>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14:paraId="2B1D197D">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未捕集非甲烷总烃0.9</w:t>
            </w:r>
            <w:r>
              <w:rPr>
                <w:rFonts w:hint="eastAsia" w:ascii="Times New Roman" w:hAnsi="Times New Roman" w:eastAsia="宋体" w:cs="Times New Roman"/>
                <w:b w:val="0"/>
                <w:bCs w:val="0"/>
                <w:color w:val="000000" w:themeColor="text1"/>
                <w:lang w:val="en-US" w:eastAsia="zh-CN"/>
                <w14:textFill>
                  <w14:solidFill>
                    <w14:schemeClr w14:val="tx1"/>
                  </w14:solidFill>
                </w14:textFill>
              </w:rPr>
              <w:t>33</w:t>
            </w:r>
            <w:r>
              <w:rPr>
                <w:rFonts w:hint="eastAsia" w:cs="Times New Roman"/>
                <w:b w:val="0"/>
                <w:bCs w:val="0"/>
                <w:color w:val="000000" w:themeColor="text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t/a，呈无组织排放。</w:t>
            </w:r>
          </w:p>
          <w:p w14:paraId="787F3174">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2）无组织废气</w:t>
            </w:r>
          </w:p>
          <w:p w14:paraId="1AC3A77B">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①臭气浓度（异味）</w:t>
            </w:r>
          </w:p>
          <w:p w14:paraId="4BDAE751">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印刷行业生产过程中会产生一定异味，</w:t>
            </w:r>
            <w:r>
              <w:rPr>
                <w:rFonts w:hint="eastAsia"/>
                <w:color w:val="000000" w:themeColor="text1"/>
                <w:lang w:val="en-US" w:eastAsia="zh-CN"/>
                <w14:textFill>
                  <w14:solidFill>
                    <w14:schemeClr w14:val="tx1"/>
                  </w14:solidFill>
                </w14:textFill>
              </w:rPr>
              <w:t>即臭气浓度</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臭气浓度</w:t>
            </w:r>
            <w:r>
              <w:rPr>
                <w:rFonts w:hint="default" w:ascii="Times New Roman" w:hAnsi="Times New Roman" w:eastAsia="宋体" w:cs="Times New Roman"/>
                <w:color w:val="000000" w:themeColor="text1"/>
                <w:lang w:val="en-US" w:eastAsia="zh-CN"/>
                <w14:textFill>
                  <w14:solidFill>
                    <w14:schemeClr w14:val="tx1"/>
                  </w14:solidFill>
                </w14:textFill>
              </w:rPr>
              <w:t>是指一切刺激嗅觉器官引起人们不愉快及损害生活环境的气体物质。</w:t>
            </w:r>
          </w:p>
          <w:p w14:paraId="792B845D">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本项目恶臭主要来自于溶剂间物料存放过程、调墨工序；生产过程中印刷、复合、制袋等工序，以臭气浓度来表征。臭气浓度无量纲，不进行定量分析。</w:t>
            </w:r>
          </w:p>
          <w:p w14:paraId="5122BD35">
            <w:pPr>
              <w:pStyle w:val="45"/>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表4-8  本项目无组织废气源强一览表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020"/>
              <w:gridCol w:w="1047"/>
              <w:gridCol w:w="1297"/>
              <w:gridCol w:w="860"/>
              <w:gridCol w:w="687"/>
              <w:gridCol w:w="1117"/>
              <w:gridCol w:w="2"/>
              <w:gridCol w:w="1115"/>
              <w:gridCol w:w="4"/>
            </w:tblGrid>
            <w:tr w14:paraId="4967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351" w:hRule="atLeast"/>
              </w:trPr>
              <w:tc>
                <w:tcPr>
                  <w:tcW w:w="566" w:type="pct"/>
                  <w:vMerge w:val="restart"/>
                  <w:noWrap w:val="0"/>
                  <w:vAlign w:val="center"/>
                </w:tcPr>
                <w:p w14:paraId="7E2954B8">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产生环节</w:t>
                  </w:r>
                </w:p>
              </w:tc>
              <w:tc>
                <w:tcPr>
                  <w:tcW w:w="632" w:type="pct"/>
                  <w:vMerge w:val="restart"/>
                  <w:noWrap w:val="0"/>
                  <w:vAlign w:val="center"/>
                </w:tcPr>
                <w:p w14:paraId="65C0979B">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污染物种类</w:t>
                  </w:r>
                </w:p>
              </w:tc>
              <w:tc>
                <w:tcPr>
                  <w:tcW w:w="649" w:type="pct"/>
                  <w:vMerge w:val="restart"/>
                  <w:noWrap w:val="0"/>
                  <w:vAlign w:val="center"/>
                </w:tcPr>
                <w:p w14:paraId="604AE3BF">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产生量t/a</w:t>
                  </w:r>
                </w:p>
              </w:tc>
              <w:tc>
                <w:tcPr>
                  <w:tcW w:w="1763" w:type="pct"/>
                  <w:gridSpan w:val="3"/>
                  <w:noWrap w:val="0"/>
                  <w:vAlign w:val="center"/>
                </w:tcPr>
                <w:p w14:paraId="113E6A72">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692" w:type="pct"/>
                  <w:noWrap w:val="0"/>
                  <w:vAlign w:val="center"/>
                </w:tcPr>
                <w:p w14:paraId="42ACDB1D">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排放情况</w:t>
                  </w:r>
                </w:p>
              </w:tc>
              <w:tc>
                <w:tcPr>
                  <w:tcW w:w="692" w:type="pct"/>
                  <w:gridSpan w:val="2"/>
                  <w:noWrap w:val="0"/>
                  <w:vAlign w:val="center"/>
                </w:tcPr>
                <w:p w14:paraId="7BBBAB15">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r>
            <w:tr w14:paraId="51D6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6" w:type="pct"/>
                  <w:vMerge w:val="continue"/>
                  <w:noWrap w:val="0"/>
                  <w:vAlign w:val="center"/>
                </w:tcPr>
                <w:p w14:paraId="413B1A06">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632" w:type="pct"/>
                  <w:vMerge w:val="continue"/>
                  <w:noWrap w:val="0"/>
                  <w:vAlign w:val="center"/>
                </w:tcPr>
                <w:p w14:paraId="546850C9">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649" w:type="pct"/>
                  <w:vMerge w:val="continue"/>
                  <w:noWrap w:val="0"/>
                  <w:vAlign w:val="center"/>
                </w:tcPr>
                <w:p w14:paraId="25D11A2B">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804" w:type="pct"/>
                  <w:noWrap w:val="0"/>
                  <w:vAlign w:val="center"/>
                </w:tcPr>
                <w:p w14:paraId="3B58D82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处理工艺</w:t>
                  </w:r>
                </w:p>
              </w:tc>
              <w:tc>
                <w:tcPr>
                  <w:tcW w:w="533" w:type="pct"/>
                  <w:noWrap w:val="0"/>
                  <w:vAlign w:val="center"/>
                </w:tcPr>
                <w:p w14:paraId="792A36B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收集效率</w:t>
                  </w:r>
                </w:p>
              </w:tc>
              <w:tc>
                <w:tcPr>
                  <w:tcW w:w="426" w:type="pct"/>
                  <w:noWrap w:val="0"/>
                  <w:vAlign w:val="center"/>
                </w:tcPr>
                <w:p w14:paraId="217B4F2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去除</w:t>
                  </w:r>
                  <w:r>
                    <w:rPr>
                      <w:rFonts w:hint="default" w:ascii="Times New Roman" w:hAnsi="Times New Roman" w:eastAsia="宋体" w:cs="Times New Roman"/>
                      <w:b/>
                      <w:bCs/>
                      <w:color w:val="000000" w:themeColor="text1"/>
                      <w:sz w:val="21"/>
                      <w:szCs w:val="21"/>
                      <w14:textFill>
                        <w14:solidFill>
                          <w14:schemeClr w14:val="tx1"/>
                        </w14:solidFill>
                      </w14:textFill>
                    </w:rPr>
                    <w:t>效率</w:t>
                  </w:r>
                </w:p>
              </w:tc>
              <w:tc>
                <w:tcPr>
                  <w:tcW w:w="693" w:type="pct"/>
                  <w:gridSpan w:val="2"/>
                  <w:noWrap w:val="0"/>
                  <w:vAlign w:val="center"/>
                </w:tcPr>
                <w:p w14:paraId="3FB77DB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排放量t/a</w:t>
                  </w:r>
                </w:p>
              </w:tc>
              <w:tc>
                <w:tcPr>
                  <w:tcW w:w="693" w:type="pct"/>
                  <w:gridSpan w:val="2"/>
                  <w:noWrap w:val="0"/>
                  <w:vAlign w:val="center"/>
                </w:tcPr>
                <w:p w14:paraId="3E0E3B4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w:t>
                  </w:r>
                </w:p>
                <w:p w14:paraId="2ABD41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kg/h</w:t>
                  </w:r>
                </w:p>
              </w:tc>
            </w:tr>
            <w:tr w14:paraId="08F1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pct"/>
                  <w:vMerge w:val="restart"/>
                  <w:noWrap w:val="0"/>
                  <w:vAlign w:val="center"/>
                </w:tcPr>
                <w:p w14:paraId="4B92B9EC">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未捕集无组织废气</w:t>
                  </w:r>
                </w:p>
              </w:tc>
              <w:tc>
                <w:tcPr>
                  <w:tcW w:w="632" w:type="pct"/>
                  <w:noWrap w:val="0"/>
                  <w:vAlign w:val="center"/>
                </w:tcPr>
                <w:p w14:paraId="64A19D01">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臭气浓度</w:t>
                  </w:r>
                </w:p>
              </w:tc>
              <w:tc>
                <w:tcPr>
                  <w:tcW w:w="649" w:type="pct"/>
                  <w:noWrap w:val="0"/>
                  <w:vAlign w:val="center"/>
                </w:tcPr>
                <w:p w14:paraId="1C97E332">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无量纲</w:t>
                  </w:r>
                </w:p>
              </w:tc>
              <w:tc>
                <w:tcPr>
                  <w:tcW w:w="804" w:type="pct"/>
                  <w:vMerge w:val="restart"/>
                  <w:noWrap w:val="0"/>
                  <w:vAlign w:val="center"/>
                </w:tcPr>
                <w:p w14:paraId="57E0E7DF">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p>
              </w:tc>
              <w:tc>
                <w:tcPr>
                  <w:tcW w:w="533" w:type="pct"/>
                  <w:noWrap w:val="0"/>
                  <w:vAlign w:val="center"/>
                </w:tcPr>
                <w:p w14:paraId="01F25690">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426" w:type="pct"/>
                  <w:noWrap w:val="0"/>
                  <w:vAlign w:val="center"/>
                </w:tcPr>
                <w:p w14:paraId="2253D5BD">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93" w:type="pct"/>
                  <w:gridSpan w:val="2"/>
                  <w:noWrap w:val="0"/>
                  <w:vAlign w:val="center"/>
                </w:tcPr>
                <w:p w14:paraId="73417892">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93" w:type="pct"/>
                  <w:gridSpan w:val="2"/>
                  <w:noWrap w:val="0"/>
                  <w:vAlign w:val="center"/>
                </w:tcPr>
                <w:p w14:paraId="59B24F05">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2D66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566" w:type="pct"/>
                  <w:vMerge w:val="continue"/>
                  <w:noWrap w:val="0"/>
                  <w:vAlign w:val="center"/>
                </w:tcPr>
                <w:p w14:paraId="6DE77E3A">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632" w:type="pct"/>
                  <w:noWrap w:val="0"/>
                  <w:vAlign w:val="center"/>
                </w:tcPr>
                <w:p w14:paraId="393ECAC4">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非甲烷总烃</w:t>
                  </w:r>
                </w:p>
              </w:tc>
              <w:tc>
                <w:tcPr>
                  <w:tcW w:w="649" w:type="pct"/>
                  <w:noWrap w:val="0"/>
                  <w:vAlign w:val="center"/>
                </w:tcPr>
                <w:p w14:paraId="0638F911">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0.9</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33</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804" w:type="pct"/>
                  <w:vMerge w:val="continue"/>
                  <w:noWrap w:val="0"/>
                  <w:vAlign w:val="center"/>
                </w:tcPr>
                <w:p w14:paraId="6DD79ACF">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33" w:type="pct"/>
                  <w:noWrap w:val="0"/>
                  <w:vAlign w:val="center"/>
                </w:tcPr>
                <w:p w14:paraId="5B42D01D">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426" w:type="pct"/>
                  <w:noWrap w:val="0"/>
                  <w:vAlign w:val="center"/>
                </w:tcPr>
                <w:p w14:paraId="4EFA1C5E">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93" w:type="pct"/>
                  <w:gridSpan w:val="2"/>
                  <w:noWrap w:val="0"/>
                  <w:vAlign w:val="center"/>
                </w:tcPr>
                <w:p w14:paraId="7436485D">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0.9</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33</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693" w:type="pct"/>
                  <w:gridSpan w:val="2"/>
                  <w:noWrap w:val="0"/>
                  <w:vAlign w:val="center"/>
                </w:tcPr>
                <w:p w14:paraId="0F4543DA">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1296</w:t>
                  </w:r>
                </w:p>
              </w:tc>
            </w:tr>
          </w:tbl>
          <w:p w14:paraId="5AC86014">
            <w:pPr>
              <w:pStyle w:val="48"/>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lang w:eastAsia="zh-CN"/>
                <w14:textFill>
                  <w14:solidFill>
                    <w14:schemeClr w14:val="tx1"/>
                  </w14:solidFill>
                </w14:textFill>
              </w:rPr>
              <w:t>排污许可证类型</w:t>
            </w:r>
          </w:p>
          <w:p w14:paraId="0861F8FD">
            <w:pPr>
              <w:pStyle w:val="48"/>
              <w:keepNext w:val="0"/>
              <w:keepLines/>
              <w:pageBreakBefore w:val="0"/>
              <w:kinsoku/>
              <w:overflowPunct/>
              <w:bidi w:val="0"/>
              <w:adjustRightInd/>
              <w:spacing w:line="360" w:lineRule="auto"/>
              <w:ind w:firstLine="480" w:firstLineChars="20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对照《固定污染源排污许可分类管理名录》（</w:t>
            </w:r>
            <w:r>
              <w:rPr>
                <w:rFonts w:hint="default" w:ascii="Times New Roman" w:hAnsi="Times New Roman" w:eastAsia="宋体" w:cs="Times New Roman"/>
                <w:color w:val="000000" w:themeColor="text1"/>
                <w:lang w:val="en-US" w:eastAsia="zh-CN"/>
                <w14:textFill>
                  <w14:solidFill>
                    <w14:schemeClr w14:val="tx1"/>
                  </w14:solidFill>
                </w14:textFill>
              </w:rPr>
              <w:t>2019年版</w:t>
            </w:r>
            <w:r>
              <w:rPr>
                <w:rFonts w:hint="default" w:ascii="Times New Roman" w:hAnsi="Times New Roman" w:eastAsia="宋体" w:cs="Times New Roman"/>
                <w:color w:val="000000" w:themeColor="text1"/>
                <w:lang w:eastAsia="zh-CN"/>
                <w14:textFill>
                  <w14:solidFill>
                    <w14:schemeClr w14:val="tx1"/>
                  </w14:solidFill>
                </w14:textFill>
              </w:rPr>
              <w:t>），进行排污许可证类型判定。</w:t>
            </w:r>
          </w:p>
          <w:p w14:paraId="09FFF98C">
            <w:pPr>
              <w:keepNext w:val="0"/>
              <w:keepLines/>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zh-CN"/>
                <w14:textFill>
                  <w14:solidFill>
                    <w14:schemeClr w14:val="tx1"/>
                  </w14:solidFill>
                </w14:textFill>
              </w:rPr>
              <w:t>表</w:t>
            </w: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 xml:space="preserve">4-9 </w:t>
            </w:r>
            <w:r>
              <w:rPr>
                <w:rFonts w:hint="default" w:ascii="Times New Roman" w:hAnsi="Times New Roman" w:eastAsia="宋体" w:cs="Times New Roman"/>
                <w:b/>
                <w:bCs w:val="0"/>
                <w:color w:val="000000" w:themeColor="text1"/>
                <w:lang w:eastAsia="zh-CN"/>
                <w14:textFill>
                  <w14:solidFill>
                    <w14:schemeClr w14:val="tx1"/>
                  </w14:solidFill>
                </w14:textFill>
              </w:rPr>
              <w:t>排污许可证类型排定</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1863"/>
              <w:gridCol w:w="2811"/>
              <w:gridCol w:w="1184"/>
            </w:tblGrid>
            <w:tr w14:paraId="1F42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pct"/>
                  <w:noWrap w:val="0"/>
                  <w:vAlign w:val="center"/>
                </w:tcPr>
                <w:p w14:paraId="70DB440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vertAlign w:val="baseline"/>
                      <w:lang w:eastAsia="zh-CN"/>
                      <w14:textFill>
                        <w14:solidFill>
                          <w14:schemeClr w14:val="tx1"/>
                        </w14:solidFill>
                      </w14:textFill>
                    </w:rPr>
                    <w:t>行业类别</w:t>
                  </w:r>
                </w:p>
              </w:tc>
              <w:tc>
                <w:tcPr>
                  <w:tcW w:w="1155" w:type="pct"/>
                  <w:noWrap w:val="0"/>
                  <w:vAlign w:val="center"/>
                </w:tcPr>
                <w:p w14:paraId="113848AD">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vertAlign w:val="baseline"/>
                      <w:lang w:val="en-US" w:eastAsia="zh-CN"/>
                      <w14:textFill>
                        <w14:solidFill>
                          <w14:schemeClr w14:val="tx1"/>
                        </w14:solidFill>
                      </w14:textFill>
                    </w:rPr>
                    <w:t>重点管理</w:t>
                  </w:r>
                </w:p>
              </w:tc>
              <w:tc>
                <w:tcPr>
                  <w:tcW w:w="1742" w:type="pct"/>
                  <w:noWrap w:val="0"/>
                  <w:vAlign w:val="center"/>
                </w:tcPr>
                <w:p w14:paraId="6831023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vertAlign w:val="baseline"/>
                      <w:lang w:eastAsia="zh-CN"/>
                      <w14:textFill>
                        <w14:solidFill>
                          <w14:schemeClr w14:val="tx1"/>
                        </w14:solidFill>
                      </w14:textFill>
                    </w:rPr>
                    <w:t>简化管理</w:t>
                  </w:r>
                </w:p>
              </w:tc>
              <w:tc>
                <w:tcPr>
                  <w:tcW w:w="734" w:type="pct"/>
                  <w:noWrap w:val="0"/>
                  <w:vAlign w:val="center"/>
                </w:tcPr>
                <w:p w14:paraId="526850EC">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vertAlign w:val="baseline"/>
                      <w:lang w:val="en-US" w:eastAsia="zh-CN"/>
                      <w14:textFill>
                        <w14:solidFill>
                          <w14:schemeClr w14:val="tx1"/>
                        </w14:solidFill>
                      </w14:textFill>
                    </w:rPr>
                    <w:t>登记管理</w:t>
                  </w:r>
                </w:p>
              </w:tc>
            </w:tr>
            <w:tr w14:paraId="5883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pct"/>
                  <w:noWrap w:val="0"/>
                  <w:vAlign w:val="center"/>
                </w:tcPr>
                <w:p w14:paraId="16C238B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十八、印刷和记录媒介复制业；</w:t>
                  </w:r>
                </w:p>
                <w:p w14:paraId="0C84AB65">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39印刷</w:t>
                  </w:r>
                </w:p>
              </w:tc>
              <w:tc>
                <w:tcPr>
                  <w:tcW w:w="1155" w:type="pct"/>
                  <w:noWrap w:val="0"/>
                  <w:vAlign w:val="center"/>
                </w:tcPr>
                <w:p w14:paraId="10E00BFD">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纳入重点排污单位名录的</w:t>
                  </w:r>
                </w:p>
              </w:tc>
              <w:tc>
                <w:tcPr>
                  <w:tcW w:w="1742" w:type="pct"/>
                  <w:noWrap w:val="0"/>
                  <w:vAlign w:val="center"/>
                </w:tcPr>
                <w:p w14:paraId="77FC4C37">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除重点管理以外的年使用80吨及以上溶剂型油墨、涂料或者10吨及以上溶剂型稀释剂的包装装潢印刷</w:t>
                  </w:r>
                </w:p>
              </w:tc>
              <w:tc>
                <w:tcPr>
                  <w:tcW w:w="734" w:type="pct"/>
                  <w:noWrap w:val="0"/>
                  <w:vAlign w:val="center"/>
                </w:tcPr>
                <w:p w14:paraId="12396F0D">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其他</w:t>
                  </w:r>
                </w:p>
              </w:tc>
            </w:tr>
          </w:tbl>
          <w:p w14:paraId="2F6C4556">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根据上文，</w:t>
            </w:r>
            <w:r>
              <w:rPr>
                <w:rFonts w:hint="default" w:ascii="Times New Roman" w:hAnsi="Times New Roman" w:eastAsia="宋体" w:cs="Times New Roman"/>
                <w:color w:val="000000" w:themeColor="text1"/>
                <w:lang w:val="en-US" w:eastAsia="zh-CN"/>
                <w14:textFill>
                  <w14:solidFill>
                    <w14:schemeClr w14:val="tx1"/>
                  </w14:solidFill>
                </w14:textFill>
              </w:rPr>
              <w:t>本项目溶剂型油墨年用量为7.679t/a，稀释剂用量为0.769t/a，总用量8.4469t/a。</w:t>
            </w:r>
            <w:r>
              <w:rPr>
                <w:rFonts w:hint="default" w:ascii="Times New Roman" w:hAnsi="Times New Roman" w:eastAsia="宋体" w:cs="Times New Roman"/>
                <w:b w:val="0"/>
                <w:bCs w:val="0"/>
                <w:color w:val="000000" w:themeColor="text1"/>
                <w:lang w:val="en-US" w:eastAsia="zh-CN"/>
                <w14:textFill>
                  <w14:solidFill>
                    <w14:schemeClr w14:val="tx1"/>
                  </w14:solidFill>
                </w14:textFill>
              </w:rPr>
              <w:t>故本次</w:t>
            </w:r>
            <w:r>
              <w:rPr>
                <w:rFonts w:hint="default" w:ascii="Times New Roman" w:hAnsi="Times New Roman" w:eastAsia="宋体" w:cs="Times New Roman"/>
                <w:color w:val="000000" w:themeColor="text1"/>
                <w:lang w:eastAsia="zh-CN"/>
                <w14:textFill>
                  <w14:solidFill>
                    <w14:schemeClr w14:val="tx1"/>
                  </w14:solidFill>
                </w14:textFill>
              </w:rPr>
              <w:t>初步判定本项目排污许可证类型为登记管理。</w:t>
            </w:r>
          </w:p>
          <w:p w14:paraId="05E0104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根据《环境监管重点单位名录管理办法》中</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第十三条  设区的市级生态环境主管部门可以根据本行政区域环境质量状况、环境质量改善要求、污染物排放情况、有毒有害物质以及环境风险管控要求等，将确有必要实施重点监管的企业事业单位列入环境监管重点单位名录</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。待项目建成运行过程中，若相关部门将建设单位纳入</w:t>
            </w:r>
            <w:r>
              <w:rPr>
                <w:rFonts w:hint="default" w:ascii="Times New Roman" w:hAnsi="Times New Roman" w:eastAsia="宋体" w:cs="Times New Roman"/>
                <w:color w:val="000000" w:themeColor="text1"/>
                <w:lang w:val="en-US" w:eastAsia="zh-CN"/>
                <w14:textFill>
                  <w14:solidFill>
                    <w14:schemeClr w14:val="tx1"/>
                  </w14:solidFill>
                </w14:textFill>
              </w:rPr>
              <w:t>重点排污单位名录，则根据相关部门要求进行排污可证申报工作。</w:t>
            </w:r>
            <w:r>
              <w:rPr>
                <w:rFonts w:hint="eastAsia" w:cs="Times New Roman"/>
                <w:color w:val="000000" w:themeColor="text1"/>
                <w:lang w:val="en-US" w:eastAsia="zh-CN"/>
                <w14:textFill>
                  <w14:solidFill>
                    <w14:schemeClr w14:val="tx1"/>
                  </w14:solidFill>
                </w14:textFill>
              </w:rPr>
              <w:t>如</w:t>
            </w:r>
            <w:r>
              <w:rPr>
                <w:rFonts w:hint="eastAsia"/>
                <w:color w:val="000000" w:themeColor="text1"/>
                <w:lang w:val="en-US" w:eastAsia="zh-CN"/>
                <w14:textFill>
                  <w14:solidFill>
                    <w14:schemeClr w14:val="tx1"/>
                  </w14:solidFill>
                </w14:textFill>
              </w:rPr>
              <w:t>最新</w:t>
            </w:r>
            <w:r>
              <w:rPr>
                <w:rFonts w:hint="default" w:ascii="Times New Roman" w:hAnsi="Times New Roman" w:eastAsia="宋体" w:cs="Times New Roman"/>
                <w:color w:val="000000" w:themeColor="text1"/>
                <w:lang w:eastAsia="zh-CN"/>
                <w14:textFill>
                  <w14:solidFill>
                    <w14:schemeClr w14:val="tx1"/>
                  </w14:solidFill>
                </w14:textFill>
              </w:rPr>
              <w:t>《固定污染源排污许可分类管理名录》</w:t>
            </w:r>
            <w:r>
              <w:rPr>
                <w:rFonts w:hint="eastAsia" w:cs="Times New Roman"/>
                <w:color w:val="000000" w:themeColor="text1"/>
                <w:lang w:val="en-US" w:eastAsia="zh-CN"/>
                <w14:textFill>
                  <w14:solidFill>
                    <w14:schemeClr w14:val="tx1"/>
                  </w14:solidFill>
                </w14:textFill>
              </w:rPr>
              <w:t>更新，参照最新名录确定排污许可证类型。</w:t>
            </w:r>
          </w:p>
          <w:p w14:paraId="0F2C4478">
            <w:pPr>
              <w:pStyle w:val="48"/>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排放口基本情况</w:t>
            </w:r>
          </w:p>
          <w:p w14:paraId="27F3BC65">
            <w:pPr>
              <w:pStyle w:val="48"/>
              <w:keepNext w:val="0"/>
              <w:keepLines/>
              <w:pageBreakBefore w:val="0"/>
              <w:kinsoku/>
              <w:overflowPunct/>
              <w:bidi w:val="0"/>
              <w:adjustRightInd/>
              <w:spacing w:line="360" w:lineRule="auto"/>
              <w:ind w:firstLine="482" w:firstLineChars="200"/>
              <w:jc w:val="left"/>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w:t>
            </w:r>
            <w:r>
              <w:rPr>
                <w:rFonts w:hint="default" w:ascii="Times New Roman" w:hAnsi="Times New Roman" w:eastAsia="宋体" w:cs="Times New Roman"/>
                <w:b/>
                <w:bCs/>
                <w:color w:val="000000" w:themeColor="text1"/>
                <w:lang w:eastAsia="zh-CN"/>
                <w14:textFill>
                  <w14:solidFill>
                    <w14:schemeClr w14:val="tx1"/>
                  </w14:solidFill>
                </w14:textFill>
              </w:rPr>
              <w:t>）排放口设置</w:t>
            </w:r>
          </w:p>
          <w:p w14:paraId="4F390C0B">
            <w:pPr>
              <w:pStyle w:val="48"/>
              <w:keepNext w:val="0"/>
              <w:keepLines/>
              <w:pageBreakBefore w:val="0"/>
              <w:kinsoku/>
              <w:overflowPunct/>
              <w:bidi w:val="0"/>
              <w:adjustRightInd/>
              <w:spacing w:line="360" w:lineRule="auto"/>
              <w:ind w:firstLine="48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本项目共设置</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个有组织排放口，对照</w:t>
            </w:r>
            <w:r>
              <w:rPr>
                <w:rFonts w:hint="default" w:ascii="Times New Roman" w:hAnsi="Times New Roman" w:eastAsia="宋体" w:cs="Times New Roman"/>
                <w:color w:val="000000" w:themeColor="text1"/>
                <w:lang w:eastAsia="zh-CN"/>
                <w14:textFill>
                  <w14:solidFill>
                    <w14:schemeClr w14:val="tx1"/>
                  </w14:solidFill>
                </w14:textFill>
              </w:rPr>
              <w:t>《排污许可证申请与核发技术规范</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eastAsia="zh-CN"/>
                <w14:textFill>
                  <w14:solidFill>
                    <w14:schemeClr w14:val="tx1"/>
                  </w14:solidFill>
                </w14:textFill>
              </w:rPr>
              <w:t>印刷工业》</w:t>
            </w:r>
            <w:r>
              <w:rPr>
                <w:rFonts w:hint="default" w:ascii="Times New Roman" w:hAnsi="Times New Roman" w:eastAsia="宋体" w:cs="Times New Roman"/>
                <w:color w:val="000000" w:themeColor="text1"/>
                <w14:textFill>
                  <w14:solidFill>
                    <w14:schemeClr w14:val="tx1"/>
                  </w14:solidFill>
                </w14:textFill>
              </w:rPr>
              <w:t>（HJ 1</w:t>
            </w:r>
            <w:r>
              <w:rPr>
                <w:rFonts w:hint="default" w:ascii="Times New Roman" w:hAnsi="Times New Roman" w:eastAsia="宋体" w:cs="Times New Roman"/>
                <w:color w:val="000000" w:themeColor="text1"/>
                <w:lang w:val="en-US" w:eastAsia="zh-CN"/>
                <w14:textFill>
                  <w14:solidFill>
                    <w14:schemeClr w14:val="tx1"/>
                  </w14:solidFill>
                </w14:textFill>
              </w:rPr>
              <w:t>066</w:t>
            </w:r>
            <w:r>
              <w:rPr>
                <w:rFonts w:hint="default" w:ascii="Times New Roman" w:hAnsi="Times New Roman" w:eastAsia="宋体" w:cs="Times New Roman"/>
                <w:color w:val="000000" w:themeColor="text1"/>
                <w14:textFill>
                  <w14:solidFill>
                    <w14:schemeClr w14:val="tx1"/>
                  </w14:solidFill>
                </w14:textFill>
              </w:rPr>
              <w:t>—20</w:t>
            </w:r>
            <w:r>
              <w:rPr>
                <w:rFonts w:hint="default" w:ascii="Times New Roman" w:hAnsi="Times New Roman" w:eastAsia="宋体" w:cs="Times New Roman"/>
                <w:color w:val="000000" w:themeColor="text1"/>
                <w:lang w:val="en-US" w:eastAsia="zh-CN"/>
                <w14:textFill>
                  <w14:solidFill>
                    <w14:schemeClr w14:val="tx1"/>
                  </w14:solidFill>
                </w14:textFill>
              </w:rPr>
              <w:t>19</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登记管理</w:t>
            </w:r>
            <w:r>
              <w:rPr>
                <w:rFonts w:hint="default" w:ascii="Times New Roman" w:hAnsi="Times New Roman" w:eastAsia="宋体" w:cs="Times New Roman"/>
                <w:color w:val="000000" w:themeColor="text1"/>
                <w14:textFill>
                  <w14:solidFill>
                    <w14:schemeClr w14:val="tx1"/>
                  </w14:solidFill>
                </w14:textFill>
              </w:rPr>
              <w:t>排放口为一般排放口，排放口基本情况详见下表。</w:t>
            </w:r>
          </w:p>
          <w:p w14:paraId="0980B327">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pacing w:val="-1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表4</w:t>
            </w:r>
            <w: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t>-10</w:t>
            </w:r>
            <w:r>
              <w:rPr>
                <w:rFonts w:hint="default" w:ascii="Times New Roman" w:hAnsi="Times New Roman" w:eastAsia="宋体" w:cs="Times New Roman"/>
                <w:b/>
                <w:color w:val="000000" w:themeColor="text1"/>
                <w:kern w:val="0"/>
                <w:sz w:val="21"/>
                <w:szCs w:val="21"/>
                <w14:textFill>
                  <w14:solidFill>
                    <w14:schemeClr w14:val="tx1"/>
                  </w14:solidFill>
                </w14:textFill>
              </w:rPr>
              <w:t xml:space="preserve"> 排放口基本情况一览表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2425"/>
              <w:gridCol w:w="1034"/>
              <w:gridCol w:w="1068"/>
              <w:gridCol w:w="744"/>
              <w:gridCol w:w="1175"/>
            </w:tblGrid>
            <w:tr w14:paraId="1C79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2" w:type="pct"/>
                  <w:vAlign w:val="center"/>
                </w:tcPr>
                <w:p w14:paraId="54FF9984">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编号及名称</w:t>
                  </w:r>
                </w:p>
              </w:tc>
              <w:tc>
                <w:tcPr>
                  <w:tcW w:w="1503" w:type="pct"/>
                  <w:vAlign w:val="center"/>
                </w:tcPr>
                <w:p w14:paraId="4F75B72F">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地理坐标</w:t>
                  </w:r>
                </w:p>
              </w:tc>
              <w:tc>
                <w:tcPr>
                  <w:tcW w:w="641" w:type="pct"/>
                  <w:vAlign w:val="center"/>
                </w:tcPr>
                <w:p w14:paraId="2D190F5F">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排放高度/m</w:t>
                  </w:r>
                </w:p>
              </w:tc>
              <w:tc>
                <w:tcPr>
                  <w:tcW w:w="662" w:type="pct"/>
                  <w:vAlign w:val="center"/>
                </w:tcPr>
                <w:p w14:paraId="518F7F8C">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排气筒内径/m</w:t>
                  </w:r>
                </w:p>
              </w:tc>
              <w:tc>
                <w:tcPr>
                  <w:tcW w:w="461" w:type="pct"/>
                  <w:vAlign w:val="center"/>
                </w:tcPr>
                <w:p w14:paraId="714AEC8E">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温度/℃</w:t>
                  </w:r>
                </w:p>
              </w:tc>
              <w:tc>
                <w:tcPr>
                  <w:tcW w:w="728" w:type="pct"/>
                  <w:vAlign w:val="center"/>
                </w:tcPr>
                <w:p w14:paraId="717C77F5">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类型</w:t>
                  </w:r>
                </w:p>
              </w:tc>
            </w:tr>
            <w:tr w14:paraId="640A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pct"/>
                  <w:vAlign w:val="center"/>
                </w:tcPr>
                <w:p w14:paraId="0EA55227">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DA001废气排放口</w:t>
                  </w:r>
                </w:p>
              </w:tc>
              <w:tc>
                <w:tcPr>
                  <w:tcW w:w="1503" w:type="pct"/>
                  <w:vAlign w:val="center"/>
                </w:tcPr>
                <w:p w14:paraId="6D5E2864">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东经10</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42</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56.344</w:t>
                  </w:r>
                  <w:r>
                    <w:rPr>
                      <w:rFonts w:hint="default" w:ascii="Times New Roman" w:hAnsi="Times New Roman" w:eastAsia="宋体" w:cs="Times New Roman"/>
                      <w:b w:val="0"/>
                      <w:bCs/>
                      <w:color w:val="000000" w:themeColor="text1"/>
                      <w:kern w:val="0"/>
                      <w:sz w:val="21"/>
                      <w:szCs w:val="21"/>
                      <w14:textFill>
                        <w14:solidFill>
                          <w14:schemeClr w14:val="tx1"/>
                        </w14:solidFill>
                      </w14:textFill>
                    </w:rPr>
                    <w:t>″、北纬24°</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18</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27.308</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641" w:type="pct"/>
                  <w:vAlign w:val="center"/>
                </w:tcPr>
                <w:p w14:paraId="0445694A">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22</w:t>
                  </w:r>
                </w:p>
              </w:tc>
              <w:tc>
                <w:tcPr>
                  <w:tcW w:w="662" w:type="pct"/>
                  <w:vAlign w:val="center"/>
                </w:tcPr>
                <w:p w14:paraId="48C63563">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0.5</w:t>
                  </w:r>
                </w:p>
              </w:tc>
              <w:tc>
                <w:tcPr>
                  <w:tcW w:w="461" w:type="pct"/>
                  <w:vAlign w:val="center"/>
                </w:tcPr>
                <w:p w14:paraId="1136046C">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35</w:t>
                  </w:r>
                </w:p>
              </w:tc>
              <w:tc>
                <w:tcPr>
                  <w:tcW w:w="728" w:type="pct"/>
                  <w:vAlign w:val="center"/>
                </w:tcPr>
                <w:p w14:paraId="7D93562D">
                  <w:pPr>
                    <w:pStyle w:val="31"/>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一般排放口</w:t>
                  </w:r>
                </w:p>
              </w:tc>
            </w:tr>
          </w:tbl>
          <w:p w14:paraId="759F83FC">
            <w:pPr>
              <w:pStyle w:val="48"/>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2）排气筒高度</w:t>
            </w:r>
          </w:p>
          <w:p w14:paraId="7AC81B00">
            <w:pPr>
              <w:pStyle w:val="48"/>
              <w:keepNext w:val="0"/>
              <w:keepLines/>
              <w:pageBreakBefore w:val="0"/>
              <w:kinsoku/>
              <w:overflowPunct/>
              <w:bidi w:val="0"/>
              <w:adjustRightInd/>
              <w:spacing w:line="360" w:lineRule="auto"/>
              <w:ind w:firstLine="480" w:firstLine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本项目租用现有生产厂房进行建设，根据建设单位提供资料，现有厂房1F层高约6.9m，2F、3F、4F层高4.5m，厂房总高度约20.4m。故本环评要求排放口高度设置为不低于22m。</w:t>
            </w:r>
          </w:p>
          <w:p w14:paraId="01DE8D22">
            <w:pPr>
              <w:pStyle w:val="48"/>
              <w:keepNext w:val="0"/>
              <w:keepLines/>
              <w:pageBreakBefore w:val="0"/>
              <w:kinsoku/>
              <w:overflowPunct/>
              <w:bidi w:val="0"/>
              <w:adjustRightInd/>
              <w:spacing w:line="360" w:lineRule="auto"/>
              <w:ind w:firstLine="480" w:firstLine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排放口高度高于屋顶，有助于提供良好的通风和空气流通，有利于烟气进行扩散；同时排放口高度高于屋顶，废气不会被吹回室内，能够降低对项目区内工作人员影响。</w:t>
            </w:r>
          </w:p>
          <w:p w14:paraId="7B1BE62B">
            <w:pPr>
              <w:pStyle w:val="48"/>
              <w:keepNext w:val="0"/>
              <w:keepLines/>
              <w:pageBreakBefore w:val="0"/>
              <w:kinsoku/>
              <w:overflowPunct/>
              <w:bidi w:val="0"/>
              <w:adjustRightInd/>
              <w:spacing w:line="360" w:lineRule="auto"/>
              <w:ind w:firstLine="480" w:firstLine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根据《印刷工业大气污染物排放标准》（GB41616-2022）中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4有组织排放控制要求，4.5排气筒高度不低于15m（因安全考虑或有特殊工艺要求的除外），具体高度以及与周围建筑物的相对高度关系应根据环境影响评价文件确定</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。故本项目排气筒高度设置合理，符合《印刷工业大气污染物排放标准》（GB41616-2022）中相关要求。</w:t>
            </w:r>
          </w:p>
          <w:p w14:paraId="56F78B7E">
            <w:pPr>
              <w:pStyle w:val="48"/>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14:textFill>
                  <w14:solidFill>
                    <w14:schemeClr w14:val="tx1"/>
                  </w14:solidFill>
                </w14:textFill>
              </w:rPr>
              <w:t>）大气环境影响分析</w:t>
            </w:r>
          </w:p>
          <w:p w14:paraId="70079935">
            <w:pPr>
              <w:pStyle w:val="48"/>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w:t>
            </w:r>
            <w:r>
              <w:rPr>
                <w:rFonts w:hint="default" w:ascii="Times New Roman" w:hAnsi="Times New Roman" w:eastAsia="宋体" w:cs="Times New Roman"/>
                <w:b/>
                <w:bCs/>
                <w:color w:val="000000" w:themeColor="text1"/>
                <w:lang w:eastAsia="zh-CN"/>
                <w14:textFill>
                  <w14:solidFill>
                    <w14:schemeClr w14:val="tx1"/>
                  </w14:solidFill>
                </w14:textFill>
              </w:rPr>
              <w:t>有组织</w:t>
            </w:r>
            <w:r>
              <w:rPr>
                <w:rFonts w:hint="default" w:ascii="Times New Roman" w:hAnsi="Times New Roman" w:eastAsia="宋体" w:cs="Times New Roman"/>
                <w:b/>
                <w:bCs/>
                <w:color w:val="000000" w:themeColor="text1"/>
                <w14:textFill>
                  <w14:solidFill>
                    <w14:schemeClr w14:val="tx1"/>
                  </w14:solidFill>
                </w14:textFill>
              </w:rPr>
              <w:t>废气</w:t>
            </w:r>
          </w:p>
          <w:p w14:paraId="55D3B8E4">
            <w:pPr>
              <w:pStyle w:val="48"/>
              <w:keepNext w:val="0"/>
              <w:keepLines/>
              <w:pageBreakBefore w:val="0"/>
              <w:kinsoku/>
              <w:overflowPunct/>
              <w:bidi w:val="0"/>
              <w:adjustRightInd/>
              <w:snapToGrid/>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①正常排放</w:t>
            </w:r>
          </w:p>
          <w:p w14:paraId="43D1E185">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有机废气收集后一起引至一套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处理后通过22m高排气筒排放，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通过处理后排放的</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颗粒物、二氧化硫、NOx、非甲烷总烃</w:t>
            </w:r>
            <w:r>
              <w:rPr>
                <w:rFonts w:hint="default" w:ascii="Times New Roman" w:hAnsi="Times New Roman" w:eastAsia="宋体" w:cs="Times New Roman"/>
                <w:color w:val="000000" w:themeColor="text1"/>
                <w:lang w:eastAsia="zh-CN"/>
                <w14:textFill>
                  <w14:solidFill>
                    <w14:schemeClr w14:val="tx1"/>
                  </w14:solidFill>
                </w14:textFill>
              </w:rPr>
              <w:t>、苯及苯系物</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《印刷工业大气污染物排放标准》（GB41616-2022）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标准。</w:t>
            </w:r>
          </w:p>
          <w:p w14:paraId="5D663A9E">
            <w:pPr>
              <w:pStyle w:val="48"/>
              <w:keepNext w:val="0"/>
              <w:keepLines/>
              <w:pageBreakBefore w:val="0"/>
              <w:kinsoku/>
              <w:overflowPunct/>
              <w:bidi w:val="0"/>
              <w:adjustRightInd/>
              <w:snapToGrid/>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②非正常排放</w:t>
            </w:r>
          </w:p>
          <w:p w14:paraId="331FD9C8">
            <w:pPr>
              <w:keepNext w:val="0"/>
              <w:keepLines/>
              <w:pageBreakBefore w:val="0"/>
              <w:kinsoku/>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当处理废气治理设施发生故障不能正常运行的情况下，废气的处理效果将会降低，本次考虑RTO蓄热燃烧设施非甲烷总烃处理效率降低至50%和</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RTO设备开炉停炉</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处理效率为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0%时，</w:t>
            </w:r>
            <w:r>
              <w:rPr>
                <w:rFonts w:hint="default" w:ascii="Times New Roman" w:hAnsi="Times New Roman" w:eastAsia="宋体" w:cs="Times New Roman"/>
                <w:color w:val="000000" w:themeColor="text1"/>
                <w:sz w:val="24"/>
                <w:lang w:val="en-US" w:eastAsia="zh-CN"/>
                <w14:textFill>
                  <w14:solidFill>
                    <w14:schemeClr w14:val="tx1"/>
                  </w14:solidFill>
                </w14:textFill>
              </w:rPr>
              <w:t>DA001排气筒非正常排放情况。</w:t>
            </w:r>
          </w:p>
          <w:p w14:paraId="32003016">
            <w:pPr>
              <w:keepNext w:val="0"/>
              <w:keepLines/>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表</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4-11 非正常工况污染物排放情况</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203"/>
              <w:gridCol w:w="633"/>
              <w:gridCol w:w="1133"/>
              <w:gridCol w:w="1024"/>
              <w:gridCol w:w="747"/>
              <w:gridCol w:w="802"/>
              <w:gridCol w:w="767"/>
              <w:gridCol w:w="748"/>
            </w:tblGrid>
            <w:tr w14:paraId="616A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noWrap w:val="0"/>
                  <w:vAlign w:val="center"/>
                </w:tcPr>
                <w:p w14:paraId="46D69880">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非正常排放源</w:t>
                  </w:r>
                </w:p>
              </w:tc>
              <w:tc>
                <w:tcPr>
                  <w:tcW w:w="1203" w:type="dxa"/>
                  <w:noWrap w:val="0"/>
                  <w:vAlign w:val="center"/>
                </w:tcPr>
                <w:p w14:paraId="62CBC4F4">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非正常排放原因</w:t>
                  </w:r>
                </w:p>
              </w:tc>
              <w:tc>
                <w:tcPr>
                  <w:tcW w:w="633" w:type="dxa"/>
                  <w:noWrap w:val="0"/>
                  <w:vAlign w:val="center"/>
                </w:tcPr>
                <w:p w14:paraId="6B1C203E">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污染物</w:t>
                  </w:r>
                </w:p>
              </w:tc>
              <w:tc>
                <w:tcPr>
                  <w:tcW w:w="1133" w:type="dxa"/>
                  <w:noWrap w:val="0"/>
                  <w:vAlign w:val="center"/>
                </w:tcPr>
                <w:p w14:paraId="7D1F4B7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非正常</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val="0"/>
                      <w:bCs/>
                      <w:color w:val="000000" w:themeColor="text1"/>
                      <w:kern w:val="0"/>
                      <w:sz w:val="21"/>
                      <w:szCs w:val="21"/>
                      <w:highlight w:val="none"/>
                      <w:vertAlign w:val="superscript"/>
                      <w14:textFill>
                        <w14:solidFill>
                          <w14:schemeClr w14:val="tx1"/>
                        </w14:solidFill>
                      </w14:textFill>
                    </w:rPr>
                    <w:t>3</w:t>
                  </w:r>
                </w:p>
              </w:tc>
              <w:tc>
                <w:tcPr>
                  <w:tcW w:w="1024" w:type="dxa"/>
                  <w:noWrap w:val="0"/>
                  <w:vAlign w:val="center"/>
                </w:tcPr>
                <w:p w14:paraId="7DD71BB8">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非正常排放速率</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/kg/h</w:t>
                  </w:r>
                </w:p>
              </w:tc>
              <w:tc>
                <w:tcPr>
                  <w:tcW w:w="747" w:type="dxa"/>
                  <w:noWrap w:val="0"/>
                  <w:vAlign w:val="center"/>
                </w:tcPr>
                <w:p w14:paraId="57A81C94">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实际</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治理效率</w:t>
                  </w:r>
                </w:p>
              </w:tc>
              <w:tc>
                <w:tcPr>
                  <w:tcW w:w="802" w:type="dxa"/>
                  <w:noWrap w:val="0"/>
                  <w:vAlign w:val="center"/>
                </w:tcPr>
                <w:p w14:paraId="2765ED6E">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单次持续时间</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/h</w:t>
                  </w:r>
                </w:p>
              </w:tc>
              <w:tc>
                <w:tcPr>
                  <w:tcW w:w="767" w:type="dxa"/>
                  <w:noWrap w:val="0"/>
                  <w:vAlign w:val="center"/>
                </w:tcPr>
                <w:p w14:paraId="10A558CF">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年发生频次</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/次</w:t>
                  </w:r>
                </w:p>
              </w:tc>
              <w:tc>
                <w:tcPr>
                  <w:tcW w:w="748" w:type="dxa"/>
                  <w:noWrap w:val="0"/>
                  <w:vAlign w:val="center"/>
                </w:tcPr>
                <w:p w14:paraId="63649AD3">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应对措施</w:t>
                  </w:r>
                </w:p>
              </w:tc>
            </w:tr>
            <w:tr w14:paraId="5D70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2" w:type="dxa"/>
                  <w:vMerge w:val="restart"/>
                  <w:noWrap w:val="0"/>
                  <w:vAlign w:val="center"/>
                </w:tcPr>
                <w:p w14:paraId="19123830">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DA001</w:t>
                  </w:r>
                </w:p>
              </w:tc>
              <w:tc>
                <w:tcPr>
                  <w:tcW w:w="1203" w:type="dxa"/>
                  <w:noWrap w:val="0"/>
                  <w:vAlign w:val="center"/>
                </w:tcPr>
                <w:p w14:paraId="2BA395E6">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RTO</w:t>
                  </w: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设施效率降低</w:t>
                  </w: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至</w:t>
                  </w: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50%</w:t>
                  </w:r>
                </w:p>
              </w:tc>
              <w:tc>
                <w:tcPr>
                  <w:tcW w:w="633" w:type="dxa"/>
                  <w:vMerge w:val="restart"/>
                  <w:noWrap w:val="0"/>
                  <w:vAlign w:val="center"/>
                </w:tcPr>
                <w:p w14:paraId="5DE9C34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非甲烷总烃</w:t>
                  </w:r>
                </w:p>
              </w:tc>
              <w:tc>
                <w:tcPr>
                  <w:tcW w:w="1133" w:type="dxa"/>
                  <w:noWrap w:val="0"/>
                  <w:vAlign w:val="center"/>
                </w:tcPr>
                <w:p w14:paraId="26F2FE9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12.53</w:t>
                  </w:r>
                </w:p>
              </w:tc>
              <w:tc>
                <w:tcPr>
                  <w:tcW w:w="1024" w:type="dxa"/>
                  <w:noWrap w:val="0"/>
                  <w:vAlign w:val="center"/>
                </w:tcPr>
                <w:p w14:paraId="6676C2F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w:t>
                  </w: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3760</w:t>
                  </w:r>
                </w:p>
              </w:tc>
              <w:tc>
                <w:tcPr>
                  <w:tcW w:w="747" w:type="dxa"/>
                  <w:noWrap w:val="0"/>
                  <w:vAlign w:val="center"/>
                </w:tcPr>
                <w:p w14:paraId="3F19786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50</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p>
              </w:tc>
              <w:tc>
                <w:tcPr>
                  <w:tcW w:w="802" w:type="dxa"/>
                  <w:noWrap w:val="0"/>
                  <w:vAlign w:val="center"/>
                </w:tcPr>
                <w:p w14:paraId="53C193A1">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7" w:type="dxa"/>
                  <w:noWrap w:val="0"/>
                  <w:vAlign w:val="center"/>
                </w:tcPr>
                <w:p w14:paraId="7129EEE1">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48" w:type="dxa"/>
                  <w:vMerge w:val="restart"/>
                  <w:noWrap w:val="0"/>
                  <w:vAlign w:val="center"/>
                </w:tcPr>
                <w:p w14:paraId="64E40D6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设备关停检修</w:t>
                  </w:r>
                </w:p>
              </w:tc>
            </w:tr>
            <w:tr w14:paraId="00E2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Merge w:val="continue"/>
                  <w:noWrap w:val="0"/>
                  <w:vAlign w:val="center"/>
                </w:tcPr>
                <w:p w14:paraId="566DFB3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1203" w:type="dxa"/>
                  <w:noWrap w:val="0"/>
                  <w:vAlign w:val="center"/>
                </w:tcPr>
                <w:p w14:paraId="55057757">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RTO设备开炉停炉</w:t>
                  </w:r>
                  <w:r>
                    <w:rPr>
                      <w:rFonts w:hint="eastAsia"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，治理效率0%</w:t>
                  </w:r>
                </w:p>
              </w:tc>
              <w:tc>
                <w:tcPr>
                  <w:tcW w:w="633" w:type="dxa"/>
                  <w:vMerge w:val="continue"/>
                  <w:noWrap w:val="0"/>
                  <w:vAlign w:val="center"/>
                </w:tcPr>
                <w:p w14:paraId="6B8DF5E3">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p>
              </w:tc>
              <w:tc>
                <w:tcPr>
                  <w:tcW w:w="1133" w:type="dxa"/>
                  <w:noWrap w:val="0"/>
                  <w:vAlign w:val="center"/>
                </w:tcPr>
                <w:p w14:paraId="3A2A14B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25.067</w:t>
                  </w:r>
                </w:p>
              </w:tc>
              <w:tc>
                <w:tcPr>
                  <w:tcW w:w="1024" w:type="dxa"/>
                  <w:noWrap w:val="0"/>
                  <w:vAlign w:val="center"/>
                </w:tcPr>
                <w:p w14:paraId="346C148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w:t>
                  </w: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752</w:t>
                  </w:r>
                </w:p>
              </w:tc>
              <w:tc>
                <w:tcPr>
                  <w:tcW w:w="747" w:type="dxa"/>
                  <w:noWrap w:val="0"/>
                  <w:vAlign w:val="center"/>
                </w:tcPr>
                <w:p w14:paraId="4EA5496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p>
              </w:tc>
              <w:tc>
                <w:tcPr>
                  <w:tcW w:w="802" w:type="dxa"/>
                  <w:noWrap w:val="0"/>
                  <w:vAlign w:val="center"/>
                </w:tcPr>
                <w:p w14:paraId="2BC01ECA">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7" w:type="dxa"/>
                  <w:noWrap w:val="0"/>
                  <w:vAlign w:val="center"/>
                </w:tcPr>
                <w:p w14:paraId="7C854AD6">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48" w:type="dxa"/>
                  <w:vMerge w:val="continue"/>
                  <w:noWrap w:val="0"/>
                  <w:vAlign w:val="center"/>
                </w:tcPr>
                <w:p w14:paraId="1C179C9A">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r>
          </w:tbl>
          <w:p w14:paraId="219EF166">
            <w:pPr>
              <w:keepNext w:val="0"/>
              <w:keepLines/>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pPr>
          </w:p>
          <w:p w14:paraId="0AE47EF2">
            <w:pPr>
              <w:keepNext w:val="0"/>
              <w:keepLines/>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表</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4-12 非正常工况污染物达标情况</w:t>
            </w:r>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1"/>
              <w:gridCol w:w="1384"/>
              <w:gridCol w:w="697"/>
              <w:gridCol w:w="1917"/>
              <w:gridCol w:w="1797"/>
              <w:gridCol w:w="1226"/>
            </w:tblGrid>
            <w:tr w14:paraId="16E00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5" w:type="pct"/>
                  <w:shd w:val="clear" w:color="000000" w:fill="FFFFFF"/>
                  <w:vAlign w:val="center"/>
                </w:tcPr>
                <w:p w14:paraId="52E9FCB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zh-CN"/>
                      <w14:textFill>
                        <w14:solidFill>
                          <w14:schemeClr w14:val="tx1"/>
                        </w14:solidFill>
                      </w14:textFill>
                    </w:rPr>
                    <w:t>排放口</w:t>
                  </w:r>
                </w:p>
              </w:tc>
              <w:tc>
                <w:tcPr>
                  <w:tcW w:w="858" w:type="pct"/>
                  <w:shd w:val="clear" w:color="000000" w:fill="FFFFFF"/>
                  <w:vAlign w:val="center"/>
                </w:tcPr>
                <w:p w14:paraId="55E4B5C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污染物</w:t>
                  </w:r>
                </w:p>
              </w:tc>
              <w:tc>
                <w:tcPr>
                  <w:tcW w:w="432" w:type="pct"/>
                  <w:shd w:val="clear" w:color="000000" w:fill="FFFFFF"/>
                  <w:vAlign w:val="center"/>
                </w:tcPr>
                <w:p w14:paraId="54554F3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治理效率</w:t>
                  </w:r>
                </w:p>
              </w:tc>
              <w:tc>
                <w:tcPr>
                  <w:tcW w:w="1188" w:type="pct"/>
                  <w:shd w:val="clear" w:color="000000" w:fill="FFFFFF"/>
                  <w:vAlign w:val="center"/>
                </w:tcPr>
                <w:p w14:paraId="0AB4FE9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bCs w:val="0"/>
                      <w:color w:val="000000" w:themeColor="text1"/>
                      <w:kern w:val="0"/>
                      <w:sz w:val="21"/>
                      <w:szCs w:val="21"/>
                      <w:highlight w:val="none"/>
                      <w:vertAlign w:val="superscript"/>
                      <w14:textFill>
                        <w14:solidFill>
                          <w14:schemeClr w14:val="tx1"/>
                        </w14:solidFill>
                      </w14:textFill>
                    </w:rPr>
                    <w:t>3</w:t>
                  </w:r>
                </w:p>
              </w:tc>
              <w:tc>
                <w:tcPr>
                  <w:tcW w:w="1114" w:type="pct"/>
                  <w:shd w:val="clear" w:color="000000" w:fill="FFFFFF"/>
                  <w:vAlign w:val="center"/>
                </w:tcPr>
                <w:p w14:paraId="709795E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标准限值mg/m</w:t>
                  </w:r>
                  <w:r>
                    <w:rPr>
                      <w:rFonts w:hint="default" w:ascii="Times New Roman" w:hAnsi="Times New Roman" w:eastAsia="宋体" w:cs="Times New Roman"/>
                      <w:b/>
                      <w:bCs w:val="0"/>
                      <w:color w:val="000000" w:themeColor="text1"/>
                      <w:kern w:val="0"/>
                      <w:sz w:val="21"/>
                      <w:szCs w:val="21"/>
                      <w:highlight w:val="none"/>
                      <w:vertAlign w:val="superscript"/>
                      <w14:textFill>
                        <w14:solidFill>
                          <w14:schemeClr w14:val="tx1"/>
                        </w14:solidFill>
                      </w14:textFill>
                    </w:rPr>
                    <w:t>3</w:t>
                  </w:r>
                </w:p>
              </w:tc>
              <w:tc>
                <w:tcPr>
                  <w:tcW w:w="760" w:type="pct"/>
                  <w:shd w:val="clear" w:color="000000" w:fill="FFFFFF"/>
                  <w:vAlign w:val="center"/>
                </w:tcPr>
                <w:p w14:paraId="3EE1ACD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达标情况</w:t>
                  </w:r>
                </w:p>
              </w:tc>
            </w:tr>
            <w:tr w14:paraId="6C723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5" w:type="pct"/>
                  <w:vMerge w:val="restart"/>
                  <w:shd w:val="clear" w:color="000000" w:fill="FFFFFF"/>
                  <w:vAlign w:val="center"/>
                </w:tcPr>
                <w:p w14:paraId="195B73D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DA001</w:t>
                  </w:r>
                </w:p>
              </w:tc>
              <w:tc>
                <w:tcPr>
                  <w:tcW w:w="858" w:type="pct"/>
                  <w:vMerge w:val="restart"/>
                  <w:shd w:val="clear" w:color="000000" w:fill="FFFFFF"/>
                  <w:vAlign w:val="center"/>
                </w:tcPr>
                <w:p w14:paraId="0C83D58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非甲烷总烃</w:t>
                  </w:r>
                </w:p>
              </w:tc>
              <w:tc>
                <w:tcPr>
                  <w:tcW w:w="432" w:type="pct"/>
                  <w:shd w:val="clear" w:color="000000" w:fill="FFFFFF"/>
                  <w:vAlign w:val="center"/>
                </w:tcPr>
                <w:p w14:paraId="281E0A5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50</w:t>
                  </w:r>
                </w:p>
              </w:tc>
              <w:tc>
                <w:tcPr>
                  <w:tcW w:w="1917" w:type="dxa"/>
                  <w:shd w:val="clear" w:color="000000" w:fill="FFFFFF"/>
                  <w:vAlign w:val="center"/>
                </w:tcPr>
                <w:p w14:paraId="14DD7B8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12.53</w:t>
                  </w:r>
                </w:p>
              </w:tc>
              <w:tc>
                <w:tcPr>
                  <w:tcW w:w="1114" w:type="pct"/>
                  <w:shd w:val="clear" w:color="000000" w:fill="FFFFFF"/>
                  <w:vAlign w:val="center"/>
                </w:tcPr>
                <w:p w14:paraId="54B9476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70</w:t>
                  </w:r>
                </w:p>
              </w:tc>
              <w:tc>
                <w:tcPr>
                  <w:tcW w:w="760" w:type="pct"/>
                  <w:shd w:val="clear" w:color="000000" w:fill="FFFFFF"/>
                  <w:vAlign w:val="center"/>
                </w:tcPr>
                <w:p w14:paraId="696C9D1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r w14:paraId="5D4AB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5" w:type="pct"/>
                  <w:vMerge w:val="continue"/>
                  <w:shd w:val="clear" w:color="000000" w:fill="FFFFFF"/>
                  <w:vAlign w:val="center"/>
                </w:tcPr>
                <w:p w14:paraId="5FCF1B9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858" w:type="pct"/>
                  <w:vMerge w:val="continue"/>
                  <w:shd w:val="clear" w:color="000000" w:fill="FFFFFF"/>
                  <w:vAlign w:val="center"/>
                </w:tcPr>
                <w:p w14:paraId="36FF960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432" w:type="pct"/>
                  <w:shd w:val="clear" w:color="000000" w:fill="FFFFFF"/>
                  <w:vAlign w:val="center"/>
                </w:tcPr>
                <w:p w14:paraId="49BC3D9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0</w:t>
                  </w:r>
                </w:p>
              </w:tc>
              <w:tc>
                <w:tcPr>
                  <w:tcW w:w="1917" w:type="dxa"/>
                  <w:shd w:val="clear" w:color="000000" w:fill="FFFFFF"/>
                  <w:vAlign w:val="center"/>
                </w:tcPr>
                <w:p w14:paraId="6E3598D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25.067</w:t>
                  </w:r>
                </w:p>
              </w:tc>
              <w:tc>
                <w:tcPr>
                  <w:tcW w:w="1114" w:type="pct"/>
                  <w:shd w:val="clear" w:color="000000" w:fill="FFFFFF"/>
                  <w:vAlign w:val="center"/>
                </w:tcPr>
                <w:p w14:paraId="2E74859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70</w:t>
                  </w:r>
                </w:p>
              </w:tc>
              <w:tc>
                <w:tcPr>
                  <w:tcW w:w="760" w:type="pct"/>
                  <w:shd w:val="clear" w:color="000000" w:fill="FFFFFF"/>
                  <w:vAlign w:val="center"/>
                </w:tcPr>
                <w:p w14:paraId="3F19C8F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r w14:paraId="32B69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5" w:type="pct"/>
                  <w:shd w:val="clear" w:color="000000" w:fill="FFFFFF"/>
                  <w:vAlign w:val="center"/>
                </w:tcPr>
                <w:p w14:paraId="56D45F1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zh-CN"/>
                      <w14:textFill>
                        <w14:solidFill>
                          <w14:schemeClr w14:val="tx1"/>
                        </w14:solidFill>
                      </w14:textFill>
                    </w:rPr>
                    <w:t>排放口</w:t>
                  </w:r>
                </w:p>
              </w:tc>
              <w:tc>
                <w:tcPr>
                  <w:tcW w:w="858" w:type="pct"/>
                  <w:shd w:val="clear" w:color="000000" w:fill="FFFFFF"/>
                  <w:vAlign w:val="center"/>
                </w:tcPr>
                <w:p w14:paraId="15FB3C5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污染物</w:t>
                  </w:r>
                </w:p>
              </w:tc>
              <w:tc>
                <w:tcPr>
                  <w:tcW w:w="432" w:type="pct"/>
                  <w:shd w:val="clear" w:color="000000" w:fill="FFFFFF"/>
                  <w:vAlign w:val="center"/>
                </w:tcPr>
                <w:p w14:paraId="580076B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治理效率</w:t>
                  </w:r>
                </w:p>
              </w:tc>
              <w:tc>
                <w:tcPr>
                  <w:tcW w:w="1188" w:type="pct"/>
                  <w:shd w:val="clear" w:color="000000" w:fill="FFFFFF"/>
                  <w:vAlign w:val="center"/>
                </w:tcPr>
                <w:p w14:paraId="6B73226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bCs w:val="0"/>
                      <w:color w:val="000000" w:themeColor="text1"/>
                      <w:kern w:val="0"/>
                      <w:sz w:val="21"/>
                      <w:szCs w:val="21"/>
                      <w:highlight w:val="none"/>
                      <w:vertAlign w:val="superscript"/>
                      <w14:textFill>
                        <w14:solidFill>
                          <w14:schemeClr w14:val="tx1"/>
                        </w14:solidFill>
                      </w14:textFill>
                    </w:rPr>
                    <w:t>3</w:t>
                  </w:r>
                </w:p>
              </w:tc>
              <w:tc>
                <w:tcPr>
                  <w:tcW w:w="1114" w:type="pct"/>
                  <w:shd w:val="clear" w:color="000000" w:fill="FFFFFF"/>
                  <w:vAlign w:val="center"/>
                </w:tcPr>
                <w:p w14:paraId="5FF3687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标准限值mg/m</w:t>
                  </w:r>
                  <w:r>
                    <w:rPr>
                      <w:rFonts w:hint="default" w:ascii="Times New Roman" w:hAnsi="Times New Roman" w:eastAsia="宋体" w:cs="Times New Roman"/>
                      <w:b/>
                      <w:bCs w:val="0"/>
                      <w:color w:val="000000" w:themeColor="text1"/>
                      <w:kern w:val="0"/>
                      <w:sz w:val="21"/>
                      <w:szCs w:val="21"/>
                      <w:highlight w:val="none"/>
                      <w:vertAlign w:val="superscript"/>
                      <w14:textFill>
                        <w14:solidFill>
                          <w14:schemeClr w14:val="tx1"/>
                        </w14:solidFill>
                      </w14:textFill>
                    </w:rPr>
                    <w:t>3</w:t>
                  </w:r>
                </w:p>
              </w:tc>
              <w:tc>
                <w:tcPr>
                  <w:tcW w:w="760" w:type="pct"/>
                  <w:shd w:val="clear" w:color="000000" w:fill="FFFFFF"/>
                  <w:vAlign w:val="center"/>
                </w:tcPr>
                <w:p w14:paraId="47198C1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达标情况</w:t>
                  </w:r>
                </w:p>
              </w:tc>
            </w:tr>
            <w:tr w14:paraId="4D4AD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5" w:type="pct"/>
                  <w:vMerge w:val="restart"/>
                  <w:shd w:val="clear" w:color="000000" w:fill="FFFFFF"/>
                  <w:vAlign w:val="center"/>
                </w:tcPr>
                <w:p w14:paraId="5098044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DA001</w:t>
                  </w:r>
                </w:p>
              </w:tc>
              <w:tc>
                <w:tcPr>
                  <w:tcW w:w="858" w:type="pct"/>
                  <w:shd w:val="clear" w:color="000000" w:fill="FFFFFF"/>
                  <w:vAlign w:val="center"/>
                </w:tcPr>
                <w:p w14:paraId="67D11C1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非甲烷总烃</w:t>
                  </w:r>
                </w:p>
              </w:tc>
              <w:tc>
                <w:tcPr>
                  <w:tcW w:w="432" w:type="pct"/>
                  <w:shd w:val="clear" w:color="000000" w:fill="FFFFFF"/>
                  <w:vAlign w:val="center"/>
                </w:tcPr>
                <w:p w14:paraId="50C3FB3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0</w:t>
                  </w:r>
                </w:p>
              </w:tc>
              <w:tc>
                <w:tcPr>
                  <w:tcW w:w="1188" w:type="pct"/>
                  <w:shd w:val="clear" w:color="000000" w:fill="FFFFFF"/>
                  <w:vAlign w:val="center"/>
                </w:tcPr>
                <w:p w14:paraId="5BA0348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22.042</w:t>
                  </w:r>
                </w:p>
              </w:tc>
              <w:tc>
                <w:tcPr>
                  <w:tcW w:w="1114" w:type="pct"/>
                  <w:shd w:val="clear" w:color="000000" w:fill="FFFFFF"/>
                  <w:vAlign w:val="center"/>
                </w:tcPr>
                <w:p w14:paraId="0458387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70</w:t>
                  </w:r>
                </w:p>
              </w:tc>
              <w:tc>
                <w:tcPr>
                  <w:tcW w:w="760" w:type="pct"/>
                  <w:shd w:val="clear" w:color="000000" w:fill="FFFFFF"/>
                  <w:vAlign w:val="center"/>
                </w:tcPr>
                <w:p w14:paraId="00834D4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r w14:paraId="56B8B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5" w:type="pct"/>
                  <w:vMerge w:val="continue"/>
                  <w:shd w:val="clear" w:color="000000" w:fill="FFFFFF"/>
                  <w:vAlign w:val="center"/>
                </w:tcPr>
                <w:p w14:paraId="4AB37B7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pPr>
                </w:p>
              </w:tc>
              <w:tc>
                <w:tcPr>
                  <w:tcW w:w="858" w:type="pct"/>
                  <w:shd w:val="clear" w:color="000000" w:fill="FFFFFF"/>
                  <w:vAlign w:val="center"/>
                </w:tcPr>
                <w:p w14:paraId="6EA73F1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颗粒物</w:t>
                  </w:r>
                </w:p>
              </w:tc>
              <w:tc>
                <w:tcPr>
                  <w:tcW w:w="432" w:type="pct"/>
                  <w:shd w:val="clear" w:color="000000" w:fill="FFFFFF"/>
                  <w:vAlign w:val="center"/>
                </w:tcPr>
                <w:p w14:paraId="53F7209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0</w:t>
                  </w:r>
                </w:p>
              </w:tc>
              <w:tc>
                <w:tcPr>
                  <w:tcW w:w="1188" w:type="pct"/>
                  <w:shd w:val="clear" w:color="000000" w:fill="FFFFFF"/>
                  <w:vAlign w:val="center"/>
                </w:tcPr>
                <w:p w14:paraId="1982F3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lang w:val="en-US" w:eastAsia="zh-CN"/>
                      <w14:textFill>
                        <w14:solidFill>
                          <w14:schemeClr w14:val="tx1"/>
                        </w14:solidFill>
                      </w14:textFill>
                    </w:rPr>
                    <w:t>5775</w:t>
                  </w:r>
                </w:p>
              </w:tc>
              <w:tc>
                <w:tcPr>
                  <w:tcW w:w="1114" w:type="pct"/>
                  <w:shd w:val="clear" w:color="000000" w:fill="FFFFFF"/>
                  <w:vAlign w:val="center"/>
                </w:tcPr>
                <w:p w14:paraId="15C140D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30</w:t>
                  </w:r>
                </w:p>
              </w:tc>
              <w:tc>
                <w:tcPr>
                  <w:tcW w:w="760" w:type="pct"/>
                  <w:shd w:val="clear" w:color="000000" w:fill="FFFFFF"/>
                  <w:vAlign w:val="center"/>
                </w:tcPr>
                <w:p w14:paraId="40BF0E0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r w14:paraId="06E62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5" w:type="pct"/>
                  <w:vMerge w:val="continue"/>
                  <w:shd w:val="clear" w:color="000000" w:fill="FFFFFF"/>
                  <w:vAlign w:val="center"/>
                </w:tcPr>
                <w:p w14:paraId="7982BA6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pPr>
                </w:p>
              </w:tc>
              <w:tc>
                <w:tcPr>
                  <w:tcW w:w="858" w:type="pct"/>
                  <w:shd w:val="clear" w:color="000000" w:fill="FFFFFF"/>
                  <w:vAlign w:val="center"/>
                </w:tcPr>
                <w:p w14:paraId="733F27B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二氧化硫</w:t>
                  </w:r>
                </w:p>
              </w:tc>
              <w:tc>
                <w:tcPr>
                  <w:tcW w:w="432" w:type="pct"/>
                  <w:shd w:val="clear" w:color="000000" w:fill="FFFFFF"/>
                  <w:vAlign w:val="center"/>
                </w:tcPr>
                <w:p w14:paraId="5A6F7C3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0</w:t>
                  </w:r>
                </w:p>
              </w:tc>
              <w:tc>
                <w:tcPr>
                  <w:tcW w:w="1188" w:type="pct"/>
                  <w:shd w:val="clear" w:color="000000" w:fill="FFFFFF"/>
                  <w:vAlign w:val="center"/>
                </w:tcPr>
                <w:p w14:paraId="079E62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lang w:val="en-US" w:eastAsia="zh-CN"/>
                      <w14:textFill>
                        <w14:solidFill>
                          <w14:schemeClr w14:val="tx1"/>
                        </w14:solidFill>
                      </w14:textFill>
                    </w:rPr>
                    <w:t>4025</w:t>
                  </w:r>
                </w:p>
              </w:tc>
              <w:tc>
                <w:tcPr>
                  <w:tcW w:w="1114" w:type="pct"/>
                  <w:shd w:val="clear" w:color="000000" w:fill="FFFFFF"/>
                  <w:vAlign w:val="center"/>
                </w:tcPr>
                <w:p w14:paraId="3403EE0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200</w:t>
                  </w:r>
                </w:p>
              </w:tc>
              <w:tc>
                <w:tcPr>
                  <w:tcW w:w="760" w:type="pct"/>
                  <w:shd w:val="clear" w:color="000000" w:fill="FFFFFF"/>
                  <w:vAlign w:val="center"/>
                </w:tcPr>
                <w:p w14:paraId="0F2BA13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r w14:paraId="0D64B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5" w:type="pct"/>
                  <w:vMerge w:val="continue"/>
                  <w:shd w:val="clear" w:color="000000" w:fill="FFFFFF"/>
                  <w:vAlign w:val="center"/>
                </w:tcPr>
                <w:p w14:paraId="559E944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pPr>
                </w:p>
              </w:tc>
              <w:tc>
                <w:tcPr>
                  <w:tcW w:w="858" w:type="pct"/>
                  <w:shd w:val="clear" w:color="000000" w:fill="FFFFFF"/>
                  <w:vAlign w:val="center"/>
                </w:tcPr>
                <w:p w14:paraId="5080B03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氮氧化物</w:t>
                  </w:r>
                </w:p>
              </w:tc>
              <w:tc>
                <w:tcPr>
                  <w:tcW w:w="432" w:type="pct"/>
                  <w:shd w:val="clear" w:color="000000" w:fill="FFFFFF"/>
                  <w:vAlign w:val="center"/>
                </w:tcPr>
                <w:p w14:paraId="7F25690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0</w:t>
                  </w:r>
                </w:p>
              </w:tc>
              <w:tc>
                <w:tcPr>
                  <w:tcW w:w="1188" w:type="pct"/>
                  <w:shd w:val="clear" w:color="000000" w:fill="FFFFFF"/>
                  <w:vAlign w:val="center"/>
                </w:tcPr>
                <w:p w14:paraId="675B21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77</w:t>
                  </w:r>
                </w:p>
              </w:tc>
              <w:tc>
                <w:tcPr>
                  <w:tcW w:w="1114" w:type="pct"/>
                  <w:shd w:val="clear" w:color="000000" w:fill="FFFFFF"/>
                  <w:vAlign w:val="center"/>
                </w:tcPr>
                <w:p w14:paraId="4623B91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200</w:t>
                  </w:r>
                </w:p>
              </w:tc>
              <w:tc>
                <w:tcPr>
                  <w:tcW w:w="760" w:type="pct"/>
                  <w:shd w:val="clear" w:color="000000" w:fill="FFFFFF"/>
                  <w:vAlign w:val="center"/>
                </w:tcPr>
                <w:p w14:paraId="256208E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bl>
          <w:p w14:paraId="3ED8B42E">
            <w:pPr>
              <w:keepNext w:val="0"/>
              <w:keepLines w:val="0"/>
              <w:pageBreakBefore w:val="0"/>
              <w:widowControl w:val="0"/>
              <w:kinsoku/>
              <w:wordWrap w:val="0"/>
              <w:overflowPunct/>
              <w:topLinePunct/>
              <w:autoSpaceDE/>
              <w:autoSpaceDN/>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由上表可知，若设备故障，处理效率降低至50时，</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RTO设备开炉停炉</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处理效率为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0%时</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非甲烷总烃排放浓度虽然满足</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《印刷工业大气污染物排放标准》（GB41616-2022）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中标准限值要求，但是加剧了对环境的影响。</w:t>
            </w:r>
          </w:p>
          <w:p w14:paraId="36933466">
            <w:pPr>
              <w:keepNext w:val="0"/>
              <w:keepLines w:val="0"/>
              <w:pageBreakBefore w:val="0"/>
              <w:widowControl w:val="0"/>
              <w:kinsoku/>
              <w:wordWrap w:val="0"/>
              <w:overflowPunct/>
              <w:topLinePunct/>
              <w:autoSpaceDE/>
              <w:autoSpaceDN/>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故当出现非正常排放时，建设单位要及时对设备关停检修，杜绝废气非正常排放的发生，尽量控制对周围环境的影响。为避免非正常工况，应对废气处理设施进行日常检查及定期维护，事故排放现象一旦被发现，应立即停产检修，待正常运行后才可投入生产。</w:t>
            </w:r>
          </w:p>
          <w:p w14:paraId="06738E98">
            <w:pPr>
              <w:pStyle w:val="48"/>
              <w:keepNext w:val="0"/>
              <w:keepLines w:val="0"/>
              <w:pageBreakBefore w:val="0"/>
              <w:widowControl w:val="0"/>
              <w:kinsoku/>
              <w:wordWrap w:val="0"/>
              <w:overflowPunct/>
              <w:topLinePunct/>
              <w:autoSpaceDE/>
              <w:autoSpaceDN/>
              <w:bidi w:val="0"/>
              <w:adjustRightInd/>
              <w:snapToGrid/>
              <w:spacing w:line="360" w:lineRule="auto"/>
              <w:ind w:firstLine="482"/>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2）无组织废气达标情况分析</w:t>
            </w:r>
          </w:p>
          <w:p w14:paraId="708256D4">
            <w:pPr>
              <w:pStyle w:val="48"/>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本项目无组织废气主要为NMHC，通过规范生产操作，并在车间设置通排风系统，废气经排风扇排出；同时要求员工做好个人防护措施，以尽量减轻废气排放对员工健康的影响。</w:t>
            </w:r>
          </w:p>
          <w:p w14:paraId="06021EA6">
            <w:pPr>
              <w:pStyle w:val="48"/>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本评价采用《环境影响评价技术导则大气环境》（HJ2.2-2018）推荐的AERSCREEN模型进行预测，其预测参数如下：</w:t>
            </w:r>
          </w:p>
          <w:p w14:paraId="24F5414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4-13 AERSCREEN模型预测参数表</w:t>
            </w:r>
          </w:p>
          <w:tbl>
            <w:tblPr>
              <w:tblStyle w:val="32"/>
              <w:tblW w:w="498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679"/>
              <w:gridCol w:w="2685"/>
              <w:gridCol w:w="2682"/>
            </w:tblGrid>
            <w:tr w14:paraId="11A5C0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7FE401F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参数</w:t>
                  </w:r>
                </w:p>
              </w:tc>
              <w:tc>
                <w:tcPr>
                  <w:tcW w:w="1666" w:type="pct"/>
                  <w:vAlign w:val="center"/>
                </w:tcPr>
                <w:p w14:paraId="6385161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取值</w:t>
                  </w:r>
                </w:p>
              </w:tc>
            </w:tr>
            <w:tr w14:paraId="392928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5" w:type="pct"/>
                  <w:vMerge w:val="restart"/>
                  <w:vAlign w:val="center"/>
                </w:tcPr>
                <w:p w14:paraId="00EB78B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城市/农村选项</w:t>
                  </w:r>
                </w:p>
              </w:tc>
              <w:tc>
                <w:tcPr>
                  <w:tcW w:w="1668" w:type="pct"/>
                  <w:vAlign w:val="center"/>
                </w:tcPr>
                <w:p w14:paraId="2CB2F06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城市/农村</w:t>
                  </w:r>
                </w:p>
              </w:tc>
              <w:tc>
                <w:tcPr>
                  <w:tcW w:w="1666" w:type="pct"/>
                  <w:vAlign w:val="center"/>
                </w:tcPr>
                <w:p w14:paraId="2EF41AC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农村</w:t>
                  </w:r>
                </w:p>
              </w:tc>
            </w:tr>
            <w:tr w14:paraId="51CA95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5" w:type="pct"/>
                  <w:vMerge w:val="continue"/>
                  <w:vAlign w:val="center"/>
                </w:tcPr>
                <w:p w14:paraId="1775390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4F432C9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人口数（城市人口数）</w:t>
                  </w:r>
                </w:p>
              </w:tc>
              <w:tc>
                <w:tcPr>
                  <w:tcW w:w="1666" w:type="pct"/>
                  <w:vAlign w:val="center"/>
                </w:tcPr>
                <w:p w14:paraId="78088D8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6FFAF7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700C048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最高环境温度</w:t>
                  </w:r>
                </w:p>
              </w:tc>
              <w:tc>
                <w:tcPr>
                  <w:tcW w:w="1666" w:type="pct"/>
                  <w:vAlign w:val="center"/>
                </w:tcPr>
                <w:p w14:paraId="23BB5C7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34.4</w:t>
                  </w:r>
                </w:p>
              </w:tc>
            </w:tr>
            <w:tr w14:paraId="669B23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6A53C40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最低环境温度</w:t>
                  </w:r>
                </w:p>
              </w:tc>
              <w:tc>
                <w:tcPr>
                  <w:tcW w:w="1666" w:type="pct"/>
                  <w:vAlign w:val="center"/>
                </w:tcPr>
                <w:p w14:paraId="1607D75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-5.5</w:t>
                  </w:r>
                </w:p>
              </w:tc>
            </w:tr>
            <w:tr w14:paraId="0AD124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588CEA2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土地利用类型</w:t>
                  </w:r>
                </w:p>
              </w:tc>
              <w:tc>
                <w:tcPr>
                  <w:tcW w:w="1666" w:type="pct"/>
                  <w:vAlign w:val="center"/>
                </w:tcPr>
                <w:p w14:paraId="1106C7F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农田</w:t>
                  </w:r>
                </w:p>
              </w:tc>
            </w:tr>
            <w:tr w14:paraId="6C3238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57FCED8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区域湿度条件</w:t>
                  </w:r>
                </w:p>
              </w:tc>
              <w:tc>
                <w:tcPr>
                  <w:tcW w:w="1666" w:type="pct"/>
                  <w:vAlign w:val="center"/>
                </w:tcPr>
                <w:p w14:paraId="140B557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潮湿</w:t>
                  </w:r>
                </w:p>
              </w:tc>
            </w:tr>
            <w:tr w14:paraId="08D0D5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5" w:type="pct"/>
                  <w:vMerge w:val="restart"/>
                  <w:vAlign w:val="center"/>
                </w:tcPr>
                <w:p w14:paraId="201FA66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是否考虑地形</w:t>
                  </w:r>
                </w:p>
              </w:tc>
              <w:tc>
                <w:tcPr>
                  <w:tcW w:w="1668" w:type="pct"/>
                  <w:vAlign w:val="center"/>
                </w:tcPr>
                <w:p w14:paraId="5C09929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考虑地形</w:t>
                  </w:r>
                </w:p>
              </w:tc>
              <w:tc>
                <w:tcPr>
                  <w:tcW w:w="1666" w:type="pct"/>
                  <w:vAlign w:val="center"/>
                </w:tcPr>
                <w:p w14:paraId="24436DD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否</w:t>
                  </w:r>
                </w:p>
              </w:tc>
            </w:tr>
            <w:tr w14:paraId="34EEE0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665" w:type="pct"/>
                  <w:vMerge w:val="continue"/>
                  <w:vAlign w:val="center"/>
                </w:tcPr>
                <w:p w14:paraId="5108DC0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3A2B87A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地形数据分辨率（m）</w:t>
                  </w:r>
                </w:p>
              </w:tc>
              <w:tc>
                <w:tcPr>
                  <w:tcW w:w="1666" w:type="pct"/>
                  <w:vAlign w:val="center"/>
                </w:tcPr>
                <w:p w14:paraId="6FC7BE6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2BD1D4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5" w:type="pct"/>
                  <w:vMerge w:val="restart"/>
                  <w:vAlign w:val="center"/>
                </w:tcPr>
                <w:p w14:paraId="75179D6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是否考虑岸线熏烟</w:t>
                  </w:r>
                </w:p>
              </w:tc>
              <w:tc>
                <w:tcPr>
                  <w:tcW w:w="1668" w:type="pct"/>
                  <w:vAlign w:val="center"/>
                </w:tcPr>
                <w:p w14:paraId="3D618F3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考虑岸线熏烟</w:t>
                  </w:r>
                </w:p>
              </w:tc>
              <w:tc>
                <w:tcPr>
                  <w:tcW w:w="1666" w:type="pct"/>
                  <w:vAlign w:val="center"/>
                </w:tcPr>
                <w:p w14:paraId="507F9A5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否</w:t>
                  </w:r>
                </w:p>
              </w:tc>
            </w:tr>
            <w:tr w14:paraId="45FFC3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5" w:type="pct"/>
                  <w:vMerge w:val="continue"/>
                  <w:vAlign w:val="center"/>
                </w:tcPr>
                <w:p w14:paraId="384847C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16BCAB1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岸线距离/m</w:t>
                  </w:r>
                </w:p>
              </w:tc>
              <w:tc>
                <w:tcPr>
                  <w:tcW w:w="1666" w:type="pct"/>
                  <w:vAlign w:val="center"/>
                </w:tcPr>
                <w:p w14:paraId="573CB71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07A348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5" w:type="pct"/>
                  <w:vMerge w:val="continue"/>
                  <w:vAlign w:val="center"/>
                </w:tcPr>
                <w:p w14:paraId="6634704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0A5791D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岸线方向/°</w:t>
                  </w:r>
                </w:p>
              </w:tc>
              <w:tc>
                <w:tcPr>
                  <w:tcW w:w="1666" w:type="pct"/>
                  <w:vAlign w:val="center"/>
                </w:tcPr>
                <w:p w14:paraId="28407A5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3F924D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7" w:hRule="atLeast"/>
              </w:trPr>
              <w:tc>
                <w:tcPr>
                  <w:tcW w:w="1665" w:type="pct"/>
                  <w:vAlign w:val="center"/>
                </w:tcPr>
                <w:p w14:paraId="2BFC790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排放速率kg/h</w:t>
                  </w:r>
                </w:p>
              </w:tc>
              <w:tc>
                <w:tcPr>
                  <w:tcW w:w="1668" w:type="pct"/>
                  <w:vAlign w:val="center"/>
                </w:tcPr>
                <w:p w14:paraId="671D281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非甲烷总烃</w:t>
                  </w:r>
                </w:p>
              </w:tc>
              <w:tc>
                <w:tcPr>
                  <w:tcW w:w="1666" w:type="pct"/>
                  <w:vAlign w:val="center"/>
                </w:tcPr>
                <w:p w14:paraId="22614F35">
                  <w:pPr>
                    <w:pStyle w:val="28"/>
                    <w:keepNext w:val="0"/>
                    <w:keepLines w:val="0"/>
                    <w:pageBreakBefore w:val="0"/>
                    <w:widowControl w:val="0"/>
                    <w:kinsoku/>
                    <w:wordWrap w:val="0"/>
                    <w:overflowPunct/>
                    <w:topLinePunct/>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1296</w:t>
                  </w:r>
                </w:p>
              </w:tc>
            </w:tr>
          </w:tbl>
          <w:p w14:paraId="248CB633">
            <w:pPr>
              <w:keepNext w:val="0"/>
              <w:keepLines/>
              <w:pageBreakBefore w:val="0"/>
              <w:kinsoku/>
              <w:overflowPunct/>
              <w:bidi w:val="0"/>
              <w:adjustRightInd/>
              <w:snapToGri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根据估算结果，本次项目</w:t>
            </w:r>
            <w:r>
              <w:rPr>
                <w:rFonts w:hint="default" w:ascii="Times New Roman" w:hAnsi="Times New Roman" w:eastAsia="宋体" w:cs="Times New Roman"/>
                <w:color w:val="000000" w:themeColor="text1"/>
                <w:sz w:val="24"/>
                <w14:textFill>
                  <w14:solidFill>
                    <w14:schemeClr w14:val="tx1"/>
                  </w14:solidFill>
                </w14:textFill>
              </w:rPr>
              <w:t>下风向最大浓度出现距离</w:t>
            </w:r>
            <w:r>
              <w:rPr>
                <w:rFonts w:hint="default" w:ascii="Times New Roman" w:hAnsi="Times New Roman" w:eastAsia="宋体" w:cs="Times New Roman"/>
                <w:color w:val="000000" w:themeColor="text1"/>
                <w:sz w:val="24"/>
                <w:lang w:eastAsia="zh-CN"/>
                <w14:textFill>
                  <w14:solidFill>
                    <w14:schemeClr w14:val="tx1"/>
                  </w14:solidFill>
                </w14:textFill>
              </w:rPr>
              <w:t>为</w:t>
            </w:r>
            <w:r>
              <w:rPr>
                <w:rFonts w:hint="default" w:ascii="Times New Roman" w:hAnsi="Times New Roman" w:eastAsia="宋体" w:cs="Times New Roman"/>
                <w:color w:val="000000" w:themeColor="text1"/>
                <w:sz w:val="24"/>
                <w:lang w:val="en-US" w:eastAsia="zh-CN"/>
                <w14:textFill>
                  <w14:solidFill>
                    <w14:schemeClr w14:val="tx1"/>
                  </w14:solidFill>
                </w14:textFill>
              </w:rPr>
              <w:t>82m，非甲烷总烃下风向最大浓度为</w:t>
            </w:r>
            <w:r>
              <w:rPr>
                <w:rFonts w:hint="eastAsia" w:cs="Times New Roman"/>
                <w:color w:val="000000" w:themeColor="text1"/>
                <w:sz w:val="24"/>
                <w:lang w:val="en-US" w:eastAsia="zh-CN"/>
                <w14:textFill>
                  <w14:solidFill>
                    <w14:schemeClr w14:val="tx1"/>
                  </w14:solidFill>
                </w14:textFill>
              </w:rPr>
              <w:t>70.397</w:t>
            </w:r>
            <w:r>
              <w:rPr>
                <w:rFonts w:hint="default" w:ascii="Times New Roman" w:hAnsi="Times New Roman" w:eastAsia="宋体" w:cs="Times New Roman"/>
                <w:color w:val="000000" w:themeColor="text1"/>
                <w:sz w:val="24"/>
                <w:lang w:val="en-US" w:eastAsia="zh-CN"/>
                <w14:textFill>
                  <w14:solidFill>
                    <w14:schemeClr w14:val="tx1"/>
                  </w14:solidFill>
                </w14:textFill>
              </w:rPr>
              <w:t>μg/m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本项目以下风向</w:t>
            </w:r>
            <w:r>
              <w:rPr>
                <w:rFonts w:hint="default" w:ascii="Times New Roman" w:hAnsi="Times New Roman" w:eastAsia="宋体" w:cs="Times New Roman"/>
                <w:color w:val="000000" w:themeColor="text1"/>
                <w:sz w:val="24"/>
                <w:lang w:val="en-US" w:eastAsia="zh-CN"/>
                <w14:textFill>
                  <w14:solidFill>
                    <w14:schemeClr w14:val="tx1"/>
                  </w14:solidFill>
                </w14:textFill>
              </w:rPr>
              <w:t>1m处浓度作为厂界浓度，非甲烷总烃下风向1m处浓度为</w:t>
            </w:r>
            <w:r>
              <w:rPr>
                <w:rFonts w:hint="eastAsia" w:cs="Times New Roman"/>
                <w:color w:val="000000" w:themeColor="text1"/>
                <w:sz w:val="24"/>
                <w:lang w:val="en-US" w:eastAsia="zh-CN"/>
                <w14:textFill>
                  <w14:solidFill>
                    <w14:schemeClr w14:val="tx1"/>
                  </w14:solidFill>
                </w14:textFill>
              </w:rPr>
              <w:t>35.169</w:t>
            </w:r>
            <w:r>
              <w:rPr>
                <w:rFonts w:hint="default" w:ascii="Times New Roman" w:hAnsi="Times New Roman" w:eastAsia="宋体" w:cs="Times New Roman"/>
                <w:color w:val="000000" w:themeColor="text1"/>
                <w:sz w:val="24"/>
                <w:lang w:val="en-US" w:eastAsia="zh-CN"/>
                <w14:textFill>
                  <w14:solidFill>
                    <w14:schemeClr w14:val="tx1"/>
                  </w14:solidFill>
                </w14:textFill>
              </w:rPr>
              <w:t>μg/m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本项目厂界</w:t>
            </w:r>
            <w:r>
              <w:rPr>
                <w:rFonts w:hint="default" w:ascii="Times New Roman" w:hAnsi="Times New Roman" w:eastAsia="宋体" w:cs="Times New Roman"/>
                <w:color w:val="000000" w:themeColor="text1"/>
                <w:sz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满足《大气污染物综合排放标准》（GB16297－1996）中无组织排放标准要求，对周边环境影响不大</w:t>
            </w:r>
            <w:r>
              <w:rPr>
                <w:rFonts w:hint="default" w:ascii="Times New Roman" w:hAnsi="Times New Roman" w:eastAsia="宋体" w:cs="Times New Roman"/>
                <w:color w:val="000000" w:themeColor="text1"/>
                <w:sz w:val="24"/>
                <w14:textFill>
                  <w14:solidFill>
                    <w14:schemeClr w14:val="tx1"/>
                  </w14:solidFill>
                </w14:textFill>
              </w:rPr>
              <w:t>。</w:t>
            </w:r>
          </w:p>
          <w:p w14:paraId="3AF85A28">
            <w:pPr>
              <w:keepNext w:val="0"/>
              <w:keepLines w:val="0"/>
              <w:pageBreakBefore w:val="0"/>
              <w:widowControl w:val="0"/>
              <w:kinsoku/>
              <w:wordWrap w:val="0"/>
              <w:overflowPunct/>
              <w:topLinePunct/>
              <w:autoSpaceDE/>
              <w:autoSpaceDN/>
              <w:bidi w:val="0"/>
              <w:adjustRightInd/>
              <w:snapToGri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综上所述</w:t>
            </w:r>
            <w:r>
              <w:rPr>
                <w:rFonts w:hint="default" w:ascii="Times New Roman" w:hAnsi="Times New Roman" w:eastAsia="宋体" w:cs="Times New Roman"/>
                <w:color w:val="000000" w:themeColor="text1"/>
                <w:sz w:val="24"/>
                <w14:textFill>
                  <w14:solidFill>
                    <w14:schemeClr w14:val="tx1"/>
                  </w14:solidFill>
                </w14:textFill>
              </w:rPr>
              <w:t>，项目厂界无组织</w:t>
            </w:r>
            <w:r>
              <w:rPr>
                <w:rFonts w:hint="default" w:ascii="Times New Roman" w:hAnsi="Times New Roman" w:eastAsia="宋体" w:cs="Times New Roman"/>
                <w:color w:val="000000" w:themeColor="text1"/>
                <w:sz w:val="24"/>
                <w:lang w:eastAsia="zh-CN"/>
                <w14:textFill>
                  <w14:solidFill>
                    <w14:schemeClr w14:val="tx1"/>
                  </w14:solidFill>
                </w14:textFill>
              </w:rPr>
              <w:t>非甲烷总烃</w:t>
            </w:r>
            <w:r>
              <w:rPr>
                <w:rFonts w:hint="default" w:ascii="Times New Roman" w:hAnsi="Times New Roman" w:eastAsia="宋体" w:cs="Times New Roman"/>
                <w:color w:val="000000" w:themeColor="text1"/>
                <w:sz w:val="24"/>
                <w14:textFill>
                  <w14:solidFill>
                    <w14:schemeClr w14:val="tx1"/>
                  </w14:solidFill>
                </w14:textFill>
              </w:rPr>
              <w:t>可实现达标排放，故采取的无组织废气治理设施有效可行。</w:t>
            </w:r>
          </w:p>
          <w:p w14:paraId="2B541C10">
            <w:pPr>
              <w:pStyle w:val="48"/>
              <w:autoSpaceDE/>
              <w:autoSpaceDN/>
              <w:adjustRightInd/>
              <w:spacing w:line="360" w:lineRule="auto"/>
              <w:ind w:firstLine="482" w:firstLineChars="200"/>
              <w:rPr>
                <w:rFonts w:hint="default" w:ascii="Times New Roman" w:hAnsi="Times New Roman" w:eastAsia="宋体" w:cs="Times New Roman"/>
                <w:b/>
                <w:bCs/>
                <w:color w:val="000000" w:themeColor="text1"/>
                <w:kern w:val="24"/>
                <w14:textFill>
                  <w14:solidFill>
                    <w14:schemeClr w14:val="tx1"/>
                  </w14:solidFill>
                </w14:textFill>
              </w:rPr>
            </w:pPr>
            <w:r>
              <w:rPr>
                <w:rFonts w:hint="default" w:ascii="Times New Roman" w:hAnsi="Times New Roman" w:eastAsia="宋体" w:cs="Times New Roman"/>
                <w:b/>
                <w:bCs/>
                <w:color w:val="000000" w:themeColor="text1"/>
                <w:kern w:val="24"/>
                <w14:textFill>
                  <w14:solidFill>
                    <w14:schemeClr w14:val="tx1"/>
                  </w14:solidFill>
                </w14:textFill>
              </w:rPr>
              <w:t>（</w:t>
            </w:r>
            <w:r>
              <w:rPr>
                <w:rFonts w:hint="default" w:ascii="Times New Roman" w:hAnsi="Times New Roman" w:eastAsia="宋体" w:cs="Times New Roman"/>
                <w:b/>
                <w:bCs/>
                <w:color w:val="000000" w:themeColor="text1"/>
                <w:kern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24"/>
                <w14:textFill>
                  <w14:solidFill>
                    <w14:schemeClr w14:val="tx1"/>
                  </w14:solidFill>
                </w14:textFill>
              </w:rPr>
              <w:t>）可行</w:t>
            </w:r>
            <w:r>
              <w:rPr>
                <w:rFonts w:hint="default" w:ascii="Times New Roman" w:hAnsi="Times New Roman" w:eastAsia="宋体" w:cs="Times New Roman"/>
                <w:b/>
                <w:bCs/>
                <w:color w:val="000000" w:themeColor="text1"/>
                <w:kern w:val="24"/>
                <w:lang w:eastAsia="zh-CN"/>
                <w14:textFill>
                  <w14:solidFill>
                    <w14:schemeClr w14:val="tx1"/>
                  </w14:solidFill>
                </w14:textFill>
              </w:rPr>
              <w:t>技术</w:t>
            </w:r>
            <w:r>
              <w:rPr>
                <w:rFonts w:hint="default" w:ascii="Times New Roman" w:hAnsi="Times New Roman" w:eastAsia="宋体" w:cs="Times New Roman"/>
                <w:b/>
                <w:bCs/>
                <w:color w:val="000000" w:themeColor="text1"/>
                <w:kern w:val="24"/>
                <w14:textFill>
                  <w14:solidFill>
                    <w14:schemeClr w14:val="tx1"/>
                  </w14:solidFill>
                </w14:textFill>
              </w:rPr>
              <w:t>分析</w:t>
            </w:r>
          </w:p>
          <w:p w14:paraId="3059F9C8">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本次废气可行技术主要根据《排污许可证申请与核发技术规范</w:t>
            </w:r>
            <w:r>
              <w:rPr>
                <w:rFonts w:hint="default" w:ascii="Times New Roman" w:hAnsi="Times New Roman" w:eastAsia="宋体" w:cs="Times New Roman"/>
                <w:b w:val="0"/>
                <w:bCs w:val="0"/>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lang w:eastAsia="zh-CN"/>
                <w14:textFill>
                  <w14:solidFill>
                    <w14:schemeClr w14:val="tx1"/>
                  </w14:solidFill>
                </w14:textFill>
              </w:rPr>
              <w:t>印刷工业》（HJ 1</w:t>
            </w:r>
            <w:r>
              <w:rPr>
                <w:rFonts w:hint="default" w:ascii="Times New Roman" w:hAnsi="Times New Roman" w:eastAsia="宋体" w:cs="Times New Roman"/>
                <w:b w:val="0"/>
                <w:bCs w:val="0"/>
                <w:color w:val="000000" w:themeColor="text1"/>
                <w:lang w:val="en-US" w:eastAsia="zh-CN"/>
                <w14:textFill>
                  <w14:solidFill>
                    <w14:schemeClr w14:val="tx1"/>
                  </w14:solidFill>
                </w14:textFill>
              </w:rPr>
              <w:t>066</w:t>
            </w:r>
            <w:r>
              <w:rPr>
                <w:rFonts w:hint="default" w:ascii="Times New Roman" w:hAnsi="Times New Roman" w:eastAsia="宋体" w:cs="Times New Roman"/>
                <w:b w:val="0"/>
                <w:bCs w:val="0"/>
                <w:color w:val="000000" w:themeColor="text1"/>
                <w:lang w:eastAsia="zh-CN"/>
                <w14:textFill>
                  <w14:solidFill>
                    <w14:schemeClr w14:val="tx1"/>
                  </w14:solidFill>
                </w14:textFill>
              </w:rPr>
              <w:t>—20</w:t>
            </w:r>
            <w:r>
              <w:rPr>
                <w:rFonts w:hint="default" w:ascii="Times New Roman" w:hAnsi="Times New Roman" w:eastAsia="宋体" w:cs="Times New Roman"/>
                <w:b w:val="0"/>
                <w:bCs w:val="0"/>
                <w:color w:val="000000" w:themeColor="text1"/>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《塑料包装印刷挥发性有机物治理实用手册》（生态环境部</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2020年7月2日发布</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lang w:eastAsia="zh-CN"/>
                <w14:textFill>
                  <w14:solidFill>
                    <w14:schemeClr w14:val="tx1"/>
                  </w14:solidFill>
                </w14:textFill>
              </w:rPr>
              <w:t>以及</w:t>
            </w:r>
            <w:r>
              <w:rPr>
                <w:rFonts w:hint="default" w:ascii="Times New Roman" w:hAnsi="Times New Roman" w:eastAsia="宋体" w:cs="Times New Roman"/>
                <w:b w:val="0"/>
                <w:bCs w:val="0"/>
                <w:color w:val="000000" w:themeColor="text1"/>
                <w:lang w:val="en-US" w:eastAsia="zh-CN"/>
                <w14:textFill>
                  <w14:solidFill>
                    <w14:schemeClr w14:val="tx1"/>
                  </w14:solidFill>
                </w14:textFill>
              </w:rPr>
              <w:t>《印刷工业污染防治可行技术指南》（</w:t>
            </w:r>
            <w:r>
              <w:rPr>
                <w:rFonts w:hint="default" w:ascii="Times New Roman" w:hAnsi="Times New Roman" w:eastAsia="宋体" w:cs="Times New Roman"/>
                <w:b w:val="0"/>
                <w:bCs w:val="0"/>
                <w:color w:val="000000" w:themeColor="text1"/>
                <w:lang w:eastAsia="zh-CN"/>
                <w14:textFill>
                  <w14:solidFill>
                    <w14:schemeClr w14:val="tx1"/>
                  </w14:solidFill>
                </w14:textFill>
              </w:rPr>
              <w:t>HJ1089—2020</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14:paraId="3C2C8F4D">
            <w:pPr>
              <w:pStyle w:val="153"/>
              <w:keepNext w:val="0"/>
              <w:keepLines/>
              <w:pageBreakBefore w:val="0"/>
              <w:widowControl w:val="0"/>
              <w:numPr>
                <w:ilvl w:val="0"/>
                <w:numId w:val="0"/>
              </w:numPr>
              <w:kinsoku/>
              <w:wordWrap/>
              <w:overflowPunct/>
              <w:topLinePunct w:val="0"/>
              <w:bidi w:val="0"/>
              <w:adjustRightInd/>
              <w:snapToGrid/>
              <w:spacing w:line="360" w:lineRule="auto"/>
              <w:contextualSpacing/>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中</w:t>
            </w:r>
            <w:r>
              <w:rPr>
                <w:rFonts w:hint="default" w:ascii="Times New Roman" w:hAnsi="Times New Roman" w:eastAsia="宋体" w:cs="Times New Roman"/>
                <w:b w:val="0"/>
                <w:bCs w:val="0"/>
                <w:color w:val="000000" w:themeColor="text1"/>
                <w:lang w:eastAsia="zh-CN"/>
                <w14:textFill>
                  <w14:solidFill>
                    <w14:schemeClr w14:val="tx1"/>
                  </w14:solidFill>
                </w14:textFill>
              </w:rPr>
              <w:t>的相关要求进行判定本项目可行技术，详见下表。</w:t>
            </w:r>
          </w:p>
          <w:p w14:paraId="1BBEF9A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14 </w:t>
            </w:r>
            <w:r>
              <w:rPr>
                <w:rFonts w:hint="default" w:ascii="Times New Roman" w:hAnsi="Times New Roman" w:eastAsia="宋体" w:cs="Times New Roman"/>
                <w:b/>
                <w:color w:val="000000" w:themeColor="text1"/>
                <w:sz w:val="21"/>
                <w:szCs w:val="21"/>
                <w:lang w:eastAsia="zh-CN"/>
                <w14:textFill>
                  <w14:solidFill>
                    <w14:schemeClr w14:val="tx1"/>
                  </w14:solidFill>
                </w14:textFill>
              </w:rPr>
              <w:t>排污许可中</w:t>
            </w:r>
            <w:r>
              <w:rPr>
                <w:rFonts w:hint="default" w:ascii="Times New Roman" w:hAnsi="Times New Roman" w:eastAsia="宋体" w:cs="Times New Roman"/>
                <w:b/>
                <w:color w:val="000000" w:themeColor="text1"/>
                <w:sz w:val="21"/>
                <w:szCs w:val="21"/>
                <w14:textFill>
                  <w14:solidFill>
                    <w14:schemeClr w14:val="tx1"/>
                  </w14:solidFill>
                </w14:textFill>
              </w:rPr>
              <w:t>废气</w:t>
            </w:r>
            <w:r>
              <w:rPr>
                <w:rFonts w:hint="default" w:ascii="Times New Roman" w:hAnsi="Times New Roman" w:eastAsia="宋体" w:cs="Times New Roman"/>
                <w:b/>
                <w:color w:val="000000" w:themeColor="text1"/>
                <w:sz w:val="21"/>
                <w:szCs w:val="21"/>
                <w:lang w:eastAsia="zh-CN"/>
                <w14:textFill>
                  <w14:solidFill>
                    <w14:schemeClr w14:val="tx1"/>
                  </w14:solidFill>
                </w14:textFill>
              </w:rPr>
              <w:t>治理可行技术参考表</w:t>
            </w:r>
          </w:p>
          <w:tbl>
            <w:tblPr>
              <w:tblStyle w:val="32"/>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50"/>
              <w:gridCol w:w="1628"/>
              <w:gridCol w:w="1875"/>
              <w:gridCol w:w="1630"/>
              <w:gridCol w:w="1882"/>
            </w:tblGrid>
            <w:tr w14:paraId="1D72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tblHeader/>
                <w:jc w:val="center"/>
              </w:trPr>
              <w:tc>
                <w:tcPr>
                  <w:tcW w:w="1050" w:type="dxa"/>
                  <w:tcBorders>
                    <w:tl2br w:val="nil"/>
                    <w:tr2bl w:val="nil"/>
                  </w:tcBorders>
                  <w:shd w:val="clear" w:color="auto" w:fill="auto"/>
                  <w:vAlign w:val="center"/>
                </w:tcPr>
                <w:p w14:paraId="365F087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工艺环节</w:t>
                  </w:r>
                </w:p>
              </w:tc>
              <w:tc>
                <w:tcPr>
                  <w:tcW w:w="1628" w:type="dxa"/>
                  <w:tcBorders>
                    <w:tl2br w:val="nil"/>
                    <w:tr2bl w:val="nil"/>
                  </w:tcBorders>
                  <w:shd w:val="clear" w:color="auto" w:fill="auto"/>
                  <w:vAlign w:val="center"/>
                </w:tcPr>
                <w:p w14:paraId="11E8D526">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主要污染物</w:t>
                  </w:r>
                </w:p>
              </w:tc>
              <w:tc>
                <w:tcPr>
                  <w:tcW w:w="1875" w:type="dxa"/>
                  <w:tcBorders>
                    <w:tl2br w:val="nil"/>
                    <w:tr2bl w:val="nil"/>
                  </w:tcBorders>
                  <w:shd w:val="clear" w:color="auto" w:fill="auto"/>
                  <w:vAlign w:val="center"/>
                </w:tcPr>
                <w:p w14:paraId="579366A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可行技术</w:t>
                  </w:r>
                </w:p>
              </w:tc>
              <w:tc>
                <w:tcPr>
                  <w:tcW w:w="1630" w:type="dxa"/>
                  <w:tcBorders>
                    <w:tl2br w:val="nil"/>
                    <w:tr2bl w:val="nil"/>
                  </w:tcBorders>
                  <w:shd w:val="clear" w:color="auto" w:fill="auto"/>
                  <w:vAlign w:val="center"/>
                </w:tcPr>
                <w:p w14:paraId="52F844A8">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本项目处理工艺</w:t>
                  </w:r>
                </w:p>
              </w:tc>
              <w:tc>
                <w:tcPr>
                  <w:tcW w:w="1882" w:type="dxa"/>
                  <w:tcBorders>
                    <w:tl2br w:val="nil"/>
                    <w:tr2bl w:val="nil"/>
                  </w:tcBorders>
                  <w:shd w:val="clear" w:color="auto" w:fill="auto"/>
                  <w:vAlign w:val="center"/>
                </w:tcPr>
                <w:p w14:paraId="5F7043F0">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对比说明</w:t>
                  </w:r>
                </w:p>
              </w:tc>
            </w:tr>
            <w:tr w14:paraId="776C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jc w:val="center"/>
              </w:trPr>
              <w:tc>
                <w:tcPr>
                  <w:tcW w:w="1050" w:type="dxa"/>
                  <w:tcBorders>
                    <w:tl2br w:val="nil"/>
                    <w:tr2bl w:val="nil"/>
                  </w:tcBorders>
                  <w:shd w:val="clear" w:color="auto" w:fill="auto"/>
                  <w:vAlign w:val="center"/>
                </w:tcPr>
                <w:p w14:paraId="34392E18">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印前加工、印刷和复合涂布等其他生产单元</w:t>
                  </w:r>
                </w:p>
              </w:tc>
              <w:tc>
                <w:tcPr>
                  <w:tcW w:w="1628" w:type="dxa"/>
                  <w:tcBorders>
                    <w:tl2br w:val="nil"/>
                    <w:tr2bl w:val="nil"/>
                  </w:tcBorders>
                  <w:shd w:val="clear" w:color="auto" w:fill="auto"/>
                  <w:vAlign w:val="center"/>
                </w:tcPr>
                <w:p w14:paraId="39D9A34E">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挥发性有机物浓度&lt;1000mg/m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p>
              </w:tc>
              <w:tc>
                <w:tcPr>
                  <w:tcW w:w="1875" w:type="dxa"/>
                  <w:tcBorders>
                    <w:tl2br w:val="nil"/>
                    <w:tr2bl w:val="nil"/>
                  </w:tcBorders>
                  <w:shd w:val="clear" w:color="auto" w:fill="auto"/>
                  <w:vAlign w:val="center"/>
                </w:tcPr>
                <w:p w14:paraId="43248A47">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活性炭吸附（现场再生）、浓缩+热力（催化）氧化、直接热力（催化）氧化、其他</w:t>
                  </w:r>
                </w:p>
              </w:tc>
              <w:tc>
                <w:tcPr>
                  <w:tcW w:w="1630" w:type="dxa"/>
                  <w:tcBorders>
                    <w:tl2br w:val="nil"/>
                    <w:tr2bl w:val="nil"/>
                  </w:tcBorders>
                  <w:shd w:val="clear" w:color="auto" w:fill="auto"/>
                  <w:vAlign w:val="center"/>
                </w:tcPr>
                <w:p w14:paraId="2CE8B733">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本项目废气经收集后进入</w:t>
                  </w:r>
                  <w:r>
                    <w:rPr>
                      <w:rFonts w:hint="default" w:ascii="Times New Roman" w:hAnsi="Times New Roman" w:eastAsia="宋体" w:cs="Times New Roman"/>
                      <w:color w:val="000000" w:themeColor="text1"/>
                      <w:lang w:val="en-US" w:eastAsia="zh-CN"/>
                      <w14:textFill>
                        <w14:solidFill>
                          <w14:schemeClr w14:val="tx1"/>
                        </w14:solidFill>
                      </w14:textFill>
                    </w:rPr>
                    <w:t>RTO蓄热燃烧装置处理</w:t>
                  </w:r>
                </w:p>
              </w:tc>
              <w:tc>
                <w:tcPr>
                  <w:tcW w:w="1882" w:type="dxa"/>
                  <w:tcBorders>
                    <w:tl2br w:val="nil"/>
                    <w:tr2bl w:val="nil"/>
                  </w:tcBorders>
                  <w:shd w:val="clear" w:color="auto" w:fill="auto"/>
                  <w:vAlign w:val="center"/>
                </w:tcPr>
                <w:p w14:paraId="22D3A9E4">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属于推荐可行技术中的</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直接热力氧化</w:t>
                  </w:r>
                  <w:r>
                    <w:rPr>
                      <w:rFonts w:hint="eastAsia" w:cs="Times New Roman"/>
                      <w:color w:val="000000" w:themeColor="text1"/>
                      <w:lang w:val="en-US" w:eastAsia="zh-CN"/>
                      <w14:textFill>
                        <w14:solidFill>
                          <w14:schemeClr w14:val="tx1"/>
                        </w14:solidFill>
                      </w14:textFill>
                    </w:rPr>
                    <w:t>”</w:t>
                  </w:r>
                </w:p>
              </w:tc>
            </w:tr>
          </w:tbl>
          <w:p w14:paraId="5EB0312E">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根据上表，本项目废气治理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属于</w:t>
            </w:r>
            <w:r>
              <w:rPr>
                <w:rFonts w:hint="default" w:ascii="Times New Roman" w:hAnsi="Times New Roman" w:eastAsia="宋体" w:cs="Times New Roman"/>
                <w:b w:val="0"/>
                <w:bCs w:val="0"/>
                <w:color w:val="000000" w:themeColor="text1"/>
                <w:lang w:eastAsia="zh-CN"/>
                <w14:textFill>
                  <w14:solidFill>
                    <w14:schemeClr w14:val="tx1"/>
                  </w14:solidFill>
                </w14:textFill>
              </w:rPr>
              <w:t>《排污许可证申请与核发技术规范</w:t>
            </w:r>
            <w:r>
              <w:rPr>
                <w:rFonts w:hint="default" w:ascii="Times New Roman" w:hAnsi="Times New Roman" w:eastAsia="宋体" w:cs="Times New Roman"/>
                <w:b w:val="0"/>
                <w:bCs w:val="0"/>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lang w:eastAsia="zh-CN"/>
                <w14:textFill>
                  <w14:solidFill>
                    <w14:schemeClr w14:val="tx1"/>
                  </w14:solidFill>
                </w14:textFill>
              </w:rPr>
              <w:t>印刷工业》（HJ 1</w:t>
            </w:r>
            <w:r>
              <w:rPr>
                <w:rFonts w:hint="default" w:ascii="Times New Roman" w:hAnsi="Times New Roman" w:eastAsia="宋体" w:cs="Times New Roman"/>
                <w:b w:val="0"/>
                <w:bCs w:val="0"/>
                <w:color w:val="000000" w:themeColor="text1"/>
                <w:lang w:val="en-US" w:eastAsia="zh-CN"/>
                <w14:textFill>
                  <w14:solidFill>
                    <w14:schemeClr w14:val="tx1"/>
                  </w14:solidFill>
                </w14:textFill>
              </w:rPr>
              <w:t>066</w:t>
            </w:r>
            <w:r>
              <w:rPr>
                <w:rFonts w:hint="default" w:ascii="Times New Roman" w:hAnsi="Times New Roman" w:eastAsia="宋体" w:cs="Times New Roman"/>
                <w:b w:val="0"/>
                <w:bCs w:val="0"/>
                <w:color w:val="000000" w:themeColor="text1"/>
                <w:lang w:eastAsia="zh-CN"/>
                <w14:textFill>
                  <w14:solidFill>
                    <w14:schemeClr w14:val="tx1"/>
                  </w14:solidFill>
                </w14:textFill>
              </w:rPr>
              <w:t>—20</w:t>
            </w:r>
            <w:r>
              <w:rPr>
                <w:rFonts w:hint="default" w:ascii="Times New Roman" w:hAnsi="Times New Roman" w:eastAsia="宋体" w:cs="Times New Roman"/>
                <w:b w:val="0"/>
                <w:bCs w:val="0"/>
                <w:color w:val="000000" w:themeColor="text1"/>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eastAsia="zh-CN"/>
                <w14:textFill>
                  <w14:solidFill>
                    <w14:schemeClr w14:val="tx1"/>
                  </w14:solidFill>
                </w14:textFill>
              </w:rPr>
              <w:t>表</w:t>
            </w:r>
            <w:r>
              <w:rPr>
                <w:rFonts w:hint="default" w:ascii="Times New Roman" w:hAnsi="Times New Roman" w:eastAsia="宋体" w:cs="Times New Roman"/>
                <w:b w:val="0"/>
                <w:bCs w:val="0"/>
                <w:color w:val="000000" w:themeColor="text1"/>
                <w:lang w:val="en-US" w:eastAsia="zh-CN"/>
                <w14:textFill>
                  <w14:solidFill>
                    <w14:schemeClr w14:val="tx1"/>
                  </w14:solidFill>
                </w14:textFill>
              </w:rPr>
              <w:t>A.1废气治理可行技术参考表</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eastAsia="zh-CN"/>
                <w14:textFill>
                  <w14:solidFill>
                    <w14:schemeClr w14:val="tx1"/>
                  </w14:solidFill>
                </w14:textFill>
              </w:rPr>
              <w:t>中可行技术。</w:t>
            </w:r>
          </w:p>
          <w:p w14:paraId="6F64C1DD">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同时参考</w:t>
            </w:r>
            <w:r>
              <w:rPr>
                <w:rFonts w:hint="default" w:ascii="Times New Roman" w:hAnsi="Times New Roman" w:eastAsia="宋体" w:cs="Times New Roman"/>
                <w:b w:val="0"/>
                <w:bCs w:val="0"/>
                <w:color w:val="000000" w:themeColor="text1"/>
                <w:lang w:val="en-US" w:eastAsia="zh-CN"/>
                <w14:textFill>
                  <w14:solidFill>
                    <w14:schemeClr w14:val="tx1"/>
                  </w14:solidFill>
                </w14:textFill>
              </w:rPr>
              <w:t>《印刷工业污染防治可行技术指南》（</w:t>
            </w:r>
            <w:r>
              <w:rPr>
                <w:rFonts w:hint="default" w:ascii="Times New Roman" w:hAnsi="Times New Roman" w:eastAsia="宋体" w:cs="Times New Roman"/>
                <w:b w:val="0"/>
                <w:bCs w:val="0"/>
                <w:color w:val="000000" w:themeColor="text1"/>
                <w:lang w:eastAsia="zh-CN"/>
                <w14:textFill>
                  <w14:solidFill>
                    <w14:schemeClr w14:val="tx1"/>
                  </w14:solidFill>
                </w14:textFill>
              </w:rPr>
              <w:t>HJ1089—2020</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属于</w:t>
            </w:r>
            <w:r>
              <w:rPr>
                <w:rFonts w:hint="default" w:ascii="Times New Roman" w:hAnsi="Times New Roman" w:eastAsia="宋体" w:cs="Times New Roman"/>
                <w:b w:val="0"/>
                <w:bCs w:val="0"/>
                <w:color w:val="000000" w:themeColor="text1"/>
                <w:lang w:val="en-US" w:eastAsia="zh-CN"/>
                <w14:textFill>
                  <w14:solidFill>
                    <w14:schemeClr w14:val="tx1"/>
                  </w14:solidFill>
                </w14:textFill>
              </w:rPr>
              <w:t>《印刷工业污染防治可行技术指南》（</w:t>
            </w:r>
            <w:r>
              <w:rPr>
                <w:rFonts w:hint="default" w:ascii="Times New Roman" w:hAnsi="Times New Roman" w:eastAsia="宋体" w:cs="Times New Roman"/>
                <w:b w:val="0"/>
                <w:bCs w:val="0"/>
                <w:color w:val="000000" w:themeColor="text1"/>
                <w:lang w:eastAsia="zh-CN"/>
                <w14:textFill>
                  <w14:solidFill>
                    <w14:schemeClr w14:val="tx1"/>
                  </w14:solidFill>
                </w14:textFill>
              </w:rPr>
              <w:t>HJ1089—2020</w:t>
            </w:r>
            <w:r>
              <w:rPr>
                <w:rFonts w:hint="default" w:ascii="Times New Roman" w:hAnsi="Times New Roman" w:eastAsia="宋体" w:cs="Times New Roman"/>
                <w:b w:val="0"/>
                <w:bCs w:val="0"/>
                <w:color w:val="000000" w:themeColor="text1"/>
                <w:lang w:val="en-US" w:eastAsia="zh-CN"/>
                <w14:textFill>
                  <w14:solidFill>
                    <w14:schemeClr w14:val="tx1"/>
                  </w14:solidFill>
                </w14:textFill>
              </w:rPr>
              <w:t>）中</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6.1</w:t>
            </w:r>
            <w:r>
              <w:rPr>
                <w:rFonts w:hint="default" w:ascii="Times New Roman" w:hAnsi="Times New Roman" w:eastAsia="宋体" w:cs="Times New Roman"/>
                <w:b w:val="0"/>
                <w:bCs w:val="0"/>
                <w:color w:val="000000" w:themeColor="text1"/>
                <w:lang w:val="en-US" w:eastAsia="zh-CN"/>
                <w14:textFill>
                  <w14:solidFill>
                    <w14:schemeClr w14:val="tx1"/>
                  </w14:solidFill>
                </w14:textFill>
              </w:rPr>
              <w:t>大气污染治理技术，</w:t>
            </w:r>
            <w:r>
              <w:rPr>
                <w:rFonts w:hint="default" w:ascii="Times New Roman" w:hAnsi="Times New Roman" w:eastAsia="宋体" w:cs="Times New Roman"/>
                <w:b/>
                <w:bCs/>
                <w:color w:val="000000" w:themeColor="text1"/>
                <w:lang w:val="en-US" w:eastAsia="zh-CN"/>
                <w14:textFill>
                  <w14:solidFill>
                    <w14:schemeClr w14:val="tx1"/>
                  </w14:solidFill>
                </w14:textFill>
              </w:rPr>
              <w:t>6.1.3.2</w:t>
            </w:r>
            <w:r>
              <w:rPr>
                <w:rFonts w:hint="default" w:ascii="Times New Roman" w:hAnsi="Times New Roman" w:eastAsia="宋体" w:cs="Times New Roman"/>
                <w:b w:val="0"/>
                <w:bCs w:val="0"/>
                <w:color w:val="000000" w:themeColor="text1"/>
                <w:lang w:val="en-US" w:eastAsia="zh-CN"/>
                <w14:textFill>
                  <w14:solidFill>
                    <w14:schemeClr w14:val="tx1"/>
                  </w14:solidFill>
                </w14:textFill>
              </w:rPr>
              <w:t>蓄热燃烧技术</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中推荐治理技术。</w:t>
            </w:r>
          </w:p>
          <w:p w14:paraId="6979F042">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参考</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《塑料包装印刷挥发性有机物治理实用手册》（生态环境部</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2020年7月2日发布</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pacing w:val="-4"/>
                <w:sz w:val="24"/>
                <w:szCs w:val="24"/>
                <w:lang w:eastAsia="zh-CN"/>
                <w14:textFill>
                  <w14:solidFill>
                    <w14:schemeClr w14:val="tx1"/>
                  </w14:solidFill>
                </w14:textFill>
              </w:rPr>
              <w:t>第</w:t>
            </w:r>
            <w:r>
              <w:rPr>
                <w:rFonts w:hint="default" w:ascii="Times New Roman" w:hAnsi="Times New Roman" w:eastAsia="宋体" w:cs="Times New Roman"/>
                <w:b/>
                <w:bCs/>
                <w:color w:val="000000" w:themeColor="text1"/>
                <w:spacing w:val="-4"/>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4"/>
                <w:sz w:val="24"/>
                <w:szCs w:val="24"/>
                <w:lang w:eastAsia="zh-CN"/>
                <w14:textFill>
                  <w14:solidFill>
                    <w14:schemeClr w14:val="tx1"/>
                  </w14:solidFill>
                </w14:textFill>
              </w:rPr>
              <w:t>部分，三、末端治理，</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溶剂型凹版印刷烘干废气宜采用</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吸附+冷凝</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或</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燃烧</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的治理工艺进行处理。干式复合烘干废气宜采用</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吸附+冷凝</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或</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燃烧</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的治理工艺进行处理。</w:t>
            </w:r>
            <w:r>
              <w:rPr>
                <w:rFonts w:hint="eastAsia"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本项目采用</w:t>
            </w:r>
            <w:r>
              <w:rPr>
                <w:rFonts w:hint="default" w:ascii="Times New Roman" w:hAnsi="Times New Roman" w:eastAsia="宋体" w:cs="Times New Roman"/>
                <w:color w:val="000000" w:themeColor="text1"/>
                <w:lang w:val="en-US" w:eastAsia="zh-CN"/>
                <w14:textFill>
                  <w14:solidFill>
                    <w14:schemeClr w14:val="tx1"/>
                  </w14:solidFill>
                </w14:textFill>
              </w:rPr>
              <w:t>RTO蓄热燃烧装置属于</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符合</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《塑料包装印刷挥发性有机物治理实用手册》（生态环境部</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2020年7月2日发布</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要求。</w:t>
            </w:r>
          </w:p>
          <w:p w14:paraId="6C547DEB">
            <w:pPr>
              <w:keepNext w:val="0"/>
              <w:keepLines w:val="0"/>
              <w:pageBreakBefore w:val="0"/>
              <w:widowControl w:val="0"/>
              <w:kinsoku/>
              <w:wordWrap w:val="0"/>
              <w:overflowPunct/>
              <w:topLinePunct/>
              <w:autoSpaceDE/>
              <w:autoSpaceDN/>
              <w:bidi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2）RTO蓄热燃烧</w:t>
            </w:r>
            <w:r>
              <w:rPr>
                <w:rFonts w:hint="default" w:ascii="Times New Roman" w:hAnsi="Times New Roman" w:eastAsia="宋体" w:cs="Times New Roman"/>
                <w:b/>
                <w:bCs/>
                <w:color w:val="000000" w:themeColor="text1"/>
                <w:sz w:val="24"/>
                <w14:textFill>
                  <w14:solidFill>
                    <w14:schemeClr w14:val="tx1"/>
                  </w14:solidFill>
                </w14:textFill>
              </w:rPr>
              <w:t>处理装置原理</w:t>
            </w:r>
          </w:p>
          <w:p w14:paraId="5EC72DB3">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RTO焚烧炉主要由陶瓷蓄热床、燃烧室和燃烧器及电气控制系统等组成。</w:t>
            </w:r>
          </w:p>
          <w:p w14:paraId="63246E1D">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eastAsia" w:ascii="Times New Roman" w:hAnsi="Times New Roman" w:eastAsia="宋体" w:cs="Times New Roman"/>
                <w:color w:val="000000" w:themeColor="text1"/>
                <w:sz w:val="24"/>
                <w:lang w:val="en-US" w:eastAsia="zh-CN" w:bidi="ar"/>
                <w14:textFill>
                  <w14:solidFill>
                    <w14:schemeClr w14:val="tx1"/>
                  </w14:solidFill>
                </w14:textFill>
              </w:rPr>
              <w:t>根据建设单位提供的设计文件，本项目有组织有机废气采用RTO处理工艺，因有机物浓度不满足运行浓度，需持续添加天然气。</w:t>
            </w:r>
          </w:p>
          <w:p w14:paraId="1F5DB3F2">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将进气区蓄热陶瓷预热至760℃以上，通入有机废气，有机废气在燃烧室被预热至其自燃温度（约760℃）以上，在燃烧室内发生氧化反应，生成CO</w:t>
            </w:r>
            <w:r>
              <w:rPr>
                <w:rFonts w:hint="default" w:ascii="Times New Roman" w:hAnsi="Times New Roman" w:eastAsia="宋体" w:cs="Times New Roman"/>
                <w:color w:val="000000" w:themeColor="text1"/>
                <w:sz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lang w:val="en-US" w:eastAsia="zh-CN" w:bidi="ar"/>
                <w14:textFill>
                  <w14:solidFill>
                    <w14:schemeClr w14:val="tx1"/>
                  </w14:solidFill>
                </w14:textFill>
              </w:rPr>
              <w:t>和H</w:t>
            </w:r>
            <w:r>
              <w:rPr>
                <w:rFonts w:hint="default" w:ascii="Times New Roman" w:hAnsi="Times New Roman" w:eastAsia="宋体" w:cs="Times New Roman"/>
                <w:color w:val="000000" w:themeColor="text1"/>
                <w:sz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lang w:val="en-US" w:eastAsia="zh-CN" w:bidi="ar"/>
                <w14:textFill>
                  <w14:solidFill>
                    <w14:schemeClr w14:val="tx1"/>
                  </w14:solidFill>
                </w14:textFill>
              </w:rPr>
              <w:t>0，再经过出气区陶瓷蓄热床由自动切换阀排出。高温废气通过出气区蓄热床时，热量积蓄在蓄热体内，在下个周期预热新进的有机废气，从而节省升温所需要的的燃料消耗，降低运行成本。</w:t>
            </w:r>
          </w:p>
          <w:p w14:paraId="2928AEB8">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本项目RTO设备为三厢式结构设计，具有去除效率高、运行稳定、能耗低等特点。含挥发性有机化合物（VOCs）的废气通过阀门的切换，进入RTO的蓄热床，废气被蓄热陶瓷逐渐加热后进入燃烧室，VOCs在燃烧室内高温氧化并放出热量，形成的热风在通过另一蓄热床时，与蓄积陶瓷进行热交换，蓄积热量，以减少辅助燃料的消耗。蓄热陶瓷被热风加热的同时，被氧化的干净气体温度逐渐降低，使得出口温度略高于RTO入口温度。</w:t>
            </w:r>
          </w:p>
          <w:p w14:paraId="12B29AD0">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通过不同蓄热床层底部气动阀门的切换，改变尾气进入蓄热陶瓷的方向，实现蓄热区与放热区的交替转换。当系统VOCs浓度足够高，所放出的热能足够多时，RTO即不需燃料便能够维持VOCs的氧化分解条件，同时可对外输出系统余热。</w:t>
            </w:r>
          </w:p>
          <w:p w14:paraId="01805FE9">
            <w:pPr>
              <w:pageBreakBefore w:val="0"/>
              <w:kinsoku/>
              <w:overflowPunct/>
              <w:topLinePunct w:val="0"/>
              <w:bidi w:val="0"/>
              <w:adjustRightInd w:val="0"/>
              <w:snapToGrid w:val="0"/>
              <w:spacing w:line="360" w:lineRule="auto"/>
              <w:ind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4184015" cy="1908810"/>
                  <wp:effectExtent l="0" t="0" r="6985" b="1524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6"/>
                          <a:stretch>
                            <a:fillRect/>
                          </a:stretch>
                        </pic:blipFill>
                        <pic:spPr>
                          <a:xfrm>
                            <a:off x="0" y="0"/>
                            <a:ext cx="4184015" cy="1908810"/>
                          </a:xfrm>
                          <a:prstGeom prst="rect">
                            <a:avLst/>
                          </a:prstGeom>
                          <a:noFill/>
                          <a:ln>
                            <a:noFill/>
                          </a:ln>
                        </pic:spPr>
                      </pic:pic>
                    </a:graphicData>
                  </a:graphic>
                </wp:inline>
              </w:drawing>
            </w:r>
          </w:p>
          <w:p w14:paraId="685DF2BF">
            <w:pPr>
              <w:pStyle w:val="2"/>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图</w:t>
            </w:r>
            <w:r>
              <w:rPr>
                <w:rFonts w:hint="default" w:ascii="Times New Roman" w:hAnsi="Times New Roman" w:eastAsia="宋体" w:cs="Times New Roman"/>
                <w:b/>
                <w:bCs/>
                <w:color w:val="000000" w:themeColor="text1"/>
                <w:lang w:val="en-US" w:eastAsia="zh-CN"/>
                <w14:textFill>
                  <w14:solidFill>
                    <w14:schemeClr w14:val="tx1"/>
                  </w14:solidFill>
                </w14:textFill>
              </w:rPr>
              <w:t>4-1  RTO装置工艺流程图</w:t>
            </w:r>
          </w:p>
          <w:p w14:paraId="401C73E9">
            <w:pPr>
              <w:keepNext w:val="0"/>
              <w:keepLines w:val="0"/>
              <w:pageBreakBefore w:val="0"/>
              <w:widowControl w:val="0"/>
              <w:kinsoku/>
              <w:wordWrap w:val="0"/>
              <w:overflowPunct/>
              <w:topLinePunct/>
              <w:autoSpaceDE/>
              <w:autoSpaceDN/>
              <w:bidi w:val="0"/>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lang w:eastAsia="zh-CN"/>
                <w14:textFill>
                  <w14:solidFill>
                    <w14:schemeClr w14:val="tx1"/>
                  </w14:solidFill>
                </w14:textFill>
              </w:rPr>
              <w:t>）</w:t>
            </w:r>
            <w:r>
              <w:rPr>
                <w:rFonts w:hint="default" w:ascii="Times New Roman" w:hAnsi="Times New Roman" w:eastAsia="宋体" w:cs="Times New Roman"/>
                <w:b/>
                <w:color w:val="000000" w:themeColor="text1"/>
                <w:sz w:val="24"/>
                <w14:textFill>
                  <w14:solidFill>
                    <w14:schemeClr w14:val="tx1"/>
                  </w14:solidFill>
                </w14:textFill>
              </w:rPr>
              <w:t>无组织排放废气防治措施</w:t>
            </w:r>
          </w:p>
          <w:p w14:paraId="39D886DB">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为了进一步减少废气对生产车间环境空气的影响和保障工人健康，建议建设单位采取下列措施：</w:t>
            </w:r>
          </w:p>
          <w:p w14:paraId="204A6100">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①加强生产车间内通风，并设置较强的排风系统；</w:t>
            </w:r>
          </w:p>
          <w:p w14:paraId="423C7F5E">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②提高集气罩废气收集效率，加强集气罩的风量控制，确保生产过程产生的废气能够有效收集；</w:t>
            </w:r>
          </w:p>
          <w:p w14:paraId="72D6B0F5">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③加强设备维护，防止不良工况下的废气产生；</w:t>
            </w:r>
          </w:p>
          <w:p w14:paraId="34A5A6C7">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④建议生产车间操作人员操作时佩戴口罩；</w:t>
            </w:r>
          </w:p>
          <w:p w14:paraId="1799051F">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⑤加强操作工的培训和管理，所有操作严格按照既定的规程进行，以减少人为造成的对环境的污染。</w:t>
            </w:r>
          </w:p>
          <w:p w14:paraId="44964AC4">
            <w:pPr>
              <w:keepNext w:val="0"/>
              <w:keepLines w:val="0"/>
              <w:pageBreakBefore w:val="0"/>
              <w:widowControl w:val="0"/>
              <w:tabs>
                <w:tab w:val="left" w:pos="4830"/>
              </w:tabs>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）自行监测一览表</w:t>
            </w:r>
          </w:p>
          <w:p w14:paraId="6C540767">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w:t>
            </w:r>
            <w:r>
              <w:rPr>
                <w:rFonts w:hint="default" w:ascii="Times New Roman" w:hAnsi="Times New Roman" w:eastAsia="宋体" w:cs="Times New Roman"/>
                <w:color w:val="000000" w:themeColor="text1"/>
                <w:sz w:val="24"/>
                <w:lang w:eastAsia="zh-CN"/>
                <w14:textFill>
                  <w14:solidFill>
                    <w14:schemeClr w14:val="tx1"/>
                  </w14:solidFill>
                </w14:textFill>
              </w:rPr>
              <w:t>《排污许可证申请与核发技术规范</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eastAsia="zh-CN"/>
                <w14:textFill>
                  <w14:solidFill>
                    <w14:schemeClr w14:val="tx1"/>
                  </w14:solidFill>
                </w14:textFill>
              </w:rPr>
              <w:t>印刷工业》（HJ 1</w:t>
            </w:r>
            <w:r>
              <w:rPr>
                <w:rFonts w:hint="default" w:ascii="Times New Roman" w:hAnsi="Times New Roman" w:eastAsia="宋体" w:cs="Times New Roman"/>
                <w:color w:val="000000" w:themeColor="text1"/>
                <w:sz w:val="24"/>
                <w:lang w:val="en-US" w:eastAsia="zh-CN"/>
                <w14:textFill>
                  <w14:solidFill>
                    <w14:schemeClr w14:val="tx1"/>
                  </w14:solidFill>
                </w14:textFill>
              </w:rPr>
              <w:t>066</w:t>
            </w:r>
            <w:r>
              <w:rPr>
                <w:rFonts w:hint="default" w:ascii="Times New Roman" w:hAnsi="Times New Roman" w:eastAsia="宋体" w:cs="Times New Roman"/>
                <w:color w:val="000000" w:themeColor="text1"/>
                <w:sz w:val="24"/>
                <w:lang w:eastAsia="zh-CN"/>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19</w:t>
            </w:r>
            <w:r>
              <w:rPr>
                <w:rFonts w:hint="default" w:ascii="Times New Roman" w:hAnsi="Times New Roman" w:eastAsia="宋体" w:cs="Times New Roman"/>
                <w:color w:val="000000" w:themeColor="text1"/>
                <w:sz w:val="24"/>
                <w:lang w:eastAsia="zh-CN"/>
                <w14:textFill>
                  <w14:solidFill>
                    <w14:schemeClr w14:val="tx1"/>
                  </w14:solidFill>
                </w14:textFill>
              </w:rPr>
              <w:t>）以及《排污单位自行监测技术指南</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eastAsia="zh-CN"/>
                <w14:textFill>
                  <w14:solidFill>
                    <w14:schemeClr w14:val="tx1"/>
                  </w14:solidFill>
                </w14:textFill>
              </w:rPr>
              <w:t>印刷工业》（HJ</w:t>
            </w:r>
            <w:r>
              <w:rPr>
                <w:rFonts w:hint="default" w:ascii="Times New Roman" w:hAnsi="Times New Roman" w:eastAsia="宋体" w:cs="Times New Roman"/>
                <w:color w:val="000000" w:themeColor="text1"/>
                <w:sz w:val="24"/>
                <w:lang w:val="en-US" w:eastAsia="zh-CN"/>
                <w14:textFill>
                  <w14:solidFill>
                    <w14:schemeClr w14:val="tx1"/>
                  </w14:solidFill>
                </w14:textFill>
              </w:rPr>
              <w:t>1246</w:t>
            </w:r>
            <w:r>
              <w:rPr>
                <w:rFonts w:hint="default" w:ascii="Times New Roman" w:hAnsi="Times New Roman" w:eastAsia="宋体" w:cs="Times New Roman"/>
                <w:color w:val="000000" w:themeColor="text1"/>
                <w:sz w:val="24"/>
                <w:lang w:eastAsia="zh-CN"/>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lang w:eastAsia="zh-CN"/>
                <w14:textFill>
                  <w14:solidFill>
                    <w14:schemeClr w14:val="tx1"/>
                  </w14:solidFill>
                </w14:textFill>
              </w:rPr>
              <w:t>）中</w:t>
            </w:r>
            <w:r>
              <w:rPr>
                <w:rFonts w:hint="default" w:ascii="Times New Roman" w:hAnsi="Times New Roman" w:eastAsia="宋体" w:cs="Times New Roman"/>
                <w:color w:val="000000" w:themeColor="text1"/>
                <w:sz w:val="24"/>
                <w14:textFill>
                  <w14:solidFill>
                    <w14:schemeClr w14:val="tx1"/>
                  </w14:solidFill>
                </w14:textFill>
              </w:rPr>
              <w:t>的相关要求，本项目废气自行监测点位、指标及频具体详见下表。</w:t>
            </w:r>
          </w:p>
          <w:p w14:paraId="004BBFB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color w:val="000000" w:themeColor="text1"/>
                <w:sz w:val="21"/>
                <w:szCs w:val="21"/>
                <w14:textFill>
                  <w14:solidFill>
                    <w14:schemeClr w14:val="tx1"/>
                  </w14:solidFill>
                </w14:textFill>
              </w:rPr>
              <w:t xml:space="preserve">  项目废气自行监测一览表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160"/>
              <w:gridCol w:w="2249"/>
              <w:gridCol w:w="2431"/>
              <w:gridCol w:w="1067"/>
            </w:tblGrid>
            <w:tr w14:paraId="30A7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pct"/>
                  <w:vAlign w:val="center"/>
                </w:tcPr>
                <w:p w14:paraId="1F2EFC56">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排放源</w:t>
                  </w:r>
                </w:p>
              </w:tc>
              <w:tc>
                <w:tcPr>
                  <w:tcW w:w="719" w:type="pct"/>
                  <w:vAlign w:val="center"/>
                </w:tcPr>
                <w:p w14:paraId="6925DF0D">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排放方式</w:t>
                  </w:r>
                </w:p>
              </w:tc>
              <w:tc>
                <w:tcPr>
                  <w:tcW w:w="1394" w:type="pct"/>
                  <w:vAlign w:val="center"/>
                </w:tcPr>
                <w:p w14:paraId="31F25CDE">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监测点位</w:t>
                  </w:r>
                </w:p>
              </w:tc>
              <w:tc>
                <w:tcPr>
                  <w:tcW w:w="1507" w:type="pct"/>
                  <w:vAlign w:val="center"/>
                </w:tcPr>
                <w:p w14:paraId="27318190">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监测项目</w:t>
                  </w:r>
                </w:p>
              </w:tc>
              <w:tc>
                <w:tcPr>
                  <w:tcW w:w="661" w:type="pct"/>
                  <w:vAlign w:val="center"/>
                </w:tcPr>
                <w:p w14:paraId="64D18795">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监测频次</w:t>
                  </w:r>
                </w:p>
              </w:tc>
            </w:tr>
            <w:tr w14:paraId="3180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pct"/>
                  <w:vAlign w:val="center"/>
                </w:tcPr>
                <w:p w14:paraId="14E2272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废气排口</w:t>
                  </w:r>
                </w:p>
              </w:tc>
              <w:tc>
                <w:tcPr>
                  <w:tcW w:w="719" w:type="pct"/>
                  <w:vAlign w:val="center"/>
                </w:tcPr>
                <w:p w14:paraId="11D47380">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有组织</w:t>
                  </w:r>
                </w:p>
              </w:tc>
              <w:tc>
                <w:tcPr>
                  <w:tcW w:w="1394" w:type="pct"/>
                  <w:vAlign w:val="center"/>
                </w:tcPr>
                <w:p w14:paraId="4730003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DA001</w:t>
                  </w:r>
                  <w:r>
                    <w:rPr>
                      <w:rFonts w:hint="default" w:ascii="Times New Roman" w:hAnsi="Times New Roman" w:eastAsia="宋体" w:cs="Times New Roman"/>
                      <w:color w:val="000000" w:themeColor="text1"/>
                      <w:lang w:eastAsia="zh-CN"/>
                      <w14:textFill>
                        <w14:solidFill>
                          <w14:schemeClr w14:val="tx1"/>
                        </w14:solidFill>
                      </w14:textFill>
                    </w:rPr>
                    <w:t>废气排放口</w:t>
                  </w:r>
                </w:p>
              </w:tc>
              <w:tc>
                <w:tcPr>
                  <w:tcW w:w="1507" w:type="pct"/>
                  <w:vAlign w:val="center"/>
                </w:tcPr>
                <w:p w14:paraId="66D2C68C">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非甲烷总烃、颗粒物</w:t>
                  </w:r>
                  <w:r>
                    <w:rPr>
                      <w:rFonts w:hint="default" w:ascii="Times New Roman" w:hAnsi="Times New Roman" w:eastAsia="宋体" w:cs="Times New Roman"/>
                      <w:color w:val="000000" w:themeColor="text1"/>
                      <w:lang w:eastAsia="zh-CN"/>
                      <w14:textFill>
                        <w14:solidFill>
                          <w14:schemeClr w14:val="tx1"/>
                        </w14:solidFill>
                      </w14:textFill>
                    </w:rPr>
                    <w:t>、二氧化硫、氮氧化物、苯、苯系物</w:t>
                  </w:r>
                </w:p>
              </w:tc>
              <w:tc>
                <w:tcPr>
                  <w:tcW w:w="661" w:type="pct"/>
                  <w:vAlign w:val="center"/>
                </w:tcPr>
                <w:p w14:paraId="19C2ED1A">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1次/半年</w:t>
                  </w:r>
                </w:p>
              </w:tc>
            </w:tr>
            <w:tr w14:paraId="2BE4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437" w:type="pct"/>
                  <w:gridSpan w:val="2"/>
                  <w:vAlign w:val="center"/>
                </w:tcPr>
                <w:p w14:paraId="5141CC27">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厂界无组织</w:t>
                  </w:r>
                </w:p>
              </w:tc>
              <w:tc>
                <w:tcPr>
                  <w:tcW w:w="1394" w:type="pct"/>
                  <w:vAlign w:val="center"/>
                </w:tcPr>
                <w:p w14:paraId="1E8E1D54">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厂址上风向设1个对照点、厂址下风向设3个监控点</w:t>
                  </w:r>
                </w:p>
              </w:tc>
              <w:tc>
                <w:tcPr>
                  <w:tcW w:w="1507" w:type="pct"/>
                  <w:vAlign w:val="center"/>
                </w:tcPr>
                <w:p w14:paraId="5ECA82C1">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非甲烷总烃、颗粒物、臭气浓度</w:t>
                  </w:r>
                  <w:r>
                    <w:rPr>
                      <w:rFonts w:hint="default" w:ascii="Times New Roman" w:hAnsi="Times New Roman" w:eastAsia="宋体" w:cs="Times New Roman"/>
                      <w:color w:val="000000" w:themeColor="text1"/>
                      <w:lang w:eastAsia="zh-CN"/>
                      <w14:textFill>
                        <w14:solidFill>
                          <w14:schemeClr w14:val="tx1"/>
                        </w14:solidFill>
                      </w14:textFill>
                    </w:rPr>
                    <w:t>、苯</w:t>
                  </w:r>
                </w:p>
              </w:tc>
              <w:tc>
                <w:tcPr>
                  <w:tcW w:w="661" w:type="pct"/>
                  <w:vAlign w:val="center"/>
                </w:tcPr>
                <w:p w14:paraId="746E2C2E">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1次/年</w:t>
                  </w:r>
                </w:p>
              </w:tc>
            </w:tr>
            <w:tr w14:paraId="044E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vAlign w:val="center"/>
                </w:tcPr>
                <w:p w14:paraId="2CA3A46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厂内无组织</w:t>
                  </w:r>
                </w:p>
              </w:tc>
              <w:tc>
                <w:tcPr>
                  <w:tcW w:w="1394" w:type="pct"/>
                  <w:vAlign w:val="center"/>
                </w:tcPr>
                <w:p w14:paraId="16B1F44E">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厂房门口</w:t>
                  </w:r>
                </w:p>
              </w:tc>
              <w:tc>
                <w:tcPr>
                  <w:tcW w:w="1507" w:type="pct"/>
                  <w:vAlign w:val="center"/>
                </w:tcPr>
                <w:p w14:paraId="22CAF51A">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w:t>
                  </w:r>
                </w:p>
              </w:tc>
              <w:tc>
                <w:tcPr>
                  <w:tcW w:w="661" w:type="pct"/>
                  <w:vAlign w:val="center"/>
                </w:tcPr>
                <w:p w14:paraId="0AB8B0E6">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1次/年</w:t>
                  </w:r>
                </w:p>
              </w:tc>
            </w:tr>
          </w:tbl>
          <w:p w14:paraId="39380CD9">
            <w:pPr>
              <w:keepNext w:val="0"/>
              <w:keepLines w:val="0"/>
              <w:pageBreakBefore w:val="0"/>
              <w:widowControl w:val="0"/>
              <w:kinsoku/>
              <w:wordWrap w:val="0"/>
              <w:overflowPunct/>
              <w:topLinePunct/>
              <w:autoSpaceDE/>
              <w:autoSpaceDN/>
              <w:bidi w:val="0"/>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lang w:eastAsia="zh-CN"/>
                <w14:textFill>
                  <w14:solidFill>
                    <w14:schemeClr w14:val="tx1"/>
                  </w14:solidFill>
                </w14:textFill>
              </w:rPr>
              <w:t>）小结</w:t>
            </w:r>
          </w:p>
          <w:p w14:paraId="2354545B">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生产过程中有机废气收集后一起引至一套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处理后通过22m高排气筒排放，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通过处理后排放的</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颗粒物、二氧化硫、NOx、非甲烷总烃</w:t>
            </w:r>
            <w:r>
              <w:rPr>
                <w:rFonts w:hint="default" w:ascii="Times New Roman" w:hAnsi="Times New Roman" w:eastAsia="宋体" w:cs="Times New Roman"/>
                <w:color w:val="000000" w:themeColor="text1"/>
                <w:lang w:eastAsia="zh-CN"/>
                <w14:textFill>
                  <w14:solidFill>
                    <w14:schemeClr w14:val="tx1"/>
                  </w14:solidFill>
                </w14:textFill>
              </w:rPr>
              <w:t>、苯系物</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《印刷工业大气污染物排放标准》（GB41616-2022）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标准。</w:t>
            </w:r>
          </w:p>
          <w:p w14:paraId="176A7DB8">
            <w:pPr>
              <w:pStyle w:val="45"/>
              <w:keepNext w:val="0"/>
              <w:keepLines w:val="0"/>
              <w:pageBreakBefore w:val="0"/>
              <w:widowControl w:val="0"/>
              <w:kinsoku/>
              <w:wordWrap w:val="0"/>
              <w:overflowPunct/>
              <w:topLinePunct/>
              <w:autoSpaceDE/>
              <w:autoSpaceDN/>
              <w:bidi w:val="0"/>
              <w:ind w:left="0" w:leftChars="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本项目废气治理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RTO蓄热燃烧装置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属于</w:t>
            </w:r>
            <w:r>
              <w:rPr>
                <w:rFonts w:hint="default" w:ascii="Times New Roman" w:hAnsi="Times New Roman" w:eastAsia="宋体" w:cs="Times New Roman"/>
                <w:b w:val="0"/>
                <w:bCs w:val="0"/>
                <w:color w:val="000000" w:themeColor="text1"/>
                <w:lang w:eastAsia="zh-CN"/>
                <w14:textFill>
                  <w14:solidFill>
                    <w14:schemeClr w14:val="tx1"/>
                  </w14:solidFill>
                </w14:textFill>
              </w:rPr>
              <w:t>《排污许可证申请与核发技术规范</w:t>
            </w:r>
            <w:r>
              <w:rPr>
                <w:rFonts w:hint="default" w:ascii="Times New Roman" w:hAnsi="Times New Roman" w:eastAsia="宋体" w:cs="Times New Roman"/>
                <w:b w:val="0"/>
                <w:bCs w:val="0"/>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lang w:eastAsia="zh-CN"/>
                <w14:textFill>
                  <w14:solidFill>
                    <w14:schemeClr w14:val="tx1"/>
                  </w14:solidFill>
                </w14:textFill>
              </w:rPr>
              <w:t>印刷工业》（HJ 1</w:t>
            </w:r>
            <w:r>
              <w:rPr>
                <w:rFonts w:hint="default" w:ascii="Times New Roman" w:hAnsi="Times New Roman" w:eastAsia="宋体" w:cs="Times New Roman"/>
                <w:b w:val="0"/>
                <w:bCs w:val="0"/>
                <w:color w:val="000000" w:themeColor="text1"/>
                <w:lang w:val="en-US" w:eastAsia="zh-CN"/>
                <w14:textFill>
                  <w14:solidFill>
                    <w14:schemeClr w14:val="tx1"/>
                  </w14:solidFill>
                </w14:textFill>
              </w:rPr>
              <w:t>066</w:t>
            </w:r>
            <w:r>
              <w:rPr>
                <w:rFonts w:hint="default" w:ascii="Times New Roman" w:hAnsi="Times New Roman" w:eastAsia="宋体" w:cs="Times New Roman"/>
                <w:b w:val="0"/>
                <w:bCs w:val="0"/>
                <w:color w:val="000000" w:themeColor="text1"/>
                <w:lang w:eastAsia="zh-CN"/>
                <w14:textFill>
                  <w14:solidFill>
                    <w14:schemeClr w14:val="tx1"/>
                  </w14:solidFill>
                </w14:textFill>
              </w:rPr>
              <w:t>—20</w:t>
            </w:r>
            <w:r>
              <w:rPr>
                <w:rFonts w:hint="default" w:ascii="Times New Roman" w:hAnsi="Times New Roman" w:eastAsia="宋体" w:cs="Times New Roman"/>
                <w:b w:val="0"/>
                <w:bCs w:val="0"/>
                <w:color w:val="000000" w:themeColor="text1"/>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eastAsia="zh-CN"/>
                <w14:textFill>
                  <w14:solidFill>
                    <w14:schemeClr w14:val="tx1"/>
                  </w14:solidFill>
                </w14:textFill>
              </w:rPr>
              <w:t>表</w:t>
            </w:r>
            <w:r>
              <w:rPr>
                <w:rFonts w:hint="default" w:ascii="Times New Roman" w:hAnsi="Times New Roman" w:eastAsia="宋体" w:cs="Times New Roman"/>
                <w:b w:val="0"/>
                <w:bCs w:val="0"/>
                <w:color w:val="000000" w:themeColor="text1"/>
                <w:lang w:val="en-US" w:eastAsia="zh-CN"/>
                <w14:textFill>
                  <w14:solidFill>
                    <w14:schemeClr w14:val="tx1"/>
                  </w14:solidFill>
                </w14:textFill>
              </w:rPr>
              <w:t>A.1废气治理可行技术参考表</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eastAsia="zh-CN"/>
                <w14:textFill>
                  <w14:solidFill>
                    <w14:schemeClr w14:val="tx1"/>
                  </w14:solidFill>
                </w14:textFill>
              </w:rPr>
              <w:t>中可行技术</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14:paraId="0762F081">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项目运营期主要大气污染物均能达标排放，不会造成区域环境空气质量超标，对周围环境影响较小。因此，项目废气对大气环境的影响是可以接受的。</w:t>
            </w:r>
          </w:p>
          <w:p w14:paraId="526B9438">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rPr>
                <w:rFonts w:hint="default" w:ascii="Times New Roman" w:hAnsi="Times New Roman" w:eastAsia="宋体" w:cs="Times New Roman"/>
                <w:b/>
                <w:color w:val="000000" w:themeColor="text1"/>
                <w:sz w:val="24"/>
                <w:szCs w:val="20"/>
                <w:lang w:val="zh-CN" w:bidi="ar"/>
                <w14:textFill>
                  <w14:solidFill>
                    <w14:schemeClr w14:val="tx1"/>
                  </w14:solidFill>
                </w14:textFill>
              </w:rPr>
            </w:pPr>
            <w:r>
              <w:rPr>
                <w:rFonts w:hint="default" w:ascii="Times New Roman" w:hAnsi="Times New Roman" w:eastAsia="宋体" w:cs="Times New Roman"/>
                <w:b/>
                <w:color w:val="000000" w:themeColor="text1"/>
                <w:sz w:val="24"/>
                <w:szCs w:val="20"/>
                <w:lang w:val="en-US" w:eastAsia="zh-CN" w:bidi="ar"/>
                <w14:textFill>
                  <w14:solidFill>
                    <w14:schemeClr w14:val="tx1"/>
                  </w14:solidFill>
                </w14:textFill>
              </w:rPr>
              <w:t>2</w:t>
            </w:r>
            <w:r>
              <w:rPr>
                <w:rFonts w:hint="default" w:ascii="Times New Roman" w:hAnsi="Times New Roman" w:eastAsia="宋体" w:cs="Times New Roman"/>
                <w:b/>
                <w:color w:val="000000" w:themeColor="text1"/>
                <w:sz w:val="24"/>
                <w:szCs w:val="20"/>
                <w:lang w:val="zh-CN" w:bidi="ar"/>
                <w14:textFill>
                  <w14:solidFill>
                    <w14:schemeClr w14:val="tx1"/>
                  </w14:solidFill>
                </w14:textFill>
              </w:rPr>
              <w:t>、地表水环境影响分析</w:t>
            </w:r>
          </w:p>
          <w:p w14:paraId="4F75EE28">
            <w:pPr>
              <w:keepNext w:val="0"/>
              <w:keepLines w:val="0"/>
              <w:pageBreakBefore w:val="0"/>
              <w:widowControl w:val="0"/>
              <w:tabs>
                <w:tab w:val="left" w:pos="4830"/>
              </w:tabs>
              <w:kinsoku/>
              <w:wordWrap w:val="0"/>
              <w:overflowPunct/>
              <w:topLinePunct/>
              <w:autoSpaceDE/>
              <w:autoSpaceDN/>
              <w:bidi w:val="0"/>
              <w:adjustRightInd/>
              <w:snapToGrid/>
              <w:spacing w:line="360" w:lineRule="auto"/>
              <w:ind w:firstLine="482" w:firstLineChars="200"/>
              <w:jc w:val="left"/>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（1）废水产排情况</w:t>
            </w:r>
          </w:p>
          <w:p w14:paraId="0308693E">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项目采取雨污分流制。</w:t>
            </w:r>
          </w:p>
          <w:p w14:paraId="63D41221">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雨水经厂区周边现有雨水沟收集后进入市政雨水管网</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045C2DDB">
            <w:pPr>
              <w:keepNext w:val="0"/>
              <w:keepLines w:val="0"/>
              <w:pageBreakBefore w:val="0"/>
              <w:widowControl w:val="0"/>
              <w:kinsoku/>
              <w:wordWrap w:val="0"/>
              <w:overflowPunct/>
              <w:topLinePunct/>
              <w:autoSpaceDE/>
              <w:autoSpaceDN/>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生产</w:t>
            </w:r>
            <w:r>
              <w:rPr>
                <w:rFonts w:hint="default" w:ascii="Times New Roman" w:hAnsi="Times New Roman" w:eastAsia="宋体" w:cs="Times New Roman"/>
                <w:color w:val="000000" w:themeColor="text1"/>
                <w:sz w:val="24"/>
                <w:szCs w:val="24"/>
                <w:lang w:eastAsia="zh-CN"/>
                <w14:textFill>
                  <w14:solidFill>
                    <w14:schemeClr w14:val="tx1"/>
                  </w14:solidFill>
                </w14:textFill>
              </w:rPr>
              <w:t>过程中不产生生产废水，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对印刷设备进行清理时均采用抹布蘸取少量油墨清洗剂对设备进行擦拭，无清洗废水产生。</w:t>
            </w:r>
          </w:p>
          <w:p w14:paraId="09611A98">
            <w:pPr>
              <w:keepNext w:val="0"/>
              <w:keepLines w:val="0"/>
              <w:pageBreakBefore w:val="0"/>
              <w:widowControl w:val="0"/>
              <w:kinsoku/>
              <w:wordWrap w:val="0"/>
              <w:overflowPunct/>
              <w:topLinePunct/>
              <w:autoSpaceDE/>
              <w:autoSpaceDN/>
              <w:bidi w:val="0"/>
              <w:spacing w:line="360" w:lineRule="auto"/>
              <w:ind w:left="0" w:leftChars="0" w:right="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本项目运行过程中废水主要为生活污水。</w:t>
            </w:r>
          </w:p>
          <w:p w14:paraId="1EA7901B">
            <w:pPr>
              <w:keepNext w:val="0"/>
              <w:keepLines w:val="0"/>
              <w:pageBreakBefore w:val="0"/>
              <w:widowControl w:val="0"/>
              <w:kinsoku/>
              <w:wordWrap w:val="0"/>
              <w:overflowPunct/>
              <w:topLinePunct/>
              <w:autoSpaceDE/>
              <w:autoSpaceDN/>
              <w:bidi w:val="0"/>
              <w:spacing w:line="360" w:lineRule="auto"/>
              <w:ind w:left="0" w:leftChars="0" w:right="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1）生活污水</w:t>
            </w:r>
          </w:p>
          <w:p w14:paraId="56D691BE">
            <w:pPr>
              <w:keepNext w:val="0"/>
              <w:keepLines w:val="0"/>
              <w:pageBreakBefore w:val="0"/>
              <w:widowControl w:val="0"/>
              <w:kinsoku/>
              <w:wordWrap w:val="0"/>
              <w:overflowPunct/>
              <w:topLinePunct/>
              <w:autoSpaceDE/>
              <w:autoSpaceDN/>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项目员工为50人，员工为多为周边村庄人员，不在厂区内食宿，参照</w:t>
            </w:r>
            <w:r>
              <w:rPr>
                <w:rFonts w:hint="eastAsia" w:cs="Times New Roman"/>
                <w:color w:val="000000" w:themeColor="text1"/>
                <w:sz w:val="24"/>
                <w:lang w:val="en-US" w:eastAsia="zh-CN"/>
                <w14:textFill>
                  <w14:solidFill>
                    <w14:schemeClr w14:val="tx1"/>
                  </w14:solidFill>
                </w14:textFill>
              </w:rPr>
              <w:t>《云南省用水定额》（云水发〔2019〕122号）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表1</w:t>
            </w:r>
            <w:r>
              <w:rPr>
                <w:rFonts w:hint="eastAsia" w:cs="Times New Roman"/>
                <w:color w:val="000000" w:themeColor="text1"/>
                <w:sz w:val="24"/>
                <w:szCs w:val="24"/>
                <w:lang w:val="en-US" w:eastAsia="zh-CN"/>
                <w14:textFill>
                  <w14:solidFill>
                    <w14:schemeClr w14:val="tx1"/>
                  </w14:solidFill>
                </w14:textFill>
              </w:rPr>
              <w:t>1国家行政机构无食堂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用水定额</w:t>
            </w:r>
            <w:r>
              <w:rPr>
                <w:rFonts w:hint="eastAsia" w:cs="Times New Roman"/>
                <w:color w:val="000000" w:themeColor="text1"/>
                <w:sz w:val="24"/>
                <w:szCs w:val="24"/>
                <w:lang w:val="en-US" w:eastAsia="zh-CN"/>
                <w14:textFill>
                  <w14:solidFill>
                    <w14:schemeClr w14:val="tx1"/>
                  </w14:solidFill>
                </w14:textFill>
              </w:rPr>
              <w:t>”（本项目员工不</w:t>
            </w:r>
            <w:r>
              <w:rPr>
                <w:rFonts w:hint="default" w:ascii="Times New Roman" w:hAnsi="Times New Roman" w:eastAsia="宋体" w:cs="Times New Roman"/>
                <w:color w:val="000000" w:themeColor="text1"/>
                <w:sz w:val="24"/>
                <w:lang w:val="en-US" w:eastAsia="zh-CN"/>
                <w14:textFill>
                  <w14:solidFill>
                    <w14:schemeClr w14:val="tx1"/>
                  </w14:solidFill>
                </w14:textFill>
              </w:rPr>
              <w:t>在厂区内食宿，</w:t>
            </w:r>
            <w:r>
              <w:rPr>
                <w:rFonts w:hint="eastAsia" w:cs="Times New Roman"/>
                <w:color w:val="000000" w:themeColor="text1"/>
                <w:sz w:val="24"/>
                <w:szCs w:val="24"/>
                <w:lang w:val="en-US" w:eastAsia="zh-CN"/>
                <w14:textFill>
                  <w14:solidFill>
                    <w14:schemeClr w14:val="tx1"/>
                  </w14:solidFill>
                </w14:textFill>
              </w:rPr>
              <w:t>该用水定额用水节点与本项目相似，用水环节为员工如厕、洗手等环节）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员工生活用水按</w:t>
            </w:r>
            <w:r>
              <w:rPr>
                <w:rFonts w:hint="eastAsia" w:cs="Times New Roman"/>
                <w:color w:val="000000" w:themeColor="text1"/>
                <w:sz w:val="24"/>
                <w:lang w:val="en-US" w:eastAsia="zh-CN"/>
                <w14:textFill>
                  <w14:solidFill>
                    <w14:schemeClr w14:val="tx1"/>
                  </w14:solidFill>
                </w14:textFill>
              </w:rPr>
              <w:t>11m</w:t>
            </w:r>
            <w:r>
              <w:rPr>
                <w:rFonts w:hint="eastAsia"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/人·</w:t>
            </w:r>
            <w:r>
              <w:rPr>
                <w:rFonts w:hint="eastAsia" w:cs="Times New Roman"/>
                <w:color w:val="000000" w:themeColor="text1"/>
                <w:sz w:val="24"/>
                <w:lang w:val="en-US" w:eastAsia="zh-CN"/>
                <w14:textFill>
                  <w14:solidFill>
                    <w14:schemeClr w14:val="tx1"/>
                  </w14:solidFill>
                </w14:textFill>
              </w:rPr>
              <w:t>a</w:t>
            </w:r>
            <w:r>
              <w:rPr>
                <w:rFonts w:hint="default" w:ascii="Times New Roman" w:hAnsi="Times New Roman" w:eastAsia="宋体" w:cs="Times New Roman"/>
                <w:color w:val="000000" w:themeColor="text1"/>
                <w:sz w:val="24"/>
                <w:lang w:val="en-US" w:eastAsia="zh-CN"/>
                <w14:textFill>
                  <w14:solidFill>
                    <w14:schemeClr w14:val="tx1"/>
                  </w14:solidFill>
                </w14:textFill>
              </w:rPr>
              <w:t>计，项目年工作300天，则用水量为</w:t>
            </w:r>
            <w:r>
              <w:rPr>
                <w:rFonts w:hint="eastAsia" w:cs="Times New Roman"/>
                <w:color w:val="000000" w:themeColor="text1"/>
                <w:sz w:val="24"/>
                <w:lang w:val="en-US" w:eastAsia="zh-CN"/>
                <w14:textFill>
                  <w14:solidFill>
                    <w14:schemeClr w14:val="tx1"/>
                  </w14:solidFill>
                </w14:textFill>
              </w:rPr>
              <w:t>550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，1.833</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/d；污水量按用水量80%计，则本项目生活污水产生量为</w:t>
            </w:r>
            <w:r>
              <w:rPr>
                <w:rFonts w:hint="eastAsia" w:cs="Times New Roman"/>
                <w:color w:val="000000" w:themeColor="text1"/>
                <w:sz w:val="24"/>
                <w:lang w:val="en-US" w:eastAsia="zh-CN"/>
                <w14:textFill>
                  <w14:solidFill>
                    <w14:schemeClr w14:val="tx1"/>
                  </w14:solidFill>
                </w14:textFill>
              </w:rPr>
              <w:t>440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，1.467</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p>
          <w:p w14:paraId="5CFF6B3F">
            <w:pPr>
              <w:keepNext w:val="0"/>
              <w:keepLines w:val="0"/>
              <w:pageBreakBefore w:val="0"/>
              <w:widowControl w:val="0"/>
              <w:kinsoku/>
              <w:wordWrap w:val="0"/>
              <w:overflowPunct/>
              <w:topLinePunct/>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近期由于园区污水处理厂暂未正常运行，生活污水经化粪池预处理后进入自建生活污水处理设施处理达《城市污水再生利用 城市杂用水水质》（GB/T18920-2020）中绿化标准后用于厂区周边绿化，</w:t>
            </w:r>
            <w:r>
              <w:rPr>
                <w:rFonts w:hint="eastAsia" w:cs="Times New Roman"/>
                <w:color w:val="000000" w:themeColor="text1"/>
                <w:sz w:val="24"/>
                <w:szCs w:val="24"/>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，留待晴天使用；远期待园区污水处理厂正常运行后，产生的生活污水通过化粪池预处理，达到《污水综合排放标准》（GB8978-1996）表4三级标准及《污水排入城镇下水道水质标准》（GB/T31962-2015）</w:t>
            </w:r>
            <w:r>
              <w:rPr>
                <w:rFonts w:hint="eastAsia" w:cs="Times New Roman"/>
                <w:color w:val="000000" w:themeColor="text1"/>
                <w:sz w:val="24"/>
                <w:szCs w:val="24"/>
                <w:lang w:val="en-US" w:eastAsia="zh-CN"/>
                <w14:textFill>
                  <w14:solidFill>
                    <w14:schemeClr w14:val="tx1"/>
                  </w14:solidFill>
                </w14:textFill>
              </w:rPr>
              <w:t>表1A等级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标准规定的最严标准值后，排入园区市政污水管网，进入园区污水处理厂处理。</w:t>
            </w:r>
          </w:p>
          <w:p w14:paraId="322EC1FE">
            <w:pPr>
              <w:keepNext w:val="0"/>
              <w:keepLines w:val="0"/>
              <w:pageBreakBefore w:val="0"/>
              <w:widowControl w:val="0"/>
              <w:tabs>
                <w:tab w:val="left" w:pos="4830"/>
              </w:tabs>
              <w:kinsoku/>
              <w:wordWrap w:val="0"/>
              <w:overflowPunct/>
              <w:topLinePunct/>
              <w:autoSpaceDE/>
              <w:autoSpaceDN/>
              <w:bidi w:val="0"/>
              <w:adjustRightInd/>
              <w:snapToGrid/>
              <w:spacing w:line="360" w:lineRule="auto"/>
              <w:ind w:firstLine="482" w:firstLineChars="200"/>
              <w:jc w:val="left"/>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default" w:ascii="Times New Roman" w:hAnsi="Times New Roman" w:eastAsia="宋体" w:cs="Times New Roman"/>
                <w:b/>
                <w:bCs w:val="0"/>
                <w:color w:val="000000" w:themeColor="text1"/>
                <w:sz w:val="24"/>
                <w:lang w:eastAsia="zh-CN"/>
                <w14:textFill>
                  <w14:solidFill>
                    <w14:schemeClr w14:val="tx1"/>
                  </w14:solidFill>
                </w14:textFill>
              </w:rPr>
              <w:t>（2）废水处置可行性分析</w:t>
            </w:r>
          </w:p>
          <w:p w14:paraId="68639356">
            <w:pPr>
              <w:keepNext w:val="0"/>
              <w:keepLines w:val="0"/>
              <w:pageBreakBefore w:val="0"/>
              <w:widowControl w:val="0"/>
              <w:kinsoku/>
              <w:wordWrap w:val="0"/>
              <w:overflowPunct/>
              <w:topLinePunct/>
              <w:autoSpaceDE/>
              <w:autoSpaceDN/>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生活污水依托厂房外西北侧现有1个容积约10m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的化粪池</w:t>
            </w:r>
            <w:r>
              <w:rPr>
                <w:rFonts w:hint="eastAsia" w:cs="Times New Roman"/>
                <w:color w:val="000000" w:themeColor="text1"/>
                <w:sz w:val="24"/>
                <w:lang w:val="en-US" w:eastAsia="zh-CN"/>
                <w14:textFill>
                  <w14:solidFill>
                    <w14:schemeClr w14:val="tx1"/>
                  </w14:solidFill>
                </w14:textFill>
              </w:rPr>
              <w:t>；2m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/d“A/O法生物处理”一体化生活污水处理设施。新增1个10m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的中水收集池。</w:t>
            </w:r>
          </w:p>
          <w:p w14:paraId="6B547598">
            <w:pPr>
              <w:keepNext w:val="0"/>
              <w:keepLines w:val="0"/>
              <w:pageBreakBefore w:val="0"/>
              <w:widowControl w:val="0"/>
              <w:kinsoku/>
              <w:wordWrap w:val="0"/>
              <w:overflowPunct/>
              <w:topLinePunct/>
              <w:autoSpaceDE/>
              <w:autoSpaceDN/>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本项目生活污水产生量为</w:t>
            </w:r>
            <w:r>
              <w:rPr>
                <w:rFonts w:hint="eastAsia" w:cs="Times New Roman"/>
                <w:color w:val="000000" w:themeColor="text1"/>
                <w:sz w:val="24"/>
                <w:lang w:val="en-US" w:eastAsia="zh-CN"/>
                <w14:textFill>
                  <w14:solidFill>
                    <w14:schemeClr w14:val="tx1"/>
                  </w14:solidFill>
                </w14:textFill>
              </w:rPr>
              <w:t>440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，1.467</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p>
          <w:p w14:paraId="4700DB66">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1）近期生活污水处置可行性分析</w:t>
            </w:r>
          </w:p>
          <w:p w14:paraId="4D5CF055">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近期由于园区污水处理厂暂未正常运行，生活污水经化粪池预处理后进入自建生活污水处理设施处理达《城市污水再生利用 城市杂用水水质》（GB/T18920-2020）中绿化标准后用于厂区周边绿化。</w:t>
            </w:r>
          </w:p>
          <w:p w14:paraId="6319A793">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筑给水排水设计规范》（GB50015-2003）要求：化粪池有效停留时间取12~24h。污水的排放量变化大会影响化粪池的污水处理效果，预留污水有效停留时间有利于保证化粪池污水处理效果。本项目生活污水产生量为</w:t>
            </w:r>
            <w:r>
              <w:rPr>
                <w:rFonts w:hint="eastAsia" w:cs="Times New Roman"/>
                <w:color w:val="000000" w:themeColor="text1"/>
                <w:sz w:val="24"/>
                <w:lang w:val="en-US" w:eastAsia="zh-CN"/>
                <w14:textFill>
                  <w14:solidFill>
                    <w14:schemeClr w14:val="tx1"/>
                  </w14:solidFill>
                </w14:textFill>
              </w:rPr>
              <w:t>440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，1.467</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。现有10m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化粪池能够满足《建筑给水排水设计规范》（GB50015-2003）有效停留时间相关要求。</w:t>
            </w:r>
            <w:r>
              <w:rPr>
                <w:rFonts w:hint="default" w:ascii="Times New Roman" w:hAnsi="Times New Roman" w:eastAsia="宋体" w:cs="Times New Roman"/>
                <w:color w:val="000000" w:themeColor="text1"/>
                <w:szCs w:val="32"/>
                <w:lang w:val="en-US" w:eastAsia="zh-CN"/>
                <w14:textFill>
                  <w14:solidFill>
                    <w14:schemeClr w14:val="tx1"/>
                  </w14:solidFill>
                </w14:textFill>
              </w:rPr>
              <w:t>本项目租用现有生产厂房中1层、2层进行建设，根据调查，目前该生产厂房仅本项目入驻，化粪池能够容纳本项目产生的生活污水。</w:t>
            </w:r>
          </w:p>
          <w:p w14:paraId="67299C34">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szCs w:val="32"/>
                <w:lang w:val="en-US" w:eastAsia="zh-CN"/>
                <w14:textFill>
                  <w14:solidFill>
                    <w14:schemeClr w14:val="tx1"/>
                  </w14:solidFill>
                </w14:textFill>
              </w:rPr>
            </w:pPr>
            <w:r>
              <w:rPr>
                <w:rFonts w:hint="default" w:ascii="Times New Roman" w:hAnsi="Times New Roman" w:eastAsia="宋体" w:cs="Times New Roman"/>
                <w:color w:val="000000" w:themeColor="text1"/>
                <w:szCs w:val="32"/>
                <w:lang w:val="en-US" w:eastAsia="zh-CN"/>
                <w14:textFill>
                  <w14:solidFill>
                    <w14:schemeClr w14:val="tx1"/>
                  </w14:solidFill>
                </w14:textFill>
              </w:rPr>
              <w:t>根据调查，由于园区已建设完成污水处理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w:t>
            </w:r>
            <w:r>
              <w:rPr>
                <w:rFonts w:hint="default" w:ascii="Times New Roman" w:hAnsi="Times New Roman" w:eastAsia="宋体" w:cs="Times New Roman"/>
                <w:color w:val="000000" w:themeColor="text1"/>
                <w:szCs w:val="32"/>
                <w:lang w:val="en-US" w:eastAsia="zh-CN"/>
                <w14:textFill>
                  <w14:solidFill>
                    <w14:schemeClr w14:val="tx1"/>
                  </w14:solidFill>
                </w14:textFill>
              </w:rPr>
              <w:t>，目前暂未正常运行，故本环评提出本项目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自建1个处理能力</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/d一体化污水处理设施，在园区污水处理厂正常运行前，本项目产生的生活污水经化粪池收集后进入自建一体化污水处理设施处理达标后用于周边绿化浇洒。</w:t>
            </w:r>
            <w:r>
              <w:rPr>
                <w:rFonts w:hint="eastAsia" w:cs="Times New Roman"/>
                <w:color w:val="000000" w:themeColor="text1"/>
                <w:sz w:val="24"/>
                <w:szCs w:val="24"/>
                <w:lang w:val="en-US" w:eastAsia="zh-CN"/>
                <w14:textFill>
                  <w14:solidFill>
                    <w14:schemeClr w14:val="tx1"/>
                  </w14:solidFill>
                </w14:textFill>
              </w:rPr>
              <w:t>根据建设单位厂房租赁合同，“建设单位对租赁物附属物负有妥善使用及维护之责”，故生活污水经处理后用于周边绿化浇洒可行。</w:t>
            </w:r>
          </w:p>
          <w:p w14:paraId="7153330B">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Cs w:val="32"/>
                <w:lang w:val="en-US" w:eastAsia="zh-CN"/>
                <w14:textFill>
                  <w14:solidFill>
                    <w14:schemeClr w14:val="tx1"/>
                  </w14:solidFill>
                </w14:textFill>
              </w:rPr>
              <w:t>本项目自建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一体化污水处理设施仅针对本项目产生的生活污水，处理能力</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/d一体化污水处理设施能够处理本项目产生的生活污水。若园区污水处理厂正常运行前，生产厂房有其他企业入驻，则由入驻企业与本项目建设单位协商一体化污水处理设施依托、扩容等事宜。</w:t>
            </w:r>
          </w:p>
          <w:p w14:paraId="24536A45">
            <w:pPr>
              <w:pStyle w:val="48"/>
              <w:autoSpaceDE/>
              <w:autoSpaceDN/>
              <w:adjustRightInd/>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Cs w:val="32"/>
                <w:lang w:val="en-US" w:eastAsia="zh-CN"/>
                <w14:textFill>
                  <w14:solidFill>
                    <w14:schemeClr w14:val="tx1"/>
                  </w14:solidFill>
                </w14:textFill>
              </w:rPr>
              <w:t>根据</w:t>
            </w:r>
            <w:r>
              <w:rPr>
                <w:rFonts w:hint="eastAsia" w:cs="Times New Roman"/>
                <w:color w:val="000000" w:themeColor="text1"/>
                <w:szCs w:val="32"/>
                <w:lang w:val="en-US" w:eastAsia="zh-CN"/>
                <w14:textFill>
                  <w14:solidFill>
                    <w14:schemeClr w14:val="tx1"/>
                  </w14:solidFill>
                </w14:textFill>
              </w:rPr>
              <w:t>工程分析，</w:t>
            </w:r>
            <w:r>
              <w:rPr>
                <w:rFonts w:hint="default" w:ascii="Times New Roman" w:hAnsi="Times New Roman" w:eastAsia="宋体" w:cs="Times New Roman"/>
                <w:b w:val="0"/>
                <w:bCs/>
                <w:color w:val="000000" w:themeColor="text1"/>
                <w:sz w:val="24"/>
                <w:lang w:bidi="en-US"/>
                <w14:textFill>
                  <w14:solidFill>
                    <w14:schemeClr w14:val="tx1"/>
                  </w14:solidFill>
                </w14:textFill>
              </w:rPr>
              <w:t>绿化用水量约为</w:t>
            </w:r>
            <w:r>
              <w:rPr>
                <w:rFonts w:hint="default" w:ascii="Times New Roman" w:hAnsi="Times New Roman" w:eastAsia="宋体" w:cs="Times New Roman"/>
                <w:b w:val="0"/>
                <w:bCs/>
                <w:color w:val="000000" w:themeColor="text1"/>
                <w:sz w:val="24"/>
                <w:lang w:val="en-US" w:eastAsia="zh-CN" w:bidi="en-US"/>
                <w14:textFill>
                  <w14:solidFill>
                    <w14:schemeClr w14:val="tx1"/>
                  </w14:solidFill>
                </w14:textFill>
              </w:rPr>
              <w:t>3.6</w:t>
            </w:r>
            <w:r>
              <w:rPr>
                <w:rFonts w:hint="default" w:ascii="Times New Roman" w:hAnsi="Times New Roman" w:eastAsia="宋体" w:cs="Times New Roman"/>
                <w:b w:val="0"/>
                <w:bCs/>
                <w:color w:val="000000" w:themeColor="text1"/>
                <w:sz w:val="24"/>
                <w:lang w:bidi="en-US"/>
                <w14:textFill>
                  <w14:solidFill>
                    <w14:schemeClr w14:val="tx1"/>
                  </w14:solidFill>
                </w14:textFill>
              </w:rPr>
              <w:t>m</w:t>
            </w:r>
            <w:r>
              <w:rPr>
                <w:rFonts w:hint="default" w:ascii="Times New Roman" w:hAnsi="Times New Roman" w:eastAsia="宋体" w:cs="Times New Roman"/>
                <w:b w:val="0"/>
                <w:bCs/>
                <w:color w:val="000000" w:themeColor="text1"/>
                <w:sz w:val="24"/>
                <w:vertAlign w:val="superscript"/>
                <w:lang w:bidi="en-US"/>
                <w14:textFill>
                  <w14:solidFill>
                    <w14:schemeClr w14:val="tx1"/>
                  </w14:solidFill>
                </w14:textFill>
              </w:rPr>
              <w:t>3</w:t>
            </w:r>
            <w:r>
              <w:rPr>
                <w:rFonts w:hint="default" w:ascii="Times New Roman" w:hAnsi="Times New Roman" w:eastAsia="宋体" w:cs="Times New Roman"/>
                <w:b w:val="0"/>
                <w:bCs/>
                <w:color w:val="000000" w:themeColor="text1"/>
                <w:sz w:val="24"/>
                <w:lang w:bidi="en-US"/>
                <w14:textFill>
                  <w14:solidFill>
                    <w14:schemeClr w14:val="tx1"/>
                  </w14:solidFill>
                </w14:textFill>
              </w:rPr>
              <w:t>/d，</w:t>
            </w:r>
            <w:r>
              <w:rPr>
                <w:rFonts w:hint="eastAsia" w:cs="Times New Roman"/>
                <w:b w:val="0"/>
                <w:bCs/>
                <w:color w:val="000000" w:themeColor="text1"/>
                <w:sz w:val="24"/>
                <w:lang w:val="en-US" w:eastAsia="zh-CN" w:bidi="en-US"/>
                <w14:textFill>
                  <w14:solidFill>
                    <w14:schemeClr w14:val="tx1"/>
                  </w14:solidFill>
                </w14:textFill>
              </w:rPr>
              <w:t>685.8</w:t>
            </w:r>
            <w:r>
              <w:rPr>
                <w:rFonts w:hint="default" w:ascii="Times New Roman" w:hAnsi="Times New Roman" w:eastAsia="宋体" w:cs="Times New Roman"/>
                <w:b w:val="0"/>
                <w:bCs/>
                <w:color w:val="000000" w:themeColor="text1"/>
                <w:sz w:val="24"/>
                <w:lang w:bidi="en-US"/>
                <w14:textFill>
                  <w14:solidFill>
                    <w14:schemeClr w14:val="tx1"/>
                  </w14:solidFill>
                </w14:textFill>
              </w:rPr>
              <w:t>m</w:t>
            </w:r>
            <w:r>
              <w:rPr>
                <w:rFonts w:hint="default" w:ascii="Times New Roman" w:hAnsi="Times New Roman" w:eastAsia="宋体" w:cs="Times New Roman"/>
                <w:b w:val="0"/>
                <w:bCs/>
                <w:color w:val="000000" w:themeColor="text1"/>
                <w:sz w:val="24"/>
                <w:vertAlign w:val="superscript"/>
                <w:lang w:bidi="en-US"/>
                <w14:textFill>
                  <w14:solidFill>
                    <w14:schemeClr w14:val="tx1"/>
                  </w14:solidFill>
                </w14:textFill>
              </w:rPr>
              <w:t>3</w:t>
            </w:r>
            <w:r>
              <w:rPr>
                <w:rFonts w:hint="default" w:ascii="Times New Roman" w:hAnsi="Times New Roman" w:eastAsia="宋体" w:cs="Times New Roman"/>
                <w:b w:val="0"/>
                <w:bCs/>
                <w:color w:val="000000" w:themeColor="text1"/>
                <w:sz w:val="24"/>
                <w:lang w:bidi="en-US"/>
                <w14:textFill>
                  <w14:solidFill>
                    <w14:schemeClr w14:val="tx1"/>
                  </w14:solidFill>
                </w14:textFill>
              </w:rPr>
              <w:t>/a</w:t>
            </w:r>
            <w:r>
              <w:rPr>
                <w:rFonts w:hint="default" w:ascii="Times New Roman" w:hAnsi="Times New Roman" w:eastAsia="宋体" w:cs="Times New Roman"/>
                <w:b w:val="0"/>
                <w:bCs/>
                <w:color w:val="000000" w:themeColor="text1"/>
                <w:sz w:val="24"/>
                <w:lang w:eastAsia="zh-CN" w:bidi="en-US"/>
                <w14:textFill>
                  <w14:solidFill>
                    <w14:schemeClr w14:val="tx1"/>
                  </w14:solidFill>
                </w14:textFill>
              </w:rPr>
              <w:t>。绿化用水能够容纳经处理后产生的生活污水，</w:t>
            </w:r>
            <w:r>
              <w:rPr>
                <w:rFonts w:hint="default" w:ascii="Times New Roman" w:hAnsi="Times New Roman" w:eastAsia="宋体" w:cs="Times New Roman"/>
                <w:color w:val="000000" w:themeColor="text1"/>
                <w:szCs w:val="32"/>
                <w14:textFill>
                  <w14:solidFill>
                    <w14:schemeClr w14:val="tx1"/>
                  </w14:solidFill>
                </w14:textFill>
              </w:rPr>
              <w:t>生活污水处理措施有可行性。</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新增1个</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的中水收集池，</w:t>
            </w:r>
            <w:r>
              <w:rPr>
                <w:rFonts w:hint="eastAsia" w:cs="Times New Roman"/>
                <w:color w:val="000000" w:themeColor="text1"/>
                <w:sz w:val="24"/>
                <w:szCs w:val="24"/>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，留待晴天使用。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中水收集池总容积为</w:t>
            </w:r>
            <w:r>
              <w:rPr>
                <w:rFonts w:hint="eastAsia" w:cs="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，能够容纳约</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天的生活污水。</w:t>
            </w:r>
          </w:p>
          <w:p w14:paraId="72A28C53">
            <w:pPr>
              <w:pStyle w:val="48"/>
              <w:autoSpaceDE/>
              <w:autoSpaceDN/>
              <w:adjustRightInd/>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本环评建议项目采取一体化污水处理设施进行处理，采用</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A/O法生物处理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+消毒</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工艺。A级是缺氧生物处理，兼氧微生物利用有机碳源作为电子供体，能将污水中的NO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-N转化成N</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达到脱氮的目的，从而消除了氮的富营养化污染，同时又去除了部分有机物。通常厌氧消化对生化性较好的废水中的COD去除率可达60%左右。O级是好氧生物处理，是为了使有机物得到进一步氧化分解，同时在碳化作用趋于完成的情况下，使硝化作用能顺利进行，在O级池中主要存在好氧微生物和自养型细菌（硝化菌）。其中好氧微生物将有机物分解成C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和H</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O；自养型细菌（硝化菌）能将污水中NH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-N转化为NO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-N。O级池的出水部分回流到A级，为A级池提供电子接受体，通过硝化作用最终消除氮污染</w:t>
            </w:r>
            <w:r>
              <w:rPr>
                <w:rFonts w:hint="default" w:ascii="Times New Roman" w:hAnsi="Times New Roman" w:eastAsia="宋体" w:cs="Times New Roman"/>
                <w:color w:val="000000" w:themeColor="text1"/>
                <w:sz w:val="24"/>
                <w:szCs w:val="24"/>
                <w:lang w:eastAsia="zh-CN"/>
                <w14:textFill>
                  <w14:solidFill>
                    <w14:schemeClr w14:val="tx1"/>
                  </w14:solidFill>
                </w14:textFill>
              </w:rPr>
              <w:t>，经投加消毒剂（建议采用次氯酸钠）消毒后即可回用于绿化或场地浇洒使用。</w:t>
            </w:r>
            <w:r>
              <w:rPr>
                <w:rFonts w:hint="default" w:ascii="Times New Roman" w:hAnsi="Times New Roman" w:eastAsia="宋体" w:cs="Times New Roman"/>
                <w:color w:val="000000" w:themeColor="text1"/>
                <w14:textFill>
                  <w14:solidFill>
                    <w14:schemeClr w14:val="tx1"/>
                  </w14:solidFill>
                </w14:textFill>
              </w:rPr>
              <w:t>该设备投资和运行费用低廉；系统控制自动化程度高，操作简单，出水水质高且水质稳定。</w:t>
            </w:r>
          </w:p>
          <w:p w14:paraId="32BE4262">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object>
                <v:shape id="_x0000_i1029" o:spt="75" type="#_x0000_t75" style="height:75.75pt;width:383.75pt;" o:ole="t" filled="f" o:preferrelative="t" stroked="f" coordsize="21600,21600">
                  <v:path/>
                  <v:fill on="f" focussize="0,0"/>
                  <v:stroke on="f"/>
                  <v:imagedata r:id="rId28" croptop="6683f" cropbottom="8479f" o:title=""/>
                  <o:lock v:ext="edit" grouping="f" rotation="f" text="f" aspectratio="t"/>
                  <w10:wrap type="none"/>
                  <w10:anchorlock/>
                </v:shape>
                <o:OLEObject Type="Embed" ProgID="Visio.Drawing.11" ShapeID="_x0000_i1029" DrawAspect="Content" ObjectID="_1468075729" r:id="rId27">
                  <o:LockedField>false</o:LockedField>
                </o:OLEObject>
              </w:object>
            </w:r>
          </w:p>
          <w:p w14:paraId="45E33F29">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图4-</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 xml:space="preserve">  一体化污水处理设备工艺流程图</w:t>
            </w:r>
          </w:p>
          <w:p w14:paraId="019AC2A3">
            <w:pPr>
              <w:pStyle w:val="48"/>
              <w:autoSpaceDE/>
              <w:autoSpaceDN/>
              <w:adjustRightInd/>
              <w:spacing w:line="360" w:lineRule="auto"/>
              <w:ind w:firstLine="480"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经过上述工艺处理后的生活污水出水水质可满足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《城市污水再生利用 城市杂用水水质》（GB/T18920-2020）绿化、道路清扫标准</w:t>
            </w:r>
            <w:r>
              <w:rPr>
                <w:rFonts w:hint="default" w:ascii="Times New Roman" w:hAnsi="Times New Roman" w:eastAsia="宋体" w:cs="Times New Roman"/>
                <w:bCs/>
                <w:color w:val="000000" w:themeColor="text1"/>
                <w:sz w:val="24"/>
                <w:lang w:val="en-US" w:eastAsia="zh-CN"/>
                <w14:textFill>
                  <w14:solidFill>
                    <w14:schemeClr w14:val="tx1"/>
                  </w14:solidFill>
                </w14:textFill>
              </w:rPr>
              <w:t>。因此本项目废水进行处理是可行的。</w:t>
            </w:r>
          </w:p>
          <w:p w14:paraId="6050C8CB">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2）远期生活污水处置可行性分析</w:t>
            </w:r>
          </w:p>
          <w:p w14:paraId="410A103B">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远期待园区污水处理厂正常运行后，产生的生活污水通过化粪池预处理。，达到《污水综合排放标准》（GB8978-1996）表4三级标准及《污水排入城镇下水道水质标准》（GB/T31962-2015）</w:t>
            </w:r>
            <w:r>
              <w:rPr>
                <w:rFonts w:hint="eastAsia" w:cs="Times New Roman"/>
                <w:color w:val="000000" w:themeColor="text1"/>
                <w:sz w:val="24"/>
                <w:szCs w:val="24"/>
                <w:lang w:val="en-US" w:eastAsia="zh-CN"/>
                <w14:textFill>
                  <w14:solidFill>
                    <w14:schemeClr w14:val="tx1"/>
                  </w14:solidFill>
                </w14:textFill>
              </w:rPr>
              <w:t>表1A等级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标准规定的最严标准值后，排入园区市政污水管网，进入园区污水处理厂处理</w:t>
            </w:r>
          </w:p>
          <w:p w14:paraId="59ABD9C0">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筑给水排水设计规范》（GB50015-2003）要求：化粪池有效停留时间取12~24h。污水的排放量变化大会影响化粪池的污水处理效果，预留污水有效停留时间有利于保证化粪池污水处理效果。本项目生活污水产生量为</w:t>
            </w:r>
            <w:r>
              <w:rPr>
                <w:rFonts w:hint="eastAsia" w:cs="Times New Roman"/>
                <w:color w:val="000000" w:themeColor="text1"/>
                <w:sz w:val="24"/>
                <w:lang w:val="en-US" w:eastAsia="zh-CN"/>
                <w14:textFill>
                  <w14:solidFill>
                    <w14:schemeClr w14:val="tx1"/>
                  </w14:solidFill>
                </w14:textFill>
              </w:rPr>
              <w:t>440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，1.467</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。现有10m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化粪池能够满足《建筑给水排水设计规范》（GB50015-2003）有效停留时间相关要求。</w:t>
            </w:r>
          </w:p>
          <w:p w14:paraId="183E0C87">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化粪池是处理粪便并加以过滤沉淀的设备，其原理是：经分解和澄清后的上层的水化物进入管道流走，下层沉淀的固化物（粪便等垃圾）进一步水解，最后成为污泥被清掏。一般情况下，化粪池对于COD及SS的去除率为20%、30%左右，对其他污染物去除能力较差。生活污水经化粪池预处理后，各污染物排放浓度能够达到园区污水处理厂的接收标准，故生活污水处理措施有可行性。</w:t>
            </w:r>
          </w:p>
          <w:p w14:paraId="7A94F63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14:textFill>
                  <w14:solidFill>
                    <w14:schemeClr w14:val="tx1"/>
                  </w14:solidFill>
                </w14:textFill>
              </w:rPr>
              <w:t>）玉溪高新区龙泉园区启动区污水处理厂概况</w:t>
            </w:r>
          </w:p>
          <w:p w14:paraId="502219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根据《</w:t>
            </w:r>
            <w:r>
              <w:rPr>
                <w:rFonts w:hint="default" w:ascii="Times New Roman" w:hAnsi="Times New Roman" w:cs="Times New Roman"/>
                <w:color w:val="000000" w:themeColor="text1"/>
                <w:sz w:val="24"/>
                <w:szCs w:val="24"/>
                <w:lang w:val="en-US" w:eastAsia="zh-CN"/>
                <w14:textFill>
                  <w14:solidFill>
                    <w14:schemeClr w14:val="tx1"/>
                  </w14:solidFill>
                </w14:textFill>
              </w:rPr>
              <w:t>玉溪高新技术产业开发区总体规划修编（2021-2035 年） 环境影响报告书</w:t>
            </w:r>
            <w:r>
              <w:rPr>
                <w:rFonts w:hint="default" w:ascii="Times New Roman" w:hAnsi="Times New Roman" w:cs="Times New Roman"/>
                <w:color w:val="000000" w:themeColor="text1"/>
                <w:sz w:val="24"/>
                <w:szCs w:val="24"/>
                <w:lang w:eastAsia="zh-CN"/>
                <w14:textFill>
                  <w14:solidFill>
                    <w14:schemeClr w14:val="tx1"/>
                  </w14:solidFill>
                </w14:textFill>
              </w:rPr>
              <w:t>》。</w:t>
            </w:r>
          </w:p>
          <w:p w14:paraId="4E7592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2019 年龙泉片区进行了启动区污水处理工程（一期）建设，2020年3月18日组织了工程竣工验收，因片区内现状企业数量少，且生产污水企业自有设施处理后回用，现暂未运行。</w:t>
            </w:r>
          </w:p>
          <w:p w14:paraId="60EE3B7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设计规模：</w:t>
            </w:r>
            <w:r>
              <w:rPr>
                <w:rFonts w:hint="default" w:ascii="Times New Roman" w:hAnsi="Times New Roman" w:cs="Times New Roman"/>
                <w:color w:val="000000" w:themeColor="text1"/>
                <w:sz w:val="24"/>
                <w:szCs w:val="24"/>
                <w:lang w:val="en-US" w:eastAsia="zh-CN"/>
                <w14:textFill>
                  <w14:solidFill>
                    <w14:schemeClr w14:val="tx1"/>
                  </w14:solidFill>
                </w14:textFill>
              </w:rPr>
              <w:t>该工程总投资1961.92万元，位于龙启路（规划）与江义街交叉口东侧，云南联塑科技发展有限公司北侧。设计服务范围为龙泉片区启动区，即龙泉园区的南片区，东邻前卫镇、大街镇，南邻玉江大道（玉江高速），西靠老尖山，北至云平村。建成规模500m³/d，远期建设规模1.5万m³/d。</w:t>
            </w:r>
          </w:p>
          <w:p w14:paraId="7B8E8E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处理工艺：</w:t>
            </w:r>
            <w:r>
              <w:rPr>
                <w:rFonts w:hint="default" w:ascii="Times New Roman" w:hAnsi="Times New Roman" w:cs="Times New Roman"/>
                <w:color w:val="000000" w:themeColor="text1"/>
                <w:sz w:val="24"/>
                <w:szCs w:val="24"/>
                <w:lang w:val="en-US" w:eastAsia="zh-CN"/>
                <w14:textFill>
                  <w14:solidFill>
                    <w14:schemeClr w14:val="tx1"/>
                  </w14:solidFill>
                </w14:textFill>
              </w:rPr>
              <w:t>龙泉园区启动区污水经污水主干管自流入厂内粗格栅间、进水提升泵房，污水经水泵提升至细格栅间、平流沉砂池，沉砂池前的进水渠道上设置细格栅，以保证后续处理设施的正常运行。上述处理段主要去除水中的悬浮物或漂浮物以及砂粒、油类，为污水的一级处理阶段。原水经过粗格栅过滤，去除污水中的固体悬浮物，进入调节池。然后经由进水泵提升至沉砂池除砂，然后经过1mm 孔径细格栅过滤，进一步去除污水中的悬浮物，之后进入选择池，回流污泥也回流至选择池，泥水混合物均匀分配后，进入 MABR 反应装置。绝大部分污染物在此被去除。经过 MABR 工艺处理后的泥水混合物进入二沉池，进行泥水分离。二沉池底部污泥大部分回流至选择池，少量污泥作为剩余污泥暂存于污泥储存池，外运处置。二沉池出水进入二级水池，加 PAC 除磷，然后进入砂滤单元，出水进入三级水池，然后进入紫外消毒，出水需达《城镇污水处理厂污染物排放标准》（GB18918-2002）一级A标准和《城市污水再生利用 城市杂用水水质》（GB/T 18920-2020）要求，用于园区道路、绿地浇洒和农田灌溉。</w:t>
            </w:r>
          </w:p>
          <w:p w14:paraId="56EB4BF3">
            <w:pPr>
              <w:keepLines/>
              <w:tabs>
                <w:tab w:val="left" w:pos="4830"/>
              </w:tabs>
              <w:spacing w:line="360" w:lineRule="auto"/>
              <w:ind w:firstLine="480" w:firstLineChars="200"/>
              <w:jc w:val="left"/>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本项目所在路段已建成污水管网，且已经接通至龙泉园区启动区污水处理厂</w:t>
            </w:r>
            <w:r>
              <w:rPr>
                <w:rFonts w:hint="eastAsia" w:cs="Times New Roman"/>
                <w:b w:val="0"/>
                <w:bCs/>
                <w:color w:val="000000" w:themeColor="text1"/>
                <w:sz w:val="24"/>
                <w:lang w:eastAsia="zh-CN"/>
                <w14:textFill>
                  <w14:solidFill>
                    <w14:schemeClr w14:val="tx1"/>
                  </w14:solidFill>
                </w14:textFill>
              </w:rPr>
              <w:t>，待园区污水处理厂正常运行后，本项目生活污水可进入市政管网最终进入园区污水处理厂处理</w:t>
            </w:r>
            <w:r>
              <w:rPr>
                <w:rFonts w:hint="default" w:ascii="Times New Roman" w:hAnsi="Times New Roman" w:eastAsia="宋体" w:cs="Times New Roman"/>
                <w:b w:val="0"/>
                <w:bCs/>
                <w:color w:val="000000" w:themeColor="text1"/>
                <w:sz w:val="24"/>
                <w14:textFill>
                  <w14:solidFill>
                    <w14:schemeClr w14:val="tx1"/>
                  </w14:solidFill>
                </w14:textFill>
              </w:rPr>
              <w:t>。</w:t>
            </w:r>
          </w:p>
          <w:p w14:paraId="68686A0B">
            <w:pPr>
              <w:keepLines/>
              <w:tabs>
                <w:tab w:val="left" w:pos="4830"/>
              </w:tabs>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（4）废水自行监测</w:t>
            </w:r>
          </w:p>
          <w:p w14:paraId="191F2AA1">
            <w:pPr>
              <w:pStyle w:val="48"/>
              <w:autoSpaceDE/>
              <w:autoSpaceDN/>
              <w:adjustRightInd/>
              <w:spacing w:line="360" w:lineRule="auto"/>
              <w:ind w:firstLine="480" w:firstLineChars="200"/>
              <w:rPr>
                <w:rFonts w:hint="default" w:ascii="Times New Roman" w:hAnsi="Times New Roman" w:eastAsia="宋体" w:cs="Times New Roman"/>
                <w:color w:val="000000" w:themeColor="text1"/>
                <w:szCs w:val="32"/>
                <w:lang w:eastAsia="zh-CN"/>
                <w14:textFill>
                  <w14:solidFill>
                    <w14:schemeClr w14:val="tx1"/>
                  </w14:solidFill>
                </w14:textFill>
              </w:rPr>
            </w:pPr>
            <w:r>
              <w:rPr>
                <w:rFonts w:hint="default" w:ascii="Times New Roman" w:hAnsi="Times New Roman" w:eastAsia="宋体" w:cs="Times New Roman"/>
                <w:color w:val="000000" w:themeColor="text1"/>
                <w:szCs w:val="32"/>
                <w:lang w:eastAsia="zh-CN"/>
                <w14:textFill>
                  <w14:solidFill>
                    <w14:schemeClr w14:val="tx1"/>
                  </w14:solidFill>
                </w14:textFill>
              </w:rPr>
              <w:t>本项目生产过程中无废水产生；近期生活污水经处理达标后回用于绿化，不外排，无生活污水排口</w:t>
            </w:r>
            <w:r>
              <w:rPr>
                <w:rFonts w:hint="eastAsia" w:ascii="Times New Roman" w:hAnsi="Times New Roman" w:eastAsia="宋体" w:cs="Times New Roman"/>
                <w:color w:val="000000" w:themeColor="text1"/>
                <w:szCs w:val="32"/>
                <w:lang w:eastAsia="zh-CN"/>
                <w14:textFill>
                  <w14:solidFill>
                    <w14:schemeClr w14:val="tx1"/>
                  </w14:solidFill>
                </w14:textFill>
              </w:rPr>
              <w:t>，故近期不设置自行监测指标</w:t>
            </w:r>
            <w:r>
              <w:rPr>
                <w:rFonts w:hint="default" w:ascii="Times New Roman" w:hAnsi="Times New Roman" w:eastAsia="宋体" w:cs="Times New Roman"/>
                <w:color w:val="000000" w:themeColor="text1"/>
                <w:szCs w:val="32"/>
                <w:lang w:eastAsia="zh-CN"/>
                <w14:textFill>
                  <w14:solidFill>
                    <w14:schemeClr w14:val="tx1"/>
                  </w14:solidFill>
                </w14:textFill>
              </w:rPr>
              <w:t>。</w:t>
            </w:r>
          </w:p>
          <w:p w14:paraId="2B18433C">
            <w:pPr>
              <w:pStyle w:val="48"/>
              <w:autoSpaceDE/>
              <w:autoSpaceDN/>
              <w:adjustRightInd/>
              <w:spacing w:line="360" w:lineRule="auto"/>
              <w:ind w:firstLine="480" w:firstLineChars="200"/>
              <w:rPr>
                <w:rFonts w:hint="default" w:ascii="Times New Roman" w:hAnsi="Times New Roman" w:eastAsia="宋体" w:cs="Times New Roman"/>
                <w:color w:val="000000" w:themeColor="text1"/>
                <w:szCs w:val="32"/>
                <w:lang w:val="en-US" w:eastAsia="zh-CN"/>
                <w14:textFill>
                  <w14:solidFill>
                    <w14:schemeClr w14:val="tx1"/>
                  </w14:solidFill>
                </w14:textFill>
              </w:rPr>
            </w:pPr>
            <w:r>
              <w:rPr>
                <w:rFonts w:hint="default" w:ascii="Times New Roman" w:hAnsi="Times New Roman" w:eastAsia="宋体" w:cs="Times New Roman"/>
                <w:color w:val="000000" w:themeColor="text1"/>
                <w:szCs w:val="32"/>
                <w:lang w:eastAsia="zh-CN"/>
                <w14:textFill>
                  <w14:solidFill>
                    <w14:schemeClr w14:val="tx1"/>
                  </w14:solidFill>
                </w14:textFill>
              </w:rPr>
              <w:t>远期生活污水经化粪池处理达标后进入市政污水管网，最终进入园区污水处理厂，设置有</w:t>
            </w:r>
            <w:r>
              <w:rPr>
                <w:rFonts w:hint="default" w:ascii="Times New Roman" w:hAnsi="Times New Roman" w:eastAsia="宋体" w:cs="Times New Roman"/>
                <w:color w:val="000000" w:themeColor="text1"/>
                <w:szCs w:val="32"/>
                <w:lang w:val="en-US" w:eastAsia="zh-CN"/>
                <w14:textFill>
                  <w14:solidFill>
                    <w14:schemeClr w14:val="tx1"/>
                  </w14:solidFill>
                </w14:textFill>
              </w:rPr>
              <w:t>1个生活污水间接排放口</w:t>
            </w:r>
            <w:r>
              <w:rPr>
                <w:rFonts w:hint="default" w:ascii="Times New Roman" w:hAnsi="Times New Roman" w:eastAsia="宋体" w:cs="Times New Roman"/>
                <w:color w:val="000000" w:themeColor="text1"/>
                <w:szCs w:val="32"/>
                <w:lang w:eastAsia="zh-CN"/>
                <w14:textFill>
                  <w14:solidFill>
                    <w14:schemeClr w14:val="tx1"/>
                  </w14:solidFill>
                </w14:textFill>
              </w:rPr>
              <w:t>。</w:t>
            </w:r>
            <w:r>
              <w:rPr>
                <w:rFonts w:hint="default" w:ascii="Times New Roman" w:hAnsi="Times New Roman" w:eastAsia="宋体" w:cs="Times New Roman"/>
                <w:color w:val="000000" w:themeColor="text1"/>
                <w:szCs w:val="32"/>
                <w:lang w:val="en-US" w:eastAsia="zh-CN"/>
                <w14:textFill>
                  <w14:solidFill>
                    <w14:schemeClr w14:val="tx1"/>
                  </w14:solidFill>
                </w14:textFill>
              </w:rPr>
              <w:t>根据</w:t>
            </w:r>
            <w:r>
              <w:rPr>
                <w:rFonts w:hint="default" w:ascii="Times New Roman" w:hAnsi="Times New Roman" w:eastAsia="宋体" w:cs="Times New Roman"/>
                <w:color w:val="000000" w:themeColor="text1"/>
                <w:szCs w:val="32"/>
                <w:lang w:eastAsia="zh-CN"/>
                <w14:textFill>
                  <w14:solidFill>
                    <w14:schemeClr w14:val="tx1"/>
                  </w14:solidFill>
                </w14:textFill>
              </w:rPr>
              <w:t>《排污单位自行监测技术指南 印刷工业》（</w:t>
            </w:r>
            <w:r>
              <w:rPr>
                <w:rFonts w:hint="default" w:ascii="Times New Roman" w:hAnsi="Times New Roman" w:eastAsia="宋体" w:cs="Times New Roman"/>
                <w:color w:val="000000" w:themeColor="text1"/>
                <w:szCs w:val="32"/>
                <w:lang w:val="en-US" w:eastAsia="zh-CN"/>
                <w14:textFill>
                  <w14:solidFill>
                    <w14:schemeClr w14:val="tx1"/>
                  </w14:solidFill>
                </w14:textFill>
              </w:rPr>
              <w:t>HJ1246-2022</w:t>
            </w:r>
            <w:r>
              <w:rPr>
                <w:rFonts w:hint="default" w:ascii="Times New Roman" w:hAnsi="Times New Roman" w:eastAsia="宋体" w:cs="Times New Roman"/>
                <w:color w:val="000000" w:themeColor="text1"/>
                <w:szCs w:val="32"/>
                <w:lang w:eastAsia="zh-CN"/>
                <w14:textFill>
                  <w14:solidFill>
                    <w14:schemeClr w14:val="tx1"/>
                  </w14:solidFill>
                </w14:textFill>
              </w:rPr>
              <w:t>）</w:t>
            </w:r>
            <w:r>
              <w:rPr>
                <w:rFonts w:hint="default" w:ascii="Times New Roman" w:hAnsi="Times New Roman" w:eastAsia="宋体" w:cs="Times New Roman"/>
                <w:color w:val="000000" w:themeColor="text1"/>
                <w:szCs w:val="32"/>
                <w:lang w:val="en-US" w:eastAsia="zh-CN"/>
                <w14:textFill>
                  <w14:solidFill>
                    <w14:schemeClr w14:val="tx1"/>
                  </w14:solidFill>
                </w14:textFill>
              </w:rPr>
              <w:t>表1中要求，确定本项目废水排放口监测点位、项目、频次。</w:t>
            </w:r>
          </w:p>
          <w:p w14:paraId="4A90373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4"/>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4"/>
                <w:lang w:val="en-US" w:eastAsia="zh-CN"/>
                <w14:textFill>
                  <w14:solidFill>
                    <w14:schemeClr w14:val="tx1"/>
                  </w14:solidFill>
                </w14:textFill>
              </w:rPr>
              <w:t>4-16  HJ1246中废水排放口监测指标及最低监测频次</w:t>
            </w:r>
          </w:p>
          <w:tbl>
            <w:tblPr>
              <w:tblStyle w:val="33"/>
              <w:tblW w:w="49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3316"/>
              <w:gridCol w:w="1394"/>
              <w:gridCol w:w="1378"/>
            </w:tblGrid>
            <w:tr w14:paraId="3BC9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198" w:type="pct"/>
                  <w:vMerge w:val="restart"/>
                  <w:vAlign w:val="center"/>
                </w:tcPr>
                <w:p w14:paraId="4D5238AB">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监测点位</w:t>
                  </w:r>
                </w:p>
              </w:tc>
              <w:tc>
                <w:tcPr>
                  <w:tcW w:w="2070" w:type="pct"/>
                  <w:vMerge w:val="restart"/>
                  <w:vAlign w:val="center"/>
                </w:tcPr>
                <w:p w14:paraId="725A5A95">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监测指标</w:t>
                  </w:r>
                </w:p>
              </w:tc>
              <w:tc>
                <w:tcPr>
                  <w:tcW w:w="1730" w:type="pct"/>
                  <w:gridSpan w:val="2"/>
                  <w:vAlign w:val="center"/>
                </w:tcPr>
                <w:p w14:paraId="6184E274">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监测频次</w:t>
                  </w:r>
                </w:p>
              </w:tc>
            </w:tr>
            <w:tr w14:paraId="7027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198" w:type="pct"/>
                  <w:vMerge w:val="continue"/>
                  <w:vAlign w:val="center"/>
                </w:tcPr>
                <w:p w14:paraId="7BD7C7BB">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070" w:type="pct"/>
                  <w:vMerge w:val="continue"/>
                  <w:vAlign w:val="center"/>
                </w:tcPr>
                <w:p w14:paraId="342167B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70" w:type="pct"/>
                  <w:vAlign w:val="center"/>
                </w:tcPr>
                <w:p w14:paraId="297B7545">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直接排放</w:t>
                  </w:r>
                </w:p>
              </w:tc>
              <w:tc>
                <w:tcPr>
                  <w:tcW w:w="860" w:type="pct"/>
                  <w:vAlign w:val="center"/>
                </w:tcPr>
                <w:p w14:paraId="3833BD3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间接排放</w:t>
                  </w:r>
                </w:p>
              </w:tc>
            </w:tr>
            <w:tr w14:paraId="5D29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198" w:type="pct"/>
                  <w:vAlign w:val="center"/>
                </w:tcPr>
                <w:p w14:paraId="30DE7A1D">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废水总排口</w:t>
                  </w:r>
                </w:p>
              </w:tc>
              <w:tc>
                <w:tcPr>
                  <w:tcW w:w="2070" w:type="pct"/>
                  <w:vAlign w:val="center"/>
                </w:tcPr>
                <w:p w14:paraId="47CAAB01">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pH值、化学需氧量、氨氮、悬浮物、总磷、总氮、五日生化需氧量</w:t>
                  </w:r>
                </w:p>
              </w:tc>
              <w:tc>
                <w:tcPr>
                  <w:tcW w:w="870" w:type="pct"/>
                  <w:vAlign w:val="center"/>
                </w:tcPr>
                <w:p w14:paraId="5B2F215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次/季度</w:t>
                  </w:r>
                </w:p>
              </w:tc>
              <w:tc>
                <w:tcPr>
                  <w:tcW w:w="860" w:type="pct"/>
                  <w:vAlign w:val="center"/>
                </w:tcPr>
                <w:p w14:paraId="76B89A6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次/年</w:t>
                  </w:r>
                </w:p>
              </w:tc>
            </w:tr>
            <w:tr w14:paraId="3844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8" w:type="pct"/>
                  <w:vAlign w:val="center"/>
                </w:tcPr>
                <w:p w14:paraId="39ED5E3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车间或车间处理设施排放口</w:t>
                  </w:r>
                </w:p>
              </w:tc>
              <w:tc>
                <w:tcPr>
                  <w:tcW w:w="2070" w:type="pct"/>
                  <w:vAlign w:val="center"/>
                </w:tcPr>
                <w:p w14:paraId="455472C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总铅、总镉、总汞、六价铬、总铬</w:t>
                  </w:r>
                </w:p>
              </w:tc>
              <w:tc>
                <w:tcPr>
                  <w:tcW w:w="1730" w:type="pct"/>
                  <w:gridSpan w:val="2"/>
                  <w:vAlign w:val="center"/>
                </w:tcPr>
                <w:p w14:paraId="5645BB2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次/季度</w:t>
                  </w:r>
                </w:p>
              </w:tc>
            </w:tr>
            <w:tr w14:paraId="1AB0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8" w:type="pct"/>
                  <w:vAlign w:val="center"/>
                </w:tcPr>
                <w:p w14:paraId="38D453F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生活污水排放口</w:t>
                  </w:r>
                </w:p>
              </w:tc>
              <w:tc>
                <w:tcPr>
                  <w:tcW w:w="2070" w:type="pct"/>
                  <w:vAlign w:val="center"/>
                </w:tcPr>
                <w:p w14:paraId="6BA9492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pH值、化学需氧量、氨氮、悬浮物、总磷、总氮、五日生化需氧量</w:t>
                  </w:r>
                </w:p>
              </w:tc>
              <w:tc>
                <w:tcPr>
                  <w:tcW w:w="870" w:type="pct"/>
                  <w:vAlign w:val="center"/>
                </w:tcPr>
                <w:p w14:paraId="2AAC5FF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 次/季度</w:t>
                  </w:r>
                </w:p>
              </w:tc>
              <w:tc>
                <w:tcPr>
                  <w:tcW w:w="860" w:type="pct"/>
                  <w:vAlign w:val="center"/>
                </w:tcPr>
                <w:p w14:paraId="5667EB0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bl>
          <w:p w14:paraId="06E99C30">
            <w:pPr>
              <w:pStyle w:val="48"/>
              <w:autoSpaceDE/>
              <w:autoSpaceDN/>
              <w:adjustRightInd/>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Cs w:val="32"/>
                <w:lang w:eastAsia="zh-CN"/>
                <w14:textFill>
                  <w14:solidFill>
                    <w14:schemeClr w14:val="tx1"/>
                  </w14:solidFill>
                </w14:textFill>
              </w:rPr>
              <w:t>根据上表，《排污单位自行监测技术指南 印刷工业》（</w:t>
            </w:r>
            <w:r>
              <w:rPr>
                <w:rFonts w:hint="default" w:ascii="Times New Roman" w:hAnsi="Times New Roman" w:eastAsia="宋体" w:cs="Times New Roman"/>
                <w:color w:val="000000" w:themeColor="text1"/>
                <w:szCs w:val="32"/>
                <w:lang w:val="en-US" w:eastAsia="zh-CN"/>
                <w14:textFill>
                  <w14:solidFill>
                    <w14:schemeClr w14:val="tx1"/>
                  </w14:solidFill>
                </w14:textFill>
              </w:rPr>
              <w:t>HJ1246-2022</w:t>
            </w:r>
            <w:r>
              <w:rPr>
                <w:rFonts w:hint="default" w:ascii="Times New Roman" w:hAnsi="Times New Roman" w:eastAsia="宋体" w:cs="Times New Roman"/>
                <w:color w:val="000000" w:themeColor="text1"/>
                <w:szCs w:val="32"/>
                <w:lang w:eastAsia="zh-CN"/>
                <w14:textFill>
                  <w14:solidFill>
                    <w14:schemeClr w14:val="tx1"/>
                  </w14:solidFill>
                </w14:textFill>
              </w:rPr>
              <w:t>）中远期生活污水排放口间接排放方式无监测频次要求，故本项目</w:t>
            </w:r>
            <w:r>
              <w:rPr>
                <w:rFonts w:hint="eastAsia" w:ascii="Times New Roman" w:hAnsi="Times New Roman" w:eastAsia="宋体" w:cs="Times New Roman"/>
                <w:color w:val="000000" w:themeColor="text1"/>
                <w:szCs w:val="32"/>
                <w:lang w:eastAsia="zh-CN"/>
                <w14:textFill>
                  <w14:solidFill>
                    <w14:schemeClr w14:val="tx1"/>
                  </w14:solidFill>
                </w14:textFill>
              </w:rPr>
              <w:t>远期</w:t>
            </w:r>
            <w:r>
              <w:rPr>
                <w:rFonts w:hint="default" w:ascii="Times New Roman" w:hAnsi="Times New Roman" w:eastAsia="宋体" w:cs="Times New Roman"/>
                <w:color w:val="000000" w:themeColor="text1"/>
                <w:szCs w:val="32"/>
                <w:lang w:eastAsia="zh-CN"/>
                <w14:textFill>
                  <w14:solidFill>
                    <w14:schemeClr w14:val="tx1"/>
                  </w14:solidFill>
                </w14:textFill>
              </w:rPr>
              <w:t>不设置废水自行监测指标。</w:t>
            </w:r>
          </w:p>
          <w:p w14:paraId="0C963DE5">
            <w:pPr>
              <w:keepLines/>
              <w:spacing w:line="360" w:lineRule="auto"/>
              <w:ind w:firstLine="482"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14:textFill>
                  <w14:solidFill>
                    <w14:schemeClr w14:val="tx1"/>
                  </w14:solidFill>
                </w14:textFill>
              </w:rPr>
              <w:t>）结论</w:t>
            </w:r>
          </w:p>
          <w:p w14:paraId="45B78CB7">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项目采取雨污分流制。雨水经厂区周边现有雨水沟收集后进入市政雨水管网</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029D72EA">
            <w:pPr>
              <w:keepNext w:val="0"/>
              <w:keepLines w:val="0"/>
              <w:pageBreakBefore w:val="0"/>
              <w:widowControl w:val="0"/>
              <w:kinsoku/>
              <w:wordWrap w:val="0"/>
              <w:overflowPunct/>
              <w:topLinePunct/>
              <w:autoSpaceDE/>
              <w:autoSpaceDN/>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生产</w:t>
            </w:r>
            <w:r>
              <w:rPr>
                <w:rFonts w:hint="default" w:ascii="Times New Roman" w:hAnsi="Times New Roman" w:eastAsia="宋体" w:cs="Times New Roman"/>
                <w:color w:val="000000" w:themeColor="text1"/>
                <w:sz w:val="24"/>
                <w:szCs w:val="24"/>
                <w:lang w:eastAsia="zh-CN"/>
                <w14:textFill>
                  <w14:solidFill>
                    <w14:schemeClr w14:val="tx1"/>
                  </w14:solidFill>
                </w14:textFill>
              </w:rPr>
              <w:t>过程中不产生生产废水，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对印刷设备进行清理时均采用抹布蘸取少量油墨清洗剂对设备进行擦拭，无清洗废水产生。</w:t>
            </w:r>
          </w:p>
          <w:p w14:paraId="785C8068">
            <w:pPr>
              <w:keepNext w:val="0"/>
              <w:keepLines w:val="0"/>
              <w:pageBreakBefore w:val="0"/>
              <w:widowControl w:val="0"/>
              <w:kinsoku/>
              <w:wordWrap w:val="0"/>
              <w:overflowPunct/>
              <w:topLinePunct/>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本项目运行过程中废水主要为生活污水。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近期由于园区污水处理厂暂未正常运行，生活污水经化粪池预处理后进入自建生活污水处理设施处理达《城市污水再生利用 城市杂用水水质》（GB/T18920-2020）中绿化标准后用于厂区周边绿化，</w:t>
            </w:r>
            <w:r>
              <w:rPr>
                <w:rFonts w:hint="eastAsia" w:cs="Times New Roman"/>
                <w:color w:val="000000" w:themeColor="text1"/>
                <w:sz w:val="24"/>
                <w:szCs w:val="24"/>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，留待晴天使用；远期待园区污水处理厂正常运行后，产生的生活污水通过化粪池预处理，达到《污水综合排放标准》（GB8978-1996）表4三级标准及《污水排入城镇下水道水质标准》（GB/T31962-2015）</w:t>
            </w:r>
            <w:r>
              <w:rPr>
                <w:rFonts w:hint="eastAsia" w:cs="Times New Roman"/>
                <w:color w:val="000000" w:themeColor="text1"/>
                <w:sz w:val="24"/>
                <w:szCs w:val="24"/>
                <w:lang w:val="en-US" w:eastAsia="zh-CN"/>
                <w14:textFill>
                  <w14:solidFill>
                    <w14:schemeClr w14:val="tx1"/>
                  </w14:solidFill>
                </w14:textFill>
              </w:rPr>
              <w:t>表1A等级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标准规定的最严标准值后，排入园区市政污水管网，进入园区污水处理厂处理。</w:t>
            </w:r>
          </w:p>
          <w:p w14:paraId="4E34DFA6">
            <w:pPr>
              <w:keepLines/>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综上分析，项目</w:t>
            </w:r>
            <w:r>
              <w:rPr>
                <w:rFonts w:hint="default" w:ascii="Times New Roman" w:hAnsi="Times New Roman" w:eastAsia="宋体" w:cs="Times New Roman"/>
                <w:color w:val="000000" w:themeColor="text1"/>
                <w:sz w:val="24"/>
                <w:lang w:eastAsia="zh-CN"/>
                <w14:textFill>
                  <w14:solidFill>
                    <w14:schemeClr w14:val="tx1"/>
                  </w14:solidFill>
                </w14:textFill>
              </w:rPr>
              <w:t>废水</w:t>
            </w:r>
            <w:r>
              <w:rPr>
                <w:rFonts w:hint="default" w:ascii="Times New Roman" w:hAnsi="Times New Roman" w:eastAsia="宋体" w:cs="Times New Roman"/>
                <w:color w:val="000000" w:themeColor="text1"/>
                <w:sz w:val="24"/>
                <w14:textFill>
                  <w14:solidFill>
                    <w14:schemeClr w14:val="tx1"/>
                  </w14:solidFill>
                </w14:textFill>
              </w:rPr>
              <w:t>处理方式从环境保护角度分析可行，对周边的水环境影响不大。</w:t>
            </w:r>
          </w:p>
          <w:p w14:paraId="21649D8E">
            <w:pPr>
              <w:keepLines/>
              <w:spacing w:line="360" w:lineRule="auto"/>
              <w:ind w:firstLine="482"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3、声环境影响和保护措施</w:t>
            </w:r>
          </w:p>
          <w:p w14:paraId="7D609595">
            <w:pPr>
              <w:keepLines/>
              <w:spacing w:line="360" w:lineRule="auto"/>
              <w:ind w:firstLine="482"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（1）噪声源强分析</w:t>
            </w:r>
          </w:p>
          <w:p w14:paraId="1DB8ACA5">
            <w:pPr>
              <w:keepLines/>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本项目噪声源主要为印刷机、复合机、分切机、制袋机等设备运行时产生的机械噪声</w:t>
            </w:r>
            <w:r>
              <w:rPr>
                <w:rFonts w:hint="default" w:ascii="Times New Roman" w:hAnsi="Times New Roman" w:eastAsia="宋体" w:cs="Times New Roman"/>
                <w:color w:val="000000" w:themeColor="text1"/>
                <w:sz w:val="24"/>
                <w14:textFill>
                  <w14:solidFill>
                    <w14:schemeClr w14:val="tx1"/>
                  </w14:solidFill>
                </w14:textFill>
              </w:rPr>
              <w:t>，其噪声值约为</w:t>
            </w:r>
            <w:r>
              <w:rPr>
                <w:rFonts w:hint="default" w:ascii="Times New Roman" w:hAnsi="Times New Roman" w:eastAsia="宋体" w:cs="Times New Roman"/>
                <w:color w:val="000000" w:themeColor="text1"/>
                <w:sz w:val="24"/>
                <w:lang w:val="en-US" w:eastAsia="zh-CN"/>
                <w14:textFill>
                  <w14:solidFill>
                    <w14:schemeClr w14:val="tx1"/>
                  </w14:solidFill>
                </w14:textFill>
              </w:rPr>
              <w:t>70</w:t>
            </w:r>
            <w:r>
              <w:rPr>
                <w:rFonts w:hint="default" w:ascii="Times New Roman" w:hAnsi="Times New Roman" w:eastAsia="宋体" w:cs="Times New Roman"/>
                <w:color w:val="000000" w:themeColor="text1"/>
                <w:sz w:val="24"/>
                <w14:textFill>
                  <w14:solidFill>
                    <w14:schemeClr w14:val="tx1"/>
                  </w14:solidFill>
                </w14:textFill>
              </w:rPr>
              <w:t>~8</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dB（A）。</w:t>
            </w:r>
          </w:p>
          <w:p w14:paraId="0AAE0AC0">
            <w:pPr>
              <w:keepLines/>
              <w:spacing w:line="360" w:lineRule="auto"/>
              <w:ind w:firstLine="480" w:firstLineChars="200"/>
              <w:jc w:val="left"/>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坐标原点为厂区边界</w:t>
            </w:r>
            <w:r>
              <w:rPr>
                <w:rFonts w:hint="default" w:ascii="Times New Roman" w:hAnsi="Times New Roman" w:eastAsia="宋体" w:cs="Times New Roman"/>
                <w:color w:val="000000" w:themeColor="text1"/>
                <w:sz w:val="24"/>
                <w:lang w:eastAsia="zh-CN"/>
                <w14:textFill>
                  <w14:solidFill>
                    <w14:schemeClr w14:val="tx1"/>
                  </w14:solidFill>
                </w14:textFill>
              </w:rPr>
              <w:t>最</w:t>
            </w:r>
            <w:r>
              <w:rPr>
                <w:rFonts w:hint="default" w:ascii="Times New Roman" w:hAnsi="Times New Roman" w:eastAsia="宋体" w:cs="Times New Roman"/>
                <w:color w:val="000000" w:themeColor="text1"/>
                <w:sz w:val="24"/>
                <w14:textFill>
                  <w14:solidFill>
                    <w14:schemeClr w14:val="tx1"/>
                  </w14:solidFill>
                </w14:textFill>
              </w:rPr>
              <w:t>西</w:t>
            </w:r>
            <w:r>
              <w:rPr>
                <w:rFonts w:hint="default" w:ascii="Times New Roman" w:hAnsi="Times New Roman" w:eastAsia="宋体" w:cs="Times New Roman"/>
                <w:color w:val="000000" w:themeColor="text1"/>
                <w:sz w:val="24"/>
                <w:lang w:eastAsia="zh-CN"/>
                <w14:textFill>
                  <w14:solidFill>
                    <w14:schemeClr w14:val="tx1"/>
                  </w14:solidFill>
                </w14:textFill>
              </w:rPr>
              <w:t>侧</w:t>
            </w:r>
            <w:r>
              <w:rPr>
                <w:rFonts w:hint="default" w:ascii="Times New Roman" w:hAnsi="Times New Roman" w:eastAsia="宋体" w:cs="Times New Roman"/>
                <w:color w:val="000000" w:themeColor="text1"/>
                <w:sz w:val="24"/>
                <w14:textFill>
                  <w14:solidFill>
                    <w14:schemeClr w14:val="tx1"/>
                  </w14:solidFill>
                </w14:textFill>
              </w:rPr>
              <w:t>，原点以东方向为X轴正方向，原点以北方向为Y轴正方向。</w:t>
            </w:r>
          </w:p>
          <w:p w14:paraId="121EC9F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17</w:t>
            </w:r>
            <w:r>
              <w:rPr>
                <w:rFonts w:hint="default" w:ascii="Times New Roman" w:hAnsi="Times New Roman" w:eastAsia="宋体" w:cs="Times New Roman"/>
                <w:b/>
                <w:color w:val="000000" w:themeColor="text1"/>
                <w:sz w:val="21"/>
                <w:szCs w:val="21"/>
                <w14:textFill>
                  <w14:solidFill>
                    <w14:schemeClr w14:val="tx1"/>
                  </w14:solidFill>
                </w14:textFill>
              </w:rPr>
              <w:t xml:space="preserve">  噪声源强调查清单（室内声源）</w:t>
            </w:r>
          </w:p>
          <w:tbl>
            <w:tblPr>
              <w:tblStyle w:val="32"/>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69"/>
              <w:gridCol w:w="426"/>
              <w:gridCol w:w="1040"/>
              <w:gridCol w:w="847"/>
              <w:gridCol w:w="780"/>
              <w:gridCol w:w="636"/>
              <w:gridCol w:w="432"/>
              <w:gridCol w:w="780"/>
              <w:gridCol w:w="631"/>
              <w:gridCol w:w="700"/>
              <w:gridCol w:w="782"/>
              <w:gridCol w:w="427"/>
            </w:tblGrid>
            <w:tr w14:paraId="7CFCD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353" w:type="pct"/>
                  <w:vMerge w:val="restart"/>
                  <w:vAlign w:val="center"/>
                </w:tcPr>
                <w:p w14:paraId="6A65769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264" w:type="pct"/>
                  <w:vMerge w:val="restart"/>
                  <w:vAlign w:val="center"/>
                </w:tcPr>
                <w:p w14:paraId="155B94B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建筑物名称</w:t>
                  </w:r>
                </w:p>
              </w:tc>
              <w:tc>
                <w:tcPr>
                  <w:tcW w:w="645" w:type="pct"/>
                  <w:vMerge w:val="restart"/>
                  <w:vAlign w:val="center"/>
                </w:tcPr>
                <w:p w14:paraId="2347BA3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声源名称</w:t>
                  </w:r>
                </w:p>
              </w:tc>
              <w:tc>
                <w:tcPr>
                  <w:tcW w:w="525" w:type="pct"/>
                  <w:vAlign w:val="center"/>
                </w:tcPr>
                <w:p w14:paraId="752AD23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空间相对位置/m</w:t>
                  </w:r>
                </w:p>
              </w:tc>
              <w:tc>
                <w:tcPr>
                  <w:tcW w:w="484" w:type="pct"/>
                  <w:vAlign w:val="center"/>
                </w:tcPr>
                <w:p w14:paraId="2052A72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声源源强</w:t>
                  </w:r>
                </w:p>
              </w:tc>
              <w:tc>
                <w:tcPr>
                  <w:tcW w:w="394" w:type="pct"/>
                  <w:vMerge w:val="restart"/>
                  <w:vAlign w:val="center"/>
                </w:tcPr>
                <w:p w14:paraId="4065D08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声源控制措施</w:t>
                  </w:r>
                </w:p>
              </w:tc>
              <w:tc>
                <w:tcPr>
                  <w:tcW w:w="268" w:type="pct"/>
                  <w:vMerge w:val="restart"/>
                  <w:vAlign w:val="center"/>
                </w:tcPr>
                <w:p w14:paraId="59EC881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距室内边界距离/m</w:t>
                  </w:r>
                </w:p>
              </w:tc>
              <w:tc>
                <w:tcPr>
                  <w:tcW w:w="484" w:type="pct"/>
                  <w:vMerge w:val="restart"/>
                  <w:vAlign w:val="center"/>
                </w:tcPr>
                <w:p w14:paraId="71E4EB6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室内边界声级/dB（A）</w:t>
                  </w:r>
                </w:p>
              </w:tc>
              <w:tc>
                <w:tcPr>
                  <w:tcW w:w="391" w:type="pct"/>
                  <w:vMerge w:val="restart"/>
                  <w:vAlign w:val="center"/>
                </w:tcPr>
                <w:p w14:paraId="116D7F5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运行时段h/a</w:t>
                  </w:r>
                </w:p>
              </w:tc>
              <w:tc>
                <w:tcPr>
                  <w:tcW w:w="434" w:type="pct"/>
                  <w:vMerge w:val="restart"/>
                  <w:vAlign w:val="center"/>
                </w:tcPr>
                <w:p w14:paraId="155E94C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建筑物插入损失/dB（A）</w:t>
                  </w:r>
                </w:p>
              </w:tc>
              <w:tc>
                <w:tcPr>
                  <w:tcW w:w="750" w:type="pct"/>
                  <w:gridSpan w:val="2"/>
                  <w:vAlign w:val="center"/>
                </w:tcPr>
                <w:p w14:paraId="7E93312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建筑物外噪声</w:t>
                  </w:r>
                </w:p>
              </w:tc>
            </w:tr>
            <w:tr w14:paraId="1F560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Merge w:val="continue"/>
                  <w:vAlign w:val="center"/>
                </w:tcPr>
                <w:p w14:paraId="73D8312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4" w:type="pct"/>
                  <w:vMerge w:val="continue"/>
                  <w:vAlign w:val="center"/>
                </w:tcPr>
                <w:p w14:paraId="718407B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Merge w:val="continue"/>
                  <w:vAlign w:val="center"/>
                </w:tcPr>
                <w:p w14:paraId="4031531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5" w:type="pct"/>
                  <w:vAlign w:val="center"/>
                </w:tcPr>
                <w:p w14:paraId="71D0FF0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X，Y，Z</w:t>
                  </w:r>
                </w:p>
              </w:tc>
              <w:tc>
                <w:tcPr>
                  <w:tcW w:w="484" w:type="pct"/>
                  <w:vAlign w:val="center"/>
                </w:tcPr>
                <w:p w14:paraId="03B0E5E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声功率级/dB</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en-US"/>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4" w:type="pct"/>
                  <w:vMerge w:val="continue"/>
                  <w:vAlign w:val="center"/>
                </w:tcPr>
                <w:p w14:paraId="4E53D43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eastAsia="en-US"/>
                      <w14:textFill>
                        <w14:solidFill>
                          <w14:schemeClr w14:val="tx1"/>
                        </w14:solidFill>
                      </w14:textFill>
                    </w:rPr>
                  </w:pPr>
                </w:p>
              </w:tc>
              <w:tc>
                <w:tcPr>
                  <w:tcW w:w="268" w:type="pct"/>
                  <w:vMerge w:val="continue"/>
                  <w:vAlign w:val="center"/>
                </w:tcPr>
                <w:p w14:paraId="7668FBC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84" w:type="pct"/>
                  <w:vMerge w:val="continue"/>
                  <w:vAlign w:val="center"/>
                </w:tcPr>
                <w:p w14:paraId="4234947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91" w:type="pct"/>
                  <w:vMerge w:val="continue"/>
                  <w:vAlign w:val="center"/>
                </w:tcPr>
                <w:p w14:paraId="1904483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Merge w:val="continue"/>
                  <w:vAlign w:val="center"/>
                </w:tcPr>
                <w:p w14:paraId="115F6E2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85" w:type="pct"/>
                  <w:vAlign w:val="center"/>
                </w:tcPr>
                <w:p w14:paraId="0A34182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声压级/dB</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en-US"/>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65" w:type="pct"/>
                  <w:vAlign w:val="center"/>
                </w:tcPr>
                <w:p w14:paraId="4EAE6B7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建筑物外</w:t>
                  </w:r>
                  <w:r>
                    <w:rPr>
                      <w:rFonts w:hint="default" w:ascii="Times New Roman" w:hAnsi="Times New Roman" w:eastAsia="宋体" w:cs="Times New Roman"/>
                      <w:color w:val="000000" w:themeColor="text1"/>
                      <w:sz w:val="21"/>
                      <w:szCs w:val="21"/>
                      <w14:textFill>
                        <w14:solidFill>
                          <w14:schemeClr w14:val="tx1"/>
                        </w14:solidFill>
                      </w14:textFill>
                    </w:rPr>
                    <w:t>距离</w:t>
                  </w:r>
                </w:p>
              </w:tc>
            </w:tr>
            <w:tr w14:paraId="3D4C84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783A516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64" w:type="pct"/>
                  <w:vMerge w:val="restart"/>
                  <w:vAlign w:val="center"/>
                </w:tcPr>
                <w:p w14:paraId="4DA89DB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生产厂房1层</w:t>
                  </w:r>
                </w:p>
              </w:tc>
              <w:tc>
                <w:tcPr>
                  <w:tcW w:w="645" w:type="pct"/>
                  <w:vAlign w:val="center"/>
                </w:tcPr>
                <w:p w14:paraId="7DE1CE62">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印刷机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25" w:type="pct"/>
                  <w:vAlign w:val="center"/>
                </w:tcPr>
                <w:p w14:paraId="6A330478">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56.87,-21.38,1</w:t>
                  </w:r>
                </w:p>
              </w:tc>
              <w:tc>
                <w:tcPr>
                  <w:tcW w:w="484" w:type="pct"/>
                  <w:vAlign w:val="center"/>
                </w:tcPr>
                <w:p w14:paraId="42BECE6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394" w:type="pct"/>
                  <w:vMerge w:val="restart"/>
                  <w:vAlign w:val="center"/>
                </w:tcPr>
                <w:p w14:paraId="69C8EB8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厂房隔声、减震、消声器</w:t>
                  </w:r>
                </w:p>
              </w:tc>
              <w:tc>
                <w:tcPr>
                  <w:tcW w:w="268" w:type="pct"/>
                  <w:vAlign w:val="center"/>
                </w:tcPr>
                <w:p w14:paraId="5F5D726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484" w:type="pct"/>
                  <w:vAlign w:val="center"/>
                </w:tcPr>
                <w:p w14:paraId="1AFD012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66.37</w:t>
                  </w:r>
                </w:p>
              </w:tc>
              <w:tc>
                <w:tcPr>
                  <w:tcW w:w="391" w:type="pct"/>
                  <w:vMerge w:val="restart"/>
                  <w:vAlign w:val="center"/>
                </w:tcPr>
                <w:p w14:paraId="3AA4149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7200</w:t>
                  </w:r>
                </w:p>
              </w:tc>
              <w:tc>
                <w:tcPr>
                  <w:tcW w:w="434" w:type="pct"/>
                  <w:vAlign w:val="center"/>
                </w:tcPr>
                <w:p w14:paraId="12743A0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23D64F0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51.37</w:t>
                  </w:r>
                </w:p>
              </w:tc>
              <w:tc>
                <w:tcPr>
                  <w:tcW w:w="265" w:type="pct"/>
                  <w:vAlign w:val="center"/>
                </w:tcPr>
                <w:p w14:paraId="5E3F2EA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067C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7D806BC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64" w:type="pct"/>
                  <w:vMerge w:val="continue"/>
                  <w:vAlign w:val="center"/>
                </w:tcPr>
                <w:p w14:paraId="5A8294D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5" w:type="pct"/>
                  <w:vAlign w:val="center"/>
                </w:tcPr>
                <w:p w14:paraId="7E37DE83">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印刷机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25" w:type="pct"/>
                  <w:vAlign w:val="center"/>
                </w:tcPr>
                <w:p w14:paraId="2ED84E82">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60.54,-25.34,1</w:t>
                  </w:r>
                </w:p>
              </w:tc>
              <w:tc>
                <w:tcPr>
                  <w:tcW w:w="484" w:type="pct"/>
                  <w:vAlign w:val="center"/>
                </w:tcPr>
                <w:p w14:paraId="476BE4F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394" w:type="pct"/>
                  <w:vMerge w:val="continue"/>
                  <w:vAlign w:val="center"/>
                </w:tcPr>
                <w:p w14:paraId="031A901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p>
              </w:tc>
              <w:tc>
                <w:tcPr>
                  <w:tcW w:w="268" w:type="pct"/>
                  <w:vAlign w:val="center"/>
                </w:tcPr>
                <w:p w14:paraId="6D8C2DF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484" w:type="pct"/>
                  <w:vAlign w:val="center"/>
                </w:tcPr>
                <w:p w14:paraId="224325A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66.37</w:t>
                  </w:r>
                </w:p>
              </w:tc>
              <w:tc>
                <w:tcPr>
                  <w:tcW w:w="391" w:type="pct"/>
                  <w:vMerge w:val="continue"/>
                  <w:vAlign w:val="center"/>
                </w:tcPr>
                <w:p w14:paraId="7CC8EC9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34" w:type="pct"/>
                  <w:vAlign w:val="center"/>
                </w:tcPr>
                <w:p w14:paraId="04386FF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65DEF62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51.37</w:t>
                  </w:r>
                </w:p>
              </w:tc>
              <w:tc>
                <w:tcPr>
                  <w:tcW w:w="265" w:type="pct"/>
                  <w:vAlign w:val="center"/>
                </w:tcPr>
                <w:p w14:paraId="2FB2BFB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25668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7B8C9F1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64" w:type="pct"/>
                  <w:vMerge w:val="continue"/>
                  <w:vAlign w:val="center"/>
                </w:tcPr>
                <w:p w14:paraId="7F29BFB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17D9FE5A">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干式复合机</w:t>
                  </w:r>
                </w:p>
              </w:tc>
              <w:tc>
                <w:tcPr>
                  <w:tcW w:w="525" w:type="pct"/>
                  <w:vAlign w:val="center"/>
                </w:tcPr>
                <w:p w14:paraId="1B0BDEE7">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64.69,-29.66,1</w:t>
                  </w:r>
                </w:p>
              </w:tc>
              <w:tc>
                <w:tcPr>
                  <w:tcW w:w="484" w:type="pct"/>
                  <w:vAlign w:val="center"/>
                </w:tcPr>
                <w:p w14:paraId="4853D08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49D9683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22C41C4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484" w:type="pct"/>
                  <w:vAlign w:val="center"/>
                </w:tcPr>
                <w:p w14:paraId="4B95DB8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61.37</w:t>
                  </w:r>
                </w:p>
              </w:tc>
              <w:tc>
                <w:tcPr>
                  <w:tcW w:w="391" w:type="pct"/>
                  <w:vMerge w:val="continue"/>
                  <w:vAlign w:val="center"/>
                </w:tcPr>
                <w:p w14:paraId="39B5FAC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3616BB9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315B154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46.37</w:t>
                  </w:r>
                </w:p>
              </w:tc>
              <w:tc>
                <w:tcPr>
                  <w:tcW w:w="265" w:type="pct"/>
                  <w:vAlign w:val="center"/>
                </w:tcPr>
                <w:p w14:paraId="331BB0F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F5D3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21066BA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64" w:type="pct"/>
                  <w:vMerge w:val="continue"/>
                  <w:vAlign w:val="center"/>
                </w:tcPr>
                <w:p w14:paraId="4CCED40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3912543B">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三合一无溶剂复合机</w:t>
                  </w:r>
                </w:p>
              </w:tc>
              <w:tc>
                <w:tcPr>
                  <w:tcW w:w="525" w:type="pct"/>
                  <w:vAlign w:val="center"/>
                </w:tcPr>
                <w:p w14:paraId="7BA6B0BE">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67.97,-33.46,1</w:t>
                  </w:r>
                </w:p>
              </w:tc>
              <w:tc>
                <w:tcPr>
                  <w:tcW w:w="484" w:type="pct"/>
                  <w:vAlign w:val="center"/>
                </w:tcPr>
                <w:p w14:paraId="1AC4587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429FDBB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6C35B84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484" w:type="pct"/>
                  <w:vAlign w:val="center"/>
                </w:tcPr>
                <w:p w14:paraId="4BE2555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61.37</w:t>
                  </w:r>
                </w:p>
              </w:tc>
              <w:tc>
                <w:tcPr>
                  <w:tcW w:w="391" w:type="pct"/>
                  <w:vMerge w:val="continue"/>
                  <w:vAlign w:val="center"/>
                </w:tcPr>
                <w:p w14:paraId="2E608C1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65645DA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6E66BCD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46.37</w:t>
                  </w:r>
                </w:p>
              </w:tc>
              <w:tc>
                <w:tcPr>
                  <w:tcW w:w="265" w:type="pct"/>
                  <w:vAlign w:val="center"/>
                </w:tcPr>
                <w:p w14:paraId="4AA83EA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434C6F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372E962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64" w:type="pct"/>
                  <w:vMerge w:val="continue"/>
                  <w:vAlign w:val="center"/>
                </w:tcPr>
                <w:p w14:paraId="625F2DD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4A47FAED">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无溶剂复合机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25" w:type="pct"/>
                  <w:vAlign w:val="center"/>
                </w:tcPr>
                <w:p w14:paraId="68E41C0C">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67.45,-43.65,1</w:t>
                  </w:r>
                </w:p>
              </w:tc>
              <w:tc>
                <w:tcPr>
                  <w:tcW w:w="484" w:type="pct"/>
                  <w:vAlign w:val="center"/>
                </w:tcPr>
                <w:p w14:paraId="2E39750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4A66C1E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488D434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484" w:type="pct"/>
                  <w:vAlign w:val="center"/>
                </w:tcPr>
                <w:p w14:paraId="1C39FD0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61.35</w:t>
                  </w:r>
                </w:p>
              </w:tc>
              <w:tc>
                <w:tcPr>
                  <w:tcW w:w="391" w:type="pct"/>
                  <w:vMerge w:val="continue"/>
                  <w:vAlign w:val="center"/>
                </w:tcPr>
                <w:p w14:paraId="50DE73B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59EDC6C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06C85E3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46.35</w:t>
                  </w:r>
                </w:p>
              </w:tc>
              <w:tc>
                <w:tcPr>
                  <w:tcW w:w="265" w:type="pct"/>
                  <w:vAlign w:val="center"/>
                </w:tcPr>
                <w:p w14:paraId="50B33B1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5AACB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5D06155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64" w:type="pct"/>
                  <w:vMerge w:val="continue"/>
                  <w:vAlign w:val="center"/>
                </w:tcPr>
                <w:p w14:paraId="7B1B729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1681244E">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无溶剂复合机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25" w:type="pct"/>
                  <w:vAlign w:val="center"/>
                </w:tcPr>
                <w:p w14:paraId="7DA5D7ED">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70.39,-47.11,1</w:t>
                  </w:r>
                </w:p>
              </w:tc>
              <w:tc>
                <w:tcPr>
                  <w:tcW w:w="484" w:type="pct"/>
                  <w:vAlign w:val="center"/>
                </w:tcPr>
                <w:p w14:paraId="645FCA5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439B18C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4F24D24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484" w:type="pct"/>
                  <w:vAlign w:val="center"/>
                </w:tcPr>
                <w:p w14:paraId="7F72249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61.35</w:t>
                  </w:r>
                </w:p>
              </w:tc>
              <w:tc>
                <w:tcPr>
                  <w:tcW w:w="391" w:type="pct"/>
                  <w:vMerge w:val="continue"/>
                  <w:vAlign w:val="center"/>
                </w:tcPr>
                <w:p w14:paraId="7D80AF4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7299428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5B25F94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46.35</w:t>
                  </w:r>
                </w:p>
              </w:tc>
              <w:tc>
                <w:tcPr>
                  <w:tcW w:w="265" w:type="pct"/>
                  <w:vAlign w:val="center"/>
                </w:tcPr>
                <w:p w14:paraId="46DF82C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1F124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3B58BC5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64" w:type="pct"/>
                  <w:vMerge w:val="continue"/>
                  <w:vAlign w:val="center"/>
                </w:tcPr>
                <w:p w14:paraId="388C49A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342BF1EE">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分切机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25" w:type="pct"/>
                  <w:vAlign w:val="center"/>
                </w:tcPr>
                <w:p w14:paraId="10B05B26">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78.43,-57.91,1</w:t>
                  </w:r>
                </w:p>
              </w:tc>
              <w:tc>
                <w:tcPr>
                  <w:tcW w:w="484" w:type="pct"/>
                  <w:vAlign w:val="center"/>
                </w:tcPr>
                <w:p w14:paraId="313BCED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394" w:type="pct"/>
                  <w:vMerge w:val="continue"/>
                  <w:vAlign w:val="center"/>
                </w:tcPr>
                <w:p w14:paraId="57235F2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03A7FF2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484" w:type="pct"/>
                  <w:vAlign w:val="center"/>
                </w:tcPr>
                <w:p w14:paraId="2C1E970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66.40</w:t>
                  </w:r>
                </w:p>
              </w:tc>
              <w:tc>
                <w:tcPr>
                  <w:tcW w:w="391" w:type="pct"/>
                  <w:vMerge w:val="continue"/>
                  <w:vAlign w:val="center"/>
                </w:tcPr>
                <w:p w14:paraId="51DC66C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6A5F5AF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128F0E5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51.4</w:t>
                  </w:r>
                </w:p>
              </w:tc>
              <w:tc>
                <w:tcPr>
                  <w:tcW w:w="265" w:type="pct"/>
                  <w:vAlign w:val="center"/>
                </w:tcPr>
                <w:p w14:paraId="4BC36D5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5A2A9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4FA5E21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64" w:type="pct"/>
                  <w:vMerge w:val="continue"/>
                  <w:vAlign w:val="center"/>
                </w:tcPr>
                <w:p w14:paraId="7C15FF2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0C6C5B74">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分切机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25" w:type="pct"/>
                  <w:vAlign w:val="center"/>
                </w:tcPr>
                <w:p w14:paraId="094BAE99">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82.06,-55.92,1</w:t>
                  </w:r>
                </w:p>
              </w:tc>
              <w:tc>
                <w:tcPr>
                  <w:tcW w:w="484" w:type="pct"/>
                  <w:vAlign w:val="center"/>
                </w:tcPr>
                <w:p w14:paraId="54734AA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394" w:type="pct"/>
                  <w:vMerge w:val="continue"/>
                  <w:vAlign w:val="center"/>
                </w:tcPr>
                <w:p w14:paraId="513DA51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5E9B809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484" w:type="pct"/>
                  <w:vAlign w:val="center"/>
                </w:tcPr>
                <w:p w14:paraId="05D9890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66.35</w:t>
                  </w:r>
                </w:p>
              </w:tc>
              <w:tc>
                <w:tcPr>
                  <w:tcW w:w="391" w:type="pct"/>
                  <w:vMerge w:val="continue"/>
                  <w:vAlign w:val="center"/>
                </w:tcPr>
                <w:p w14:paraId="6B29119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03DBBC4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51A992C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51.35</w:t>
                  </w:r>
                </w:p>
              </w:tc>
              <w:tc>
                <w:tcPr>
                  <w:tcW w:w="265" w:type="pct"/>
                  <w:vAlign w:val="center"/>
                </w:tcPr>
                <w:p w14:paraId="0E4D881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136EB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323E02F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64" w:type="pct"/>
                  <w:vMerge w:val="continue"/>
                  <w:vAlign w:val="center"/>
                </w:tcPr>
                <w:p w14:paraId="11DFBD6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0A732BF6">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分切机3</w:t>
                  </w:r>
                </w:p>
              </w:tc>
              <w:tc>
                <w:tcPr>
                  <w:tcW w:w="525" w:type="pct"/>
                  <w:vAlign w:val="center"/>
                </w:tcPr>
                <w:p w14:paraId="269F4AEC">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84.91,-53.93,1</w:t>
                  </w:r>
                </w:p>
              </w:tc>
              <w:tc>
                <w:tcPr>
                  <w:tcW w:w="484" w:type="pct"/>
                  <w:vAlign w:val="center"/>
                </w:tcPr>
                <w:p w14:paraId="3F22A55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394" w:type="pct"/>
                  <w:vMerge w:val="continue"/>
                  <w:vAlign w:val="center"/>
                </w:tcPr>
                <w:p w14:paraId="453BCBD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426836D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84" w:type="pct"/>
                  <w:vAlign w:val="center"/>
                </w:tcPr>
                <w:p w14:paraId="65990B7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66.32</w:t>
                  </w:r>
                </w:p>
              </w:tc>
              <w:tc>
                <w:tcPr>
                  <w:tcW w:w="391" w:type="pct"/>
                  <w:vMerge w:val="continue"/>
                  <w:vAlign w:val="center"/>
                </w:tcPr>
                <w:p w14:paraId="098FF80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6AB2CC1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22F3A79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51.32</w:t>
                  </w:r>
                </w:p>
              </w:tc>
              <w:tc>
                <w:tcPr>
                  <w:tcW w:w="265" w:type="pct"/>
                  <w:vAlign w:val="center"/>
                </w:tcPr>
                <w:p w14:paraId="168EB37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31790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610D319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64" w:type="pct"/>
                  <w:vMerge w:val="continue"/>
                  <w:vAlign w:val="center"/>
                </w:tcPr>
                <w:p w14:paraId="2C69C2E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307E8D13">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检品机</w:t>
                  </w:r>
                </w:p>
              </w:tc>
              <w:tc>
                <w:tcPr>
                  <w:tcW w:w="525" w:type="pct"/>
                  <w:vAlign w:val="center"/>
                </w:tcPr>
                <w:p w14:paraId="53AD4BA6">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59.42,-44.73,1</w:t>
                  </w:r>
                </w:p>
              </w:tc>
              <w:tc>
                <w:tcPr>
                  <w:tcW w:w="484" w:type="pct"/>
                  <w:vAlign w:val="center"/>
                </w:tcPr>
                <w:p w14:paraId="025F657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394" w:type="pct"/>
                  <w:vMerge w:val="continue"/>
                  <w:vAlign w:val="center"/>
                </w:tcPr>
                <w:p w14:paraId="7B8D501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68B5A35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84" w:type="pct"/>
                  <w:vAlign w:val="center"/>
                </w:tcPr>
                <w:p w14:paraId="5D386C6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51.52</w:t>
                  </w:r>
                </w:p>
              </w:tc>
              <w:tc>
                <w:tcPr>
                  <w:tcW w:w="391" w:type="pct"/>
                  <w:vMerge w:val="continue"/>
                  <w:vAlign w:val="center"/>
                </w:tcPr>
                <w:p w14:paraId="74DDE7F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33C71C2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19A3D93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36.52</w:t>
                  </w:r>
                </w:p>
              </w:tc>
              <w:tc>
                <w:tcPr>
                  <w:tcW w:w="265" w:type="pct"/>
                  <w:vAlign w:val="center"/>
                </w:tcPr>
                <w:p w14:paraId="50AA37E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0CB3E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447A6FB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64" w:type="pct"/>
                  <w:vMerge w:val="continue"/>
                  <w:vAlign w:val="center"/>
                </w:tcPr>
                <w:p w14:paraId="2E80E64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4E237297">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废气治理设施风机</w:t>
                  </w:r>
                </w:p>
              </w:tc>
              <w:tc>
                <w:tcPr>
                  <w:tcW w:w="525" w:type="pct"/>
                  <w:vAlign w:val="center"/>
                </w:tcPr>
                <w:p w14:paraId="3C0BDEA6">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47.39,-43.9,1</w:t>
                  </w:r>
                </w:p>
              </w:tc>
              <w:tc>
                <w:tcPr>
                  <w:tcW w:w="484" w:type="pct"/>
                  <w:vAlign w:val="center"/>
                </w:tcPr>
                <w:p w14:paraId="4987F88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43E879A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4F7BE2F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84" w:type="pct"/>
                  <w:vAlign w:val="center"/>
                </w:tcPr>
                <w:p w14:paraId="751AAE6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69.68</w:t>
                  </w:r>
                </w:p>
              </w:tc>
              <w:tc>
                <w:tcPr>
                  <w:tcW w:w="391" w:type="pct"/>
                  <w:vMerge w:val="continue"/>
                  <w:vAlign w:val="center"/>
                </w:tcPr>
                <w:p w14:paraId="4FA6402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0684AD8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6070A07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54.68</w:t>
                  </w:r>
                </w:p>
              </w:tc>
              <w:tc>
                <w:tcPr>
                  <w:tcW w:w="265" w:type="pct"/>
                  <w:vAlign w:val="center"/>
                </w:tcPr>
                <w:p w14:paraId="639080D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6988D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2D5BB38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264" w:type="pct"/>
                  <w:vMerge w:val="restart"/>
                  <w:vAlign w:val="center"/>
                </w:tcPr>
                <w:p w14:paraId="132BFA8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生产厂房2层</w:t>
                  </w:r>
                </w:p>
              </w:tc>
              <w:tc>
                <w:tcPr>
                  <w:tcW w:w="645" w:type="pct"/>
                  <w:vAlign w:val="center"/>
                </w:tcPr>
                <w:p w14:paraId="534B1DEC">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制袋机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25" w:type="pct"/>
                  <w:vAlign w:val="center"/>
                </w:tcPr>
                <w:p w14:paraId="697CA3D6">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56.51,-29.11,1</w:t>
                  </w:r>
                </w:p>
              </w:tc>
              <w:tc>
                <w:tcPr>
                  <w:tcW w:w="484" w:type="pct"/>
                  <w:vAlign w:val="center"/>
                </w:tcPr>
                <w:p w14:paraId="7E76772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64670AB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7F24A14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4" w:type="pct"/>
                  <w:vAlign w:val="center"/>
                </w:tcPr>
                <w:p w14:paraId="66D283A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56.34</w:t>
                  </w:r>
                </w:p>
              </w:tc>
              <w:tc>
                <w:tcPr>
                  <w:tcW w:w="391" w:type="pct"/>
                  <w:vMerge w:val="restart"/>
                  <w:vAlign w:val="center"/>
                </w:tcPr>
                <w:p w14:paraId="4C76574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7200</w:t>
                  </w:r>
                </w:p>
              </w:tc>
              <w:tc>
                <w:tcPr>
                  <w:tcW w:w="434" w:type="pct"/>
                  <w:vAlign w:val="center"/>
                </w:tcPr>
                <w:p w14:paraId="176E069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19352BA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41.34</w:t>
                  </w:r>
                </w:p>
              </w:tc>
              <w:tc>
                <w:tcPr>
                  <w:tcW w:w="265" w:type="pct"/>
                  <w:vAlign w:val="center"/>
                </w:tcPr>
                <w:p w14:paraId="7FF17AC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32D6D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142E068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64" w:type="pct"/>
                  <w:vMerge w:val="continue"/>
                  <w:vAlign w:val="center"/>
                </w:tcPr>
                <w:p w14:paraId="584312E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6EF78DCD">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制袋机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25" w:type="pct"/>
                  <w:vAlign w:val="center"/>
                </w:tcPr>
                <w:p w14:paraId="3A01EC7A">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60.11,-32.01,1</w:t>
                  </w:r>
                </w:p>
              </w:tc>
              <w:tc>
                <w:tcPr>
                  <w:tcW w:w="484" w:type="pct"/>
                  <w:vAlign w:val="center"/>
                </w:tcPr>
                <w:p w14:paraId="7C7DEEF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32BE89D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2297454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4" w:type="pct"/>
                  <w:vAlign w:val="center"/>
                </w:tcPr>
                <w:p w14:paraId="4993E7E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56.34</w:t>
                  </w:r>
                </w:p>
              </w:tc>
              <w:tc>
                <w:tcPr>
                  <w:tcW w:w="391" w:type="pct"/>
                  <w:vMerge w:val="continue"/>
                  <w:vAlign w:val="center"/>
                </w:tcPr>
                <w:p w14:paraId="6D0EFA1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2EFF615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7706A78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41.34</w:t>
                  </w:r>
                </w:p>
              </w:tc>
              <w:tc>
                <w:tcPr>
                  <w:tcW w:w="265" w:type="pct"/>
                  <w:vAlign w:val="center"/>
                </w:tcPr>
                <w:p w14:paraId="2146AAD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09983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43545F8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264" w:type="pct"/>
                  <w:vMerge w:val="continue"/>
                  <w:vAlign w:val="center"/>
                </w:tcPr>
                <w:p w14:paraId="734C88F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67331568">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制袋机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25" w:type="pct"/>
                  <w:vAlign w:val="center"/>
                </w:tcPr>
                <w:p w14:paraId="11F7293A">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63.56,-35.19,1</w:t>
                  </w:r>
                </w:p>
              </w:tc>
              <w:tc>
                <w:tcPr>
                  <w:tcW w:w="484" w:type="pct"/>
                  <w:vAlign w:val="center"/>
                </w:tcPr>
                <w:p w14:paraId="551605B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3B1E190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6C6184A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4" w:type="pct"/>
                  <w:vAlign w:val="center"/>
                </w:tcPr>
                <w:p w14:paraId="0540C81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56.34</w:t>
                  </w:r>
                </w:p>
              </w:tc>
              <w:tc>
                <w:tcPr>
                  <w:tcW w:w="391" w:type="pct"/>
                  <w:vMerge w:val="continue"/>
                  <w:vAlign w:val="center"/>
                </w:tcPr>
                <w:p w14:paraId="61AB1D9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74C0E49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1B38934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41.34</w:t>
                  </w:r>
                </w:p>
              </w:tc>
              <w:tc>
                <w:tcPr>
                  <w:tcW w:w="265" w:type="pct"/>
                  <w:vAlign w:val="center"/>
                </w:tcPr>
                <w:p w14:paraId="2FC29BE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51FD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2F3282E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264" w:type="pct"/>
                  <w:vMerge w:val="continue"/>
                  <w:vAlign w:val="center"/>
                </w:tcPr>
                <w:p w14:paraId="6231F99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224966C0">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制袋机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25" w:type="pct"/>
                  <w:vAlign w:val="center"/>
                </w:tcPr>
                <w:p w14:paraId="63882A33">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67.02,-38.51,1</w:t>
                  </w:r>
                </w:p>
              </w:tc>
              <w:tc>
                <w:tcPr>
                  <w:tcW w:w="484" w:type="pct"/>
                  <w:vAlign w:val="center"/>
                </w:tcPr>
                <w:p w14:paraId="0D1BE4F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73072BB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02CF61E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4" w:type="pct"/>
                  <w:vAlign w:val="center"/>
                </w:tcPr>
                <w:p w14:paraId="3D2CC68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56.34</w:t>
                  </w:r>
                </w:p>
              </w:tc>
              <w:tc>
                <w:tcPr>
                  <w:tcW w:w="391" w:type="pct"/>
                  <w:vMerge w:val="continue"/>
                  <w:vAlign w:val="center"/>
                </w:tcPr>
                <w:p w14:paraId="6FD353D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100B059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14AAF3C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41.34</w:t>
                  </w:r>
                </w:p>
              </w:tc>
              <w:tc>
                <w:tcPr>
                  <w:tcW w:w="265" w:type="pct"/>
                  <w:vAlign w:val="center"/>
                </w:tcPr>
                <w:p w14:paraId="5940107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3CFAE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60B39A2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264" w:type="pct"/>
                  <w:vMerge w:val="continue"/>
                  <w:vAlign w:val="center"/>
                </w:tcPr>
                <w:p w14:paraId="6DF7B52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759FBD9C">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制袋机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525" w:type="pct"/>
                  <w:vAlign w:val="center"/>
                </w:tcPr>
                <w:p w14:paraId="439E7F33">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70.34,-41.96,1</w:t>
                  </w:r>
                </w:p>
              </w:tc>
              <w:tc>
                <w:tcPr>
                  <w:tcW w:w="484" w:type="pct"/>
                  <w:vAlign w:val="center"/>
                </w:tcPr>
                <w:p w14:paraId="310FFD3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19EA142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2FA5D1E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4" w:type="pct"/>
                  <w:vAlign w:val="center"/>
                </w:tcPr>
                <w:p w14:paraId="4830BB8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56.34</w:t>
                  </w:r>
                </w:p>
              </w:tc>
              <w:tc>
                <w:tcPr>
                  <w:tcW w:w="391" w:type="pct"/>
                  <w:vMerge w:val="continue"/>
                  <w:vAlign w:val="center"/>
                </w:tcPr>
                <w:p w14:paraId="4CEF175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78340C5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51CEC53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41.34</w:t>
                  </w:r>
                </w:p>
              </w:tc>
              <w:tc>
                <w:tcPr>
                  <w:tcW w:w="265" w:type="pct"/>
                  <w:vAlign w:val="center"/>
                </w:tcPr>
                <w:p w14:paraId="4FA6C41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24590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2DDE087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264" w:type="pct"/>
                  <w:vMerge w:val="continue"/>
                  <w:vAlign w:val="center"/>
                </w:tcPr>
                <w:p w14:paraId="68B8D05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3601D5EA">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制袋机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525" w:type="pct"/>
                  <w:vAlign w:val="center"/>
                </w:tcPr>
                <w:p w14:paraId="5B8DDD2B">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73.93,-45.42,1</w:t>
                  </w:r>
                </w:p>
              </w:tc>
              <w:tc>
                <w:tcPr>
                  <w:tcW w:w="484" w:type="pct"/>
                  <w:vAlign w:val="center"/>
                </w:tcPr>
                <w:p w14:paraId="1C49B39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7D34D44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1056687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4" w:type="pct"/>
                  <w:vAlign w:val="center"/>
                </w:tcPr>
                <w:p w14:paraId="2D32D87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56.34</w:t>
                  </w:r>
                </w:p>
              </w:tc>
              <w:tc>
                <w:tcPr>
                  <w:tcW w:w="391" w:type="pct"/>
                  <w:vMerge w:val="continue"/>
                  <w:vAlign w:val="center"/>
                </w:tcPr>
                <w:p w14:paraId="5FD404B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79ECAB2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0E358DA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41.34</w:t>
                  </w:r>
                </w:p>
              </w:tc>
              <w:tc>
                <w:tcPr>
                  <w:tcW w:w="265" w:type="pct"/>
                  <w:vAlign w:val="center"/>
                </w:tcPr>
                <w:p w14:paraId="3E870C3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6EF18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220347A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264" w:type="pct"/>
                  <w:vMerge w:val="continue"/>
                  <w:vAlign w:val="center"/>
                </w:tcPr>
                <w:p w14:paraId="0E76F62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2D437830">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制袋机7</w:t>
                  </w:r>
                </w:p>
              </w:tc>
              <w:tc>
                <w:tcPr>
                  <w:tcW w:w="525" w:type="pct"/>
                  <w:vAlign w:val="center"/>
                </w:tcPr>
                <w:p w14:paraId="38F07121">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76.83,-48.74,1</w:t>
                  </w:r>
                </w:p>
              </w:tc>
              <w:tc>
                <w:tcPr>
                  <w:tcW w:w="484" w:type="pct"/>
                  <w:vAlign w:val="center"/>
                </w:tcPr>
                <w:p w14:paraId="5CC2495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6398E76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606CDE1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4" w:type="pct"/>
                  <w:vAlign w:val="center"/>
                </w:tcPr>
                <w:p w14:paraId="278F86F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56.34</w:t>
                  </w:r>
                </w:p>
              </w:tc>
              <w:tc>
                <w:tcPr>
                  <w:tcW w:w="391" w:type="pct"/>
                  <w:vMerge w:val="continue"/>
                  <w:vAlign w:val="center"/>
                </w:tcPr>
                <w:p w14:paraId="73B3DE5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1DF554E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72F22BB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41.34</w:t>
                  </w:r>
                </w:p>
              </w:tc>
              <w:tc>
                <w:tcPr>
                  <w:tcW w:w="265" w:type="pct"/>
                  <w:vAlign w:val="center"/>
                </w:tcPr>
                <w:p w14:paraId="7774591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2FADC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6249E53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264" w:type="pct"/>
                  <w:vMerge w:val="continue"/>
                  <w:vAlign w:val="center"/>
                </w:tcPr>
                <w:p w14:paraId="1496DEB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715E378A">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制袋机8</w:t>
                  </w:r>
                </w:p>
              </w:tc>
              <w:tc>
                <w:tcPr>
                  <w:tcW w:w="525" w:type="pct"/>
                  <w:vAlign w:val="center"/>
                </w:tcPr>
                <w:p w14:paraId="09B7D758">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80.7,-52.19,1</w:t>
                  </w:r>
                </w:p>
              </w:tc>
              <w:tc>
                <w:tcPr>
                  <w:tcW w:w="484" w:type="pct"/>
                  <w:vAlign w:val="center"/>
                </w:tcPr>
                <w:p w14:paraId="38CF7CA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75E91FA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5FE063B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4" w:type="pct"/>
                  <w:vAlign w:val="center"/>
                </w:tcPr>
                <w:p w14:paraId="0CE2E94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56.34</w:t>
                  </w:r>
                </w:p>
              </w:tc>
              <w:tc>
                <w:tcPr>
                  <w:tcW w:w="391" w:type="pct"/>
                  <w:vMerge w:val="continue"/>
                  <w:vAlign w:val="center"/>
                </w:tcPr>
                <w:p w14:paraId="5B2ED3A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1BB7D73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56EF9DB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41.34</w:t>
                  </w:r>
                </w:p>
              </w:tc>
              <w:tc>
                <w:tcPr>
                  <w:tcW w:w="265" w:type="pct"/>
                  <w:vAlign w:val="center"/>
                </w:tcPr>
                <w:p w14:paraId="42A825C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9E74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2DEA585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264" w:type="pct"/>
                  <w:vMerge w:val="continue"/>
                  <w:vAlign w:val="center"/>
                </w:tcPr>
                <w:p w14:paraId="06EB75D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144AC9AC">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八角制袋机1</w:t>
                  </w:r>
                </w:p>
              </w:tc>
              <w:tc>
                <w:tcPr>
                  <w:tcW w:w="525" w:type="pct"/>
                  <w:vAlign w:val="center"/>
                </w:tcPr>
                <w:p w14:paraId="6610EE7D">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41.31,-5.88,1</w:t>
                  </w:r>
                </w:p>
              </w:tc>
              <w:tc>
                <w:tcPr>
                  <w:tcW w:w="484" w:type="pct"/>
                  <w:vAlign w:val="center"/>
                </w:tcPr>
                <w:p w14:paraId="677EAF0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44834D5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2378346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484" w:type="pct"/>
                  <w:vAlign w:val="center"/>
                </w:tcPr>
                <w:p w14:paraId="69A302C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61.37</w:t>
                  </w:r>
                </w:p>
              </w:tc>
              <w:tc>
                <w:tcPr>
                  <w:tcW w:w="391" w:type="pct"/>
                  <w:vMerge w:val="continue"/>
                  <w:vAlign w:val="center"/>
                </w:tcPr>
                <w:p w14:paraId="33F6A13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62EE633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733B6F1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46.37</w:t>
                  </w:r>
                </w:p>
              </w:tc>
              <w:tc>
                <w:tcPr>
                  <w:tcW w:w="265" w:type="pct"/>
                  <w:vAlign w:val="center"/>
                </w:tcPr>
                <w:p w14:paraId="497236C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0CEA3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601804F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p>
              </w:tc>
              <w:tc>
                <w:tcPr>
                  <w:tcW w:w="264" w:type="pct"/>
                  <w:vMerge w:val="continue"/>
                  <w:vAlign w:val="center"/>
                </w:tcPr>
                <w:p w14:paraId="2594A38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4FDFE9EB">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八角制袋机2</w:t>
                  </w:r>
                </w:p>
              </w:tc>
              <w:tc>
                <w:tcPr>
                  <w:tcW w:w="525" w:type="pct"/>
                  <w:vAlign w:val="center"/>
                </w:tcPr>
                <w:p w14:paraId="0E2007B3">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34.4,-11.41,1</w:t>
                  </w:r>
                </w:p>
              </w:tc>
              <w:tc>
                <w:tcPr>
                  <w:tcW w:w="484" w:type="pct"/>
                  <w:vAlign w:val="center"/>
                </w:tcPr>
                <w:p w14:paraId="287A158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0B831EC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662E704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484" w:type="pct"/>
                  <w:vAlign w:val="center"/>
                </w:tcPr>
                <w:p w14:paraId="47006A7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61.40</w:t>
                  </w:r>
                </w:p>
              </w:tc>
              <w:tc>
                <w:tcPr>
                  <w:tcW w:w="391" w:type="pct"/>
                  <w:vMerge w:val="continue"/>
                  <w:vAlign w:val="center"/>
                </w:tcPr>
                <w:p w14:paraId="357BC60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011D57E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3DE21BA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46.4</w:t>
                  </w:r>
                </w:p>
              </w:tc>
              <w:tc>
                <w:tcPr>
                  <w:tcW w:w="265" w:type="pct"/>
                  <w:vAlign w:val="center"/>
                </w:tcPr>
                <w:p w14:paraId="167168F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6BC15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0817CD7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264" w:type="pct"/>
                  <w:vMerge w:val="continue"/>
                  <w:vAlign w:val="center"/>
                </w:tcPr>
                <w:p w14:paraId="6103476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5" w:type="pct"/>
                  <w:vAlign w:val="center"/>
                </w:tcPr>
                <w:p w14:paraId="526A1456">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八角制袋机3</w:t>
                  </w:r>
                </w:p>
              </w:tc>
              <w:tc>
                <w:tcPr>
                  <w:tcW w:w="525" w:type="pct"/>
                  <w:vAlign w:val="center"/>
                </w:tcPr>
                <w:p w14:paraId="6E517A19">
                  <w:pPr>
                    <w:pStyle w:val="125"/>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25.14,-3.67,1</w:t>
                  </w:r>
                </w:p>
              </w:tc>
              <w:tc>
                <w:tcPr>
                  <w:tcW w:w="484" w:type="pct"/>
                  <w:vAlign w:val="center"/>
                </w:tcPr>
                <w:p w14:paraId="758905E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75B2480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65232FD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484" w:type="pct"/>
                  <w:vAlign w:val="center"/>
                </w:tcPr>
                <w:p w14:paraId="66347F2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61.40</w:t>
                  </w:r>
                </w:p>
              </w:tc>
              <w:tc>
                <w:tcPr>
                  <w:tcW w:w="391" w:type="pct"/>
                  <w:vMerge w:val="continue"/>
                  <w:vAlign w:val="center"/>
                </w:tcPr>
                <w:p w14:paraId="40D190A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71433FE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82" w:type="dxa"/>
                  <w:vAlign w:val="center"/>
                </w:tcPr>
                <w:p w14:paraId="75BEE52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46.4</w:t>
                  </w:r>
                </w:p>
              </w:tc>
              <w:tc>
                <w:tcPr>
                  <w:tcW w:w="265" w:type="pct"/>
                  <w:vAlign w:val="center"/>
                </w:tcPr>
                <w:p w14:paraId="4A59D64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14:paraId="2BFA56DA">
            <w:pPr>
              <w:pStyle w:val="31"/>
              <w:keepNext w:val="0"/>
              <w:keepLines/>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（2）噪声预测分析</w:t>
            </w:r>
          </w:p>
          <w:p w14:paraId="239F9583">
            <w:pPr>
              <w:pStyle w:val="31"/>
              <w:keepNext w:val="0"/>
              <w:keepLines/>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1）预测模式</w:t>
            </w:r>
          </w:p>
          <w:p w14:paraId="303485F4">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采用</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环境影响评价技术导则—声环境》（HJ/T2.4-2021）中工业噪声预测模式。 </w:t>
            </w:r>
          </w:p>
          <w:p w14:paraId="3FFC2358">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①单个室外点声源在预测点产生的声级计算基本公式 </w:t>
            </w:r>
          </w:p>
          <w:p w14:paraId="6F1A3846">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如已知声源的倍频带声功率级，预测点位置的倍频带声压级Lp（r）可按公式计算：</w:t>
            </w:r>
          </w:p>
          <w:p w14:paraId="2D847622">
            <w:pPr>
              <w:keepNext w:val="0"/>
              <w:keepLines/>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p>
          <w:p w14:paraId="5D516427">
            <w:pPr>
              <w:keepNext w:val="0"/>
              <w:keepLines/>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2686050" cy="942975"/>
                  <wp:effectExtent l="0" t="0" r="0"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9"/>
                          <a:stretch>
                            <a:fillRect/>
                          </a:stretch>
                        </pic:blipFill>
                        <pic:spPr>
                          <a:xfrm>
                            <a:off x="0" y="0"/>
                            <a:ext cx="2686050" cy="942975"/>
                          </a:xfrm>
                          <a:prstGeom prst="rect">
                            <a:avLst/>
                          </a:prstGeom>
                          <a:noFill/>
                          <a:ln>
                            <a:noFill/>
                          </a:ln>
                        </pic:spPr>
                      </pic:pic>
                    </a:graphicData>
                  </a:graphic>
                </wp:inline>
              </w:drawing>
            </w:r>
          </w:p>
          <w:p w14:paraId="3ABB095C">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w:t>
            </w:r>
          </w:p>
          <w:p w14:paraId="18656618">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Lw—倍频带声功率级，dB；</w:t>
            </w:r>
          </w:p>
          <w:p w14:paraId="55709809">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Dc—指向性校正，dB，对辐射到自由空间的全向点声源，为0；倍频带衰减，dB；</w:t>
            </w:r>
          </w:p>
          <w:p w14:paraId="2A158FB4">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Adiv—几何发散引起的倍频带衰减，dB； </w:t>
            </w:r>
          </w:p>
          <w:p w14:paraId="467005A6">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Aatm—大气吸收引起的倍频带衰减，dB； </w:t>
            </w:r>
          </w:p>
          <w:p w14:paraId="421383ED">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Agr—地面效应吸收引起的倍频带衰减，dB； </w:t>
            </w:r>
          </w:p>
          <w:p w14:paraId="5A509DD9">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Abar—声屏障引起的倍频带衰减，dB； </w:t>
            </w:r>
          </w:p>
          <w:p w14:paraId="2E328049">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Amisc—其他多方面效应引起的倍频带衰减，dB。</w:t>
            </w:r>
          </w:p>
          <w:p w14:paraId="7ED03B44">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如已知靠近声源处某点的倍频带声压级Lp（r0）时，相同方向预测点位置的倍频带声压级Lp（r）可按公式（2）计算：</w:t>
            </w:r>
          </w:p>
          <w:p w14:paraId="44CE738B">
            <w:pPr>
              <w:keepNext w:val="0"/>
              <w:keepLines/>
              <w:pageBreakBefore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3733800" cy="295275"/>
                  <wp:effectExtent l="0" t="0" r="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0"/>
                          <a:stretch>
                            <a:fillRect/>
                          </a:stretch>
                        </pic:blipFill>
                        <pic:spPr>
                          <a:xfrm>
                            <a:off x="0" y="0"/>
                            <a:ext cx="3733800" cy="295275"/>
                          </a:xfrm>
                          <a:prstGeom prst="rect">
                            <a:avLst/>
                          </a:prstGeom>
                          <a:noFill/>
                          <a:ln>
                            <a:noFill/>
                          </a:ln>
                        </pic:spPr>
                      </pic:pic>
                    </a:graphicData>
                  </a:graphic>
                </wp:inline>
              </w:drawing>
            </w:r>
          </w:p>
          <w:p w14:paraId="2EA0AA83">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在只考虑几何发散衰减时，可按</w:t>
            </w:r>
            <w:r>
              <w:rPr>
                <w:rFonts w:hint="default" w:ascii="Times New Roman" w:hAnsi="Times New Roman" w:eastAsia="宋体" w:cs="Times New Roman"/>
                <w:color w:val="000000" w:themeColor="text1"/>
                <w:sz w:val="24"/>
                <w:lang w:eastAsia="zh-CN"/>
                <w14:textFill>
                  <w14:solidFill>
                    <w14:schemeClr w14:val="tx1"/>
                  </w14:solidFill>
                </w14:textFill>
              </w:rPr>
              <w:t>下式</w:t>
            </w:r>
            <w:r>
              <w:rPr>
                <w:rFonts w:hint="default" w:ascii="Times New Roman" w:hAnsi="Times New Roman" w:eastAsia="宋体" w:cs="Times New Roman"/>
                <w:color w:val="000000" w:themeColor="text1"/>
                <w:sz w:val="24"/>
                <w14:textFill>
                  <w14:solidFill>
                    <w14:schemeClr w14:val="tx1"/>
                  </w14:solidFill>
                </w14:textFill>
              </w:rPr>
              <w:t xml:space="preserve">做近似计算： </w:t>
            </w:r>
          </w:p>
          <w:p w14:paraId="6CCF79D0">
            <w:pPr>
              <w:keepNext w:val="0"/>
              <w:keepLines/>
              <w:pageBreakBefore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1476375" cy="361950"/>
                  <wp:effectExtent l="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1"/>
                          <a:stretch>
                            <a:fillRect/>
                          </a:stretch>
                        </pic:blipFill>
                        <pic:spPr>
                          <a:xfrm>
                            <a:off x="0" y="0"/>
                            <a:ext cx="1476375" cy="361950"/>
                          </a:xfrm>
                          <a:prstGeom prst="rect">
                            <a:avLst/>
                          </a:prstGeom>
                          <a:noFill/>
                          <a:ln>
                            <a:noFill/>
                          </a:ln>
                        </pic:spPr>
                      </pic:pic>
                    </a:graphicData>
                  </a:graphic>
                </wp:inline>
              </w:drawing>
            </w:r>
          </w:p>
          <w:p w14:paraId="566E290B">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式中： </w:t>
            </w:r>
          </w:p>
          <w:p w14:paraId="1AB532A2">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LA（r）—距声源 r 处的 A 声级，dB（A）； </w:t>
            </w:r>
          </w:p>
          <w:p w14:paraId="55D22DFB">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LA（r0）—，参考位置 r0 处的 A 声级 dB（A）。 </w:t>
            </w:r>
          </w:p>
          <w:p w14:paraId="3D272872">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Adiv—几何发散引起的衰减，dB。 </w:t>
            </w:r>
          </w:p>
          <w:p w14:paraId="26AD0D9B">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②室内声源等效室外声源声功率级计算方法 </w:t>
            </w:r>
          </w:p>
          <w:p w14:paraId="5551FF4B">
            <w:pPr>
              <w:pStyle w:val="63"/>
              <w:keepNext w:val="0"/>
              <w:keepLines w:val="0"/>
              <w:pageBreakBefore w:val="0"/>
              <w:widowControl/>
              <w:tabs>
                <w:tab w:val="bar" w:pos="9540"/>
              </w:tabs>
              <w:kinsoku/>
              <w:wordWrap/>
              <w:overflowPunct/>
              <w:topLinePunct w:val="0"/>
              <w:autoSpaceDE w:val="0"/>
              <w:autoSpaceDN w:val="0"/>
              <w:bidi w:val="0"/>
              <w:adjustRightInd/>
              <w:snapToGrid/>
              <w:spacing w:before="0"/>
              <w:ind w:left="0" w:leftChars="0" w:right="0" w:firstLine="480" w:firstLineChars="200"/>
              <w:jc w:val="left"/>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声源位于室内，室内声源可采用等效室外声源声功率级法进行计算。设靠近开口处（或窗户）室内、室外某倍频带的声压级或 A 声级分别为Lp1和Lp2。若声源所在室内声场为近似扩散声场，则室外的倍频带声压级可按式下近似求出。</w:t>
            </w:r>
          </w:p>
          <w:p w14:paraId="5585C5C7">
            <w:pPr>
              <w:keepNext w:val="0"/>
              <w:keepLines/>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1800225" cy="3524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1800225" cy="352425"/>
                          </a:xfrm>
                          <a:prstGeom prst="rect">
                            <a:avLst/>
                          </a:prstGeom>
                          <a:noFill/>
                          <a:ln>
                            <a:noFill/>
                          </a:ln>
                        </pic:spPr>
                      </pic:pic>
                    </a:graphicData>
                  </a:graphic>
                </wp:inline>
              </w:drawing>
            </w:r>
          </w:p>
          <w:p w14:paraId="5D7609C1">
            <w:pPr>
              <w:pStyle w:val="63"/>
              <w:keepNext w:val="0"/>
              <w:keepLines w:val="0"/>
              <w:pageBreakBefore w:val="0"/>
              <w:widowControl/>
              <w:tabs>
                <w:tab w:val="bar" w:pos="9540"/>
              </w:tabs>
              <w:kinsoku/>
              <w:wordWrap/>
              <w:overflowPunct/>
              <w:topLinePunct w:val="0"/>
              <w:autoSpaceDE w:val="0"/>
              <w:autoSpaceDN w:val="0"/>
              <w:bidi w:val="0"/>
              <w:adjustRightInd/>
              <w:snapToGrid/>
              <w:spacing w:before="0" w:line="360" w:lineRule="auto"/>
              <w:ind w:left="0" w:leftChars="0" w:right="0" w:firstLine="480" w:firstLineChars="200"/>
              <w:jc w:val="left"/>
              <w:textAlignment w:val="baseline"/>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w:t>
            </w:r>
            <w:r>
              <w:rPr>
                <w:rFonts w:hint="default" w:ascii="Times New Roman" w:hAnsi="Times New Roman" w:eastAsia="宋体" w:cs="Times New Roman"/>
                <w:color w:val="000000" w:themeColor="text1"/>
                <w:sz w:val="24"/>
                <w:lang w:val="en-US" w:eastAsia="zh-CN"/>
                <w14:textFill>
                  <w14:solidFill>
                    <w14:schemeClr w14:val="tx1"/>
                  </w14:solidFill>
                </w14:textFill>
              </w:rPr>
              <w:t>Lp1——靠近开口处（或窗户）室内某倍频带的声压级或 A 声级，dB；</w:t>
            </w:r>
          </w:p>
          <w:p w14:paraId="26BB828A">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Lp2——靠近开口处（或窗户）室外某倍频带的声压级或 A 声级，dB；</w:t>
            </w:r>
          </w:p>
          <w:p w14:paraId="5B0D3490">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TL—隔墙或窗户倍频带的隔声量，dB。 </w:t>
            </w:r>
          </w:p>
          <w:p w14:paraId="7B9DAD6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也可按下式计算某一室内声源靠近围护结构处产生的倍频带声压级或A声级</w:t>
            </w:r>
          </w:p>
          <w:p w14:paraId="4852149A">
            <w:pPr>
              <w:pStyle w:val="146"/>
              <w:keepNext w:val="0"/>
              <w:keepLines/>
              <w:pageBreakBefore w:val="0"/>
              <w:kinsoku/>
              <w:wordWrap/>
              <w:overflowPunct/>
              <w:topLinePunct w:val="0"/>
              <w:autoSpaceDE/>
              <w:autoSpaceDN/>
              <w:bidi w:val="0"/>
              <w:adjustRightInd/>
              <w:snapToGrid/>
              <w:spacing w:before="0" w:beforeLines="0" w:after="0" w:afterLines="0" w:line="360" w:lineRule="auto"/>
              <w:ind w:left="0" w:leftChars="0" w:firstLine="0" w:firstLineChars="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3028950" cy="78105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3"/>
                          <a:stretch>
                            <a:fillRect/>
                          </a:stretch>
                        </pic:blipFill>
                        <pic:spPr>
                          <a:xfrm>
                            <a:off x="0" y="0"/>
                            <a:ext cx="3028950" cy="781050"/>
                          </a:xfrm>
                          <a:prstGeom prst="rect">
                            <a:avLst/>
                          </a:prstGeom>
                          <a:noFill/>
                          <a:ln>
                            <a:noFill/>
                          </a:ln>
                        </pic:spPr>
                      </pic:pic>
                    </a:graphicData>
                  </a:graphic>
                </wp:inline>
              </w:drawing>
            </w:r>
          </w:p>
          <w:p w14:paraId="3E097E4E">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式中：Lp1——靠近开口处（或窗户）室内某倍频带的声压级或A声级，dB；</w:t>
            </w:r>
          </w:p>
          <w:p w14:paraId="66197E29">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Lw——点声源声功率级（A计权或倍频带），dB；</w:t>
            </w:r>
          </w:p>
          <w:p w14:paraId="71EA8AC0">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Q——指向性因数；通常对无指向性声源，当声源放在房间中心时，Q=1；当放在一面墙的中心时，Q=2；当放在两面墙夹角处时，Q=4；当放在三面墙夹角处时，Q=8；</w:t>
            </w:r>
          </w:p>
          <w:p w14:paraId="2A63ADAE">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R——房间常数；R=Sα/（1-α），S为房间内表面面积，m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；α为平均吸声系数；现有厂房墙体为砖混结构，吸声系数为0.08。厂房两层总表面积约3420m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（厂房周长约300m*厂房两层高度约11.4m）。</w:t>
            </w:r>
          </w:p>
          <w:p w14:paraId="374BF4AC">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r——声源到靠近围护结构某点处的距离，m。</w:t>
            </w:r>
          </w:p>
          <w:p w14:paraId="35020664">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③噪声贡献值计算</w:t>
            </w:r>
          </w:p>
          <w:p w14:paraId="54FCE9BF">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设第i个室外声源在预测点产生的A声级为LAi，在T时间内该声源工作时间为ti；第j个等效室外声源在预测点产生的A声级为LAj，在T时间内该声源工作时间为tj；则拟建工程声源对预测点产生的贡献值为（Leqg）： </w:t>
            </w:r>
          </w:p>
          <w:p w14:paraId="5601E795">
            <w:pPr>
              <w:keepNext w:val="0"/>
              <w:keepLines/>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3257550" cy="704850"/>
                  <wp:effectExtent l="0" t="0" r="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4"/>
                          <a:stretch>
                            <a:fillRect/>
                          </a:stretch>
                        </pic:blipFill>
                        <pic:spPr>
                          <a:xfrm>
                            <a:off x="0" y="0"/>
                            <a:ext cx="3257550" cy="704850"/>
                          </a:xfrm>
                          <a:prstGeom prst="rect">
                            <a:avLst/>
                          </a:prstGeom>
                          <a:noFill/>
                          <a:ln>
                            <a:noFill/>
                          </a:ln>
                        </pic:spPr>
                      </pic:pic>
                    </a:graphicData>
                  </a:graphic>
                </wp:inline>
              </w:drawing>
            </w:r>
          </w:p>
          <w:p w14:paraId="55CC8A2C">
            <w:pPr>
              <w:pStyle w:val="31"/>
              <w:keepNext w:val="0"/>
              <w:keepLines/>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式中： </w:t>
            </w:r>
          </w:p>
          <w:p w14:paraId="458A18FC">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tj—在 T 时间内 j 声源工作时间，s；ti—在 T 时间内 i 声源工作时间，s； </w:t>
            </w:r>
          </w:p>
          <w:p w14:paraId="6A208EA0">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T—用于计算等效声级的时间，s； </w:t>
            </w:r>
          </w:p>
          <w:p w14:paraId="2EDF5B88">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N—室外声源个数；</w:t>
            </w:r>
          </w:p>
          <w:p w14:paraId="77666470">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M—等效室外声源个数。 </w:t>
            </w:r>
          </w:p>
          <w:p w14:paraId="7A9B01F1">
            <w:pPr>
              <w:pStyle w:val="63"/>
              <w:tabs>
                <w:tab w:val="bar" w:pos="9540"/>
              </w:tabs>
              <w:snapToGrid w:val="0"/>
              <w:ind w:firstLine="482" w:firstLineChars="200"/>
              <w:jc w:val="left"/>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④</w:t>
            </w:r>
            <w:r>
              <w:rPr>
                <w:rFonts w:hint="default" w:ascii="Times New Roman" w:hAnsi="Times New Roman" w:eastAsia="宋体" w:cs="Times New Roman"/>
                <w:b/>
                <w:bCs/>
                <w:color w:val="000000" w:themeColor="text1"/>
                <w14:textFill>
                  <w14:solidFill>
                    <w14:schemeClr w14:val="tx1"/>
                  </w14:solidFill>
                </w14:textFill>
              </w:rPr>
              <w:t>声源的几何发散衰减公式：</w:t>
            </w:r>
          </w:p>
          <w:p w14:paraId="5A379219">
            <w:pPr>
              <w:pStyle w:val="17"/>
              <w:spacing w:after="0" w:line="360" w:lineRule="auto"/>
              <w:ind w:left="0" w:leftChars="0" w:right="0" w:rightChars="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div</w:t>
            </w:r>
            <w:r>
              <w:rPr>
                <w:rFonts w:hint="default" w:ascii="Times New Roman" w:hAnsi="Times New Roman" w:eastAsia="宋体" w:cs="Times New Roman"/>
                <w:color w:val="000000" w:themeColor="text1"/>
                <w:sz w:val="24"/>
                <w14:textFill>
                  <w14:solidFill>
                    <w14:schemeClr w14:val="tx1"/>
                  </w14:solidFill>
                </w14:textFill>
              </w:rPr>
              <w:t>=20lg（r/r</w:t>
            </w:r>
            <w:r>
              <w:rPr>
                <w:rFonts w:hint="default" w:ascii="Times New Roman" w:hAnsi="Times New Roman" w:eastAsia="宋体" w:cs="Times New Roman"/>
                <w:color w:val="000000" w:themeColor="text1"/>
                <w:sz w:val="24"/>
                <w:vertAlign w:val="subscript"/>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w:t>
            </w:r>
          </w:p>
          <w:p w14:paraId="4BEED494">
            <w:pPr>
              <w:pStyle w:val="17"/>
              <w:adjustRightInd w:val="0"/>
              <w:snapToGrid w:val="0"/>
              <w:spacing w:after="0" w:line="360" w:lineRule="auto"/>
              <w:ind w:left="0" w:leftChars="0" w:right="0" w:rightChars="0"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式中：A</w:t>
            </w:r>
            <w:r>
              <w:rPr>
                <w:rFonts w:hint="default" w:ascii="Times New Roman" w:hAnsi="Times New Roman" w:eastAsia="宋体" w:cs="Times New Roman"/>
                <w:color w:val="000000" w:themeColor="text1"/>
                <w:sz w:val="24"/>
                <w:vertAlign w:val="subscript"/>
                <w14:textFill>
                  <w14:solidFill>
                    <w14:schemeClr w14:val="tx1"/>
                  </w14:solidFill>
                </w14:textFill>
              </w:rPr>
              <w:t>div</w:t>
            </w:r>
            <w:r>
              <w:rPr>
                <w:rFonts w:hint="default" w:ascii="Times New Roman" w:hAnsi="Times New Roman" w:eastAsia="宋体" w:cs="Times New Roman"/>
                <w:color w:val="000000" w:themeColor="text1"/>
                <w:sz w:val="24"/>
                <w14:textFill>
                  <w14:solidFill>
                    <w14:schemeClr w14:val="tx1"/>
                  </w14:solidFill>
                </w14:textFill>
              </w:rPr>
              <w:t>——几何发散引起的衰减，dB；</w:t>
            </w:r>
          </w:p>
          <w:p w14:paraId="1A10A0DB">
            <w:pPr>
              <w:pStyle w:val="63"/>
              <w:tabs>
                <w:tab w:val="bar" w:pos="9540"/>
              </w:tabs>
              <w:snapToGrid w:val="0"/>
              <w:ind w:firstLine="1200" w:firstLineChars="5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r——预测点距声源的距离；</w:t>
            </w:r>
          </w:p>
          <w:p w14:paraId="44BC4151">
            <w:pPr>
              <w:pStyle w:val="63"/>
              <w:tabs>
                <w:tab w:val="bar" w:pos="9540"/>
              </w:tabs>
              <w:snapToGrid w:val="0"/>
              <w:ind w:firstLine="1200" w:firstLineChars="5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r</w:t>
            </w:r>
            <w:r>
              <w:rPr>
                <w:rFonts w:hint="default" w:ascii="Times New Roman" w:hAnsi="Times New Roman" w:eastAsia="宋体" w:cs="Times New Roman"/>
                <w:color w:val="000000" w:themeColor="text1"/>
                <w:sz w:val="24"/>
                <w:vertAlign w:val="subscript"/>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——参考位置距声源的距离；</w:t>
            </w:r>
          </w:p>
          <w:p w14:paraId="7189E0DB">
            <w:pPr>
              <w:pStyle w:val="146"/>
              <w:keepLines/>
              <w:adjustRightInd/>
              <w:snapToGrid/>
              <w:spacing w:beforeLines="0" w:after="0"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w:t>
            </w:r>
            <w:r>
              <w:rPr>
                <w:rFonts w:hint="default" w:ascii="Times New Roman" w:hAnsi="Times New Roman" w:eastAsia="宋体" w:cs="Times New Roman"/>
                <w:b/>
                <w:bCs/>
                <w:color w:val="000000" w:themeColor="text1"/>
                <w:szCs w:val="24"/>
                <w14:textFill>
                  <w14:solidFill>
                    <w14:schemeClr w14:val="tx1"/>
                  </w14:solidFill>
                </w14:textFill>
              </w:rPr>
              <w:t>本项目</w:t>
            </w:r>
            <w:r>
              <w:rPr>
                <w:rFonts w:hint="default" w:ascii="Times New Roman" w:hAnsi="Times New Roman" w:eastAsia="宋体" w:cs="Times New Roman"/>
                <w:b/>
                <w:bCs/>
                <w:color w:val="000000" w:themeColor="text1"/>
                <w14:textFill>
                  <w14:solidFill>
                    <w14:schemeClr w14:val="tx1"/>
                  </w14:solidFill>
                </w14:textFill>
              </w:rPr>
              <w:t>厂界预测结果及评价</w:t>
            </w:r>
          </w:p>
          <w:p w14:paraId="242DFAEB">
            <w:pPr>
              <w:keepLine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本次环评中为了更准确、快速地进行噪声预测分析，采用了石家庄环安科技有限公司开发的NoiseSystemV4.0噪声预测评价软件。</w:t>
            </w:r>
          </w:p>
          <w:p w14:paraId="3CA811CD">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4-18 </w:t>
            </w:r>
            <w:r>
              <w:rPr>
                <w:rFonts w:hint="default" w:ascii="Times New Roman" w:hAnsi="Times New Roman" w:eastAsia="宋体" w:cs="Times New Roman"/>
                <w:b/>
                <w:bCs/>
                <w:color w:val="000000" w:themeColor="text1"/>
                <w:sz w:val="21"/>
                <w:szCs w:val="21"/>
                <w14:textFill>
                  <w14:solidFill>
                    <w14:schemeClr w14:val="tx1"/>
                  </w14:solidFill>
                </w14:textFill>
              </w:rPr>
              <w:t>NoiseSystemV4.0噪声预测</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参数表 </w:t>
            </w:r>
          </w:p>
          <w:tbl>
            <w:tblPr>
              <w:tblStyle w:val="32"/>
              <w:tblW w:w="497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356"/>
              <w:gridCol w:w="2678"/>
            </w:tblGrid>
            <w:tr w14:paraId="1F3E0E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vAlign w:val="center"/>
                </w:tcPr>
                <w:p w14:paraId="3FBB287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预测</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参数</w:t>
                  </w:r>
                </w:p>
              </w:tc>
              <w:tc>
                <w:tcPr>
                  <w:tcW w:w="1666" w:type="pct"/>
                  <w:vAlign w:val="center"/>
                </w:tcPr>
                <w:p w14:paraId="30A0898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取值</w:t>
                  </w:r>
                </w:p>
              </w:tc>
            </w:tr>
            <w:tr w14:paraId="08175D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vAlign w:val="center"/>
                </w:tcPr>
                <w:p w14:paraId="73A615A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建筑物高度，m</w:t>
                  </w:r>
                </w:p>
              </w:tc>
              <w:tc>
                <w:tcPr>
                  <w:tcW w:w="1666" w:type="pct"/>
                  <w:vAlign w:val="center"/>
                </w:tcPr>
                <w:p w14:paraId="3645EF1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20.4</w:t>
                  </w:r>
                </w:p>
              </w:tc>
            </w:tr>
            <w:tr w14:paraId="53F5FD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vAlign w:val="center"/>
                </w:tcPr>
                <w:p w14:paraId="34E35C9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室内吸声系数</w:t>
                  </w:r>
                </w:p>
              </w:tc>
              <w:tc>
                <w:tcPr>
                  <w:tcW w:w="1666" w:type="pct"/>
                  <w:vAlign w:val="center"/>
                </w:tcPr>
                <w:p w14:paraId="3383160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0.08</w:t>
                  </w:r>
                </w:p>
              </w:tc>
            </w:tr>
            <w:tr w14:paraId="2926A0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vAlign w:val="center"/>
                </w:tcPr>
                <w:p w14:paraId="318A252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隔声量，</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1666" w:type="pct"/>
                  <w:vAlign w:val="center"/>
                </w:tcPr>
                <w:p w14:paraId="7FF25C8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15</w:t>
                  </w:r>
                </w:p>
              </w:tc>
            </w:tr>
            <w:tr w14:paraId="3F0B4A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vAlign w:val="center"/>
                </w:tcPr>
                <w:p w14:paraId="2FF015E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是否考虑反射</w:t>
                  </w:r>
                </w:p>
              </w:tc>
              <w:tc>
                <w:tcPr>
                  <w:tcW w:w="1666" w:type="pct"/>
                  <w:vAlign w:val="center"/>
                </w:tcPr>
                <w:p w14:paraId="5882CC1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否</w:t>
                  </w:r>
                </w:p>
              </w:tc>
            </w:tr>
          </w:tbl>
          <w:p w14:paraId="423EB48A">
            <w:pPr>
              <w:keepLine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预测结果如下。</w:t>
            </w:r>
          </w:p>
          <w:p w14:paraId="1EB60164">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w:t>
            </w:r>
            <w:r>
              <w:rPr>
                <w:rFonts w:hint="default" w:ascii="Times New Roman" w:hAnsi="Times New Roman" w:eastAsia="宋体" w:cs="Times New Roman"/>
                <w:b/>
                <w:bCs/>
                <w:color w:val="000000" w:themeColor="text1"/>
                <w:szCs w:val="21"/>
                <w:lang w:val="en-US" w:eastAsia="zh-CN"/>
                <w14:textFill>
                  <w14:solidFill>
                    <w14:schemeClr w14:val="tx1"/>
                  </w14:solidFill>
                </w14:textFill>
              </w:rPr>
              <w:t>19</w:t>
            </w:r>
            <w:r>
              <w:rPr>
                <w:rFonts w:hint="default" w:ascii="Times New Roman" w:hAnsi="Times New Roman" w:eastAsia="宋体" w:cs="Times New Roman"/>
                <w:b/>
                <w:bCs/>
                <w:color w:val="000000" w:themeColor="text1"/>
                <w:szCs w:val="21"/>
                <w14:textFill>
                  <w14:solidFill>
                    <w14:schemeClr w14:val="tx1"/>
                  </w14:solidFill>
                </w14:textFill>
              </w:rPr>
              <w:t>厂界噪声</w:t>
            </w:r>
            <w:r>
              <w:rPr>
                <w:rFonts w:hint="default" w:ascii="Times New Roman" w:hAnsi="Times New Roman" w:eastAsia="宋体" w:cs="Times New Roman"/>
                <w:b/>
                <w:bCs/>
                <w:color w:val="000000" w:themeColor="text1"/>
                <w:szCs w:val="21"/>
                <w:lang w:eastAsia="zh-CN"/>
                <w14:textFill>
                  <w14:solidFill>
                    <w14:schemeClr w14:val="tx1"/>
                  </w14:solidFill>
                </w14:textFill>
              </w:rPr>
              <w:t>及周边敏感点</w:t>
            </w:r>
            <w:r>
              <w:rPr>
                <w:rFonts w:hint="default" w:ascii="Times New Roman" w:hAnsi="Times New Roman" w:eastAsia="宋体" w:cs="Times New Roman"/>
                <w:b/>
                <w:bCs/>
                <w:color w:val="000000" w:themeColor="text1"/>
                <w:szCs w:val="21"/>
                <w14:textFill>
                  <w14:solidFill>
                    <w14:schemeClr w14:val="tx1"/>
                  </w14:solidFill>
                </w14:textFill>
              </w:rPr>
              <w:t>贡献值一览表单位：dB（A）</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6"/>
              <w:gridCol w:w="1983"/>
              <w:gridCol w:w="1098"/>
              <w:gridCol w:w="1100"/>
              <w:gridCol w:w="1132"/>
            </w:tblGrid>
            <w:tr w14:paraId="7B83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703" w:type="pct"/>
                  <w:vMerge w:val="restart"/>
                  <w:vAlign w:val="center"/>
                </w:tcPr>
                <w:p w14:paraId="17FE0CC6">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预测点</w:t>
                  </w:r>
                </w:p>
              </w:tc>
              <w:tc>
                <w:tcPr>
                  <w:tcW w:w="1230" w:type="pct"/>
                  <w:vMerge w:val="restart"/>
                  <w:vAlign w:val="center"/>
                </w:tcPr>
                <w:p w14:paraId="0D8701B2">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贡献值</w:t>
                  </w:r>
                </w:p>
              </w:tc>
              <w:tc>
                <w:tcPr>
                  <w:tcW w:w="1363" w:type="pct"/>
                  <w:gridSpan w:val="2"/>
                  <w:vAlign w:val="center"/>
                </w:tcPr>
                <w:p w14:paraId="5E8CE524">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执行标准</w:t>
                  </w:r>
                </w:p>
              </w:tc>
              <w:tc>
                <w:tcPr>
                  <w:tcW w:w="702" w:type="pct"/>
                  <w:vMerge w:val="restart"/>
                  <w:vAlign w:val="center"/>
                </w:tcPr>
                <w:p w14:paraId="6364DE91">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达标分析</w:t>
                  </w:r>
                </w:p>
              </w:tc>
            </w:tr>
            <w:tr w14:paraId="5BCF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703" w:type="pct"/>
                  <w:vMerge w:val="continue"/>
                  <w:vAlign w:val="center"/>
                </w:tcPr>
                <w:p w14:paraId="48637CD7">
                  <w:pPr>
                    <w:keepLines/>
                    <w:jc w:val="center"/>
                    <w:rPr>
                      <w:rFonts w:hint="default" w:ascii="Times New Roman" w:hAnsi="Times New Roman" w:eastAsia="宋体" w:cs="Times New Roman"/>
                      <w:color w:val="000000" w:themeColor="text1"/>
                      <w14:textFill>
                        <w14:solidFill>
                          <w14:schemeClr w14:val="tx1"/>
                        </w14:solidFill>
                      </w14:textFill>
                    </w:rPr>
                  </w:pPr>
                </w:p>
              </w:tc>
              <w:tc>
                <w:tcPr>
                  <w:tcW w:w="1230" w:type="pct"/>
                  <w:vMerge w:val="continue"/>
                  <w:vAlign w:val="center"/>
                </w:tcPr>
                <w:p w14:paraId="17E29D79">
                  <w:pPr>
                    <w:keepLines/>
                    <w:jc w:val="center"/>
                    <w:rPr>
                      <w:rFonts w:hint="default" w:ascii="Times New Roman" w:hAnsi="Times New Roman" w:eastAsia="宋体" w:cs="Times New Roman"/>
                      <w:color w:val="000000" w:themeColor="text1"/>
                      <w14:textFill>
                        <w14:solidFill>
                          <w14:schemeClr w14:val="tx1"/>
                        </w14:solidFill>
                      </w14:textFill>
                    </w:rPr>
                  </w:pPr>
                </w:p>
              </w:tc>
              <w:tc>
                <w:tcPr>
                  <w:tcW w:w="681" w:type="pct"/>
                  <w:shd w:val="clear" w:color="auto" w:fill="auto"/>
                  <w:vAlign w:val="center"/>
                </w:tcPr>
                <w:p w14:paraId="6919E3FC">
                  <w:pPr>
                    <w:keepLines/>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昼间</w:t>
                  </w:r>
                </w:p>
              </w:tc>
              <w:tc>
                <w:tcPr>
                  <w:tcW w:w="682" w:type="pct"/>
                  <w:vAlign w:val="center"/>
                </w:tcPr>
                <w:p w14:paraId="446E0559">
                  <w:pPr>
                    <w:keepLines/>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夜间</w:t>
                  </w:r>
                </w:p>
              </w:tc>
              <w:tc>
                <w:tcPr>
                  <w:tcW w:w="702" w:type="pct"/>
                  <w:vMerge w:val="continue"/>
                  <w:vAlign w:val="center"/>
                </w:tcPr>
                <w:p w14:paraId="3109A9C4">
                  <w:pPr>
                    <w:keepLines/>
                    <w:jc w:val="center"/>
                    <w:rPr>
                      <w:rFonts w:hint="default" w:ascii="Times New Roman" w:hAnsi="Times New Roman" w:eastAsia="宋体" w:cs="Times New Roman"/>
                      <w:b/>
                      <w:bCs/>
                      <w:color w:val="000000" w:themeColor="text1"/>
                      <w:szCs w:val="21"/>
                      <w14:textFill>
                        <w14:solidFill>
                          <w14:schemeClr w14:val="tx1"/>
                        </w14:solidFill>
                      </w14:textFill>
                    </w:rPr>
                  </w:pPr>
                </w:p>
              </w:tc>
            </w:tr>
            <w:tr w14:paraId="1BA7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pct"/>
                  <w:vAlign w:val="center"/>
                </w:tcPr>
                <w:p w14:paraId="522AACB5">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东侧边界</w:t>
                  </w:r>
                </w:p>
              </w:tc>
              <w:tc>
                <w:tcPr>
                  <w:tcW w:w="1230" w:type="pct"/>
                  <w:vAlign w:val="center"/>
                </w:tcPr>
                <w:p w14:paraId="576DCC81">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52.3</w:t>
                  </w:r>
                </w:p>
              </w:tc>
              <w:tc>
                <w:tcPr>
                  <w:tcW w:w="681" w:type="pct"/>
                  <w:vAlign w:val="center"/>
                </w:tcPr>
                <w:p w14:paraId="37212E19">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65</w:t>
                  </w:r>
                </w:p>
              </w:tc>
              <w:tc>
                <w:tcPr>
                  <w:tcW w:w="682" w:type="pct"/>
                  <w:vAlign w:val="center"/>
                </w:tcPr>
                <w:p w14:paraId="02325FC5">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55</w:t>
                  </w:r>
                </w:p>
              </w:tc>
              <w:tc>
                <w:tcPr>
                  <w:tcW w:w="702" w:type="pct"/>
                  <w:vAlign w:val="center"/>
                </w:tcPr>
                <w:p w14:paraId="78AE46A7">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r w14:paraId="1276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pct"/>
                  <w:vAlign w:val="center"/>
                </w:tcPr>
                <w:p w14:paraId="5B1313FC">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南侧边界</w:t>
                  </w:r>
                </w:p>
              </w:tc>
              <w:tc>
                <w:tcPr>
                  <w:tcW w:w="1230" w:type="pct"/>
                  <w:vAlign w:val="center"/>
                </w:tcPr>
                <w:p w14:paraId="4B0CF149">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52.41</w:t>
                  </w:r>
                </w:p>
              </w:tc>
              <w:tc>
                <w:tcPr>
                  <w:tcW w:w="681" w:type="pct"/>
                  <w:vAlign w:val="center"/>
                </w:tcPr>
                <w:p w14:paraId="32E15366">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65</w:t>
                  </w:r>
                </w:p>
              </w:tc>
              <w:tc>
                <w:tcPr>
                  <w:tcW w:w="682" w:type="pct"/>
                  <w:vAlign w:val="center"/>
                </w:tcPr>
                <w:p w14:paraId="377B837B">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55</w:t>
                  </w:r>
                </w:p>
              </w:tc>
              <w:tc>
                <w:tcPr>
                  <w:tcW w:w="702" w:type="pct"/>
                  <w:vAlign w:val="center"/>
                </w:tcPr>
                <w:p w14:paraId="4F9F1257">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r w14:paraId="7D90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pct"/>
                  <w:vAlign w:val="center"/>
                </w:tcPr>
                <w:p w14:paraId="22B98D99">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西侧边界</w:t>
                  </w:r>
                </w:p>
              </w:tc>
              <w:tc>
                <w:tcPr>
                  <w:tcW w:w="1230" w:type="pct"/>
                  <w:vAlign w:val="center"/>
                </w:tcPr>
                <w:p w14:paraId="6EDC35A6">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53.19</w:t>
                  </w:r>
                </w:p>
              </w:tc>
              <w:tc>
                <w:tcPr>
                  <w:tcW w:w="681" w:type="pct"/>
                  <w:vAlign w:val="center"/>
                </w:tcPr>
                <w:p w14:paraId="7CC6DE46">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65</w:t>
                  </w:r>
                </w:p>
              </w:tc>
              <w:tc>
                <w:tcPr>
                  <w:tcW w:w="682" w:type="pct"/>
                  <w:vAlign w:val="center"/>
                </w:tcPr>
                <w:p w14:paraId="20A0CFDE">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55</w:t>
                  </w:r>
                </w:p>
              </w:tc>
              <w:tc>
                <w:tcPr>
                  <w:tcW w:w="702" w:type="pct"/>
                  <w:vAlign w:val="center"/>
                </w:tcPr>
                <w:p w14:paraId="07C8E6BA">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r w14:paraId="70D1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pct"/>
                  <w:vAlign w:val="center"/>
                </w:tcPr>
                <w:p w14:paraId="347371C6">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北侧边界</w:t>
                  </w:r>
                </w:p>
              </w:tc>
              <w:tc>
                <w:tcPr>
                  <w:tcW w:w="1230" w:type="pct"/>
                  <w:vAlign w:val="center"/>
                </w:tcPr>
                <w:p w14:paraId="0FA2E618">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52.44</w:t>
                  </w:r>
                </w:p>
              </w:tc>
              <w:tc>
                <w:tcPr>
                  <w:tcW w:w="681" w:type="pct"/>
                  <w:vAlign w:val="center"/>
                </w:tcPr>
                <w:p w14:paraId="37A07E88">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65</w:t>
                  </w:r>
                </w:p>
              </w:tc>
              <w:tc>
                <w:tcPr>
                  <w:tcW w:w="682" w:type="pct"/>
                  <w:vAlign w:val="center"/>
                </w:tcPr>
                <w:p w14:paraId="0FB1B4EE">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55</w:t>
                  </w:r>
                </w:p>
              </w:tc>
              <w:tc>
                <w:tcPr>
                  <w:tcW w:w="702" w:type="pct"/>
                  <w:vAlign w:val="center"/>
                </w:tcPr>
                <w:p w14:paraId="162B08F2">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r w14:paraId="32C5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pct"/>
                  <w:vAlign w:val="center"/>
                </w:tcPr>
                <w:p w14:paraId="744D211E">
                  <w:pPr>
                    <w:keepLine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声环境敏感点（江川工业园区管委会）</w:t>
                  </w:r>
                </w:p>
              </w:tc>
              <w:tc>
                <w:tcPr>
                  <w:tcW w:w="1230" w:type="pct"/>
                  <w:vAlign w:val="center"/>
                </w:tcPr>
                <w:p w14:paraId="2D653E3B">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37.38</w:t>
                  </w:r>
                </w:p>
              </w:tc>
              <w:tc>
                <w:tcPr>
                  <w:tcW w:w="681" w:type="pct"/>
                  <w:vAlign w:val="center"/>
                </w:tcPr>
                <w:p w14:paraId="7D792BE0">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60</w:t>
                  </w:r>
                </w:p>
              </w:tc>
              <w:tc>
                <w:tcPr>
                  <w:tcW w:w="682" w:type="pct"/>
                  <w:vAlign w:val="center"/>
                </w:tcPr>
                <w:p w14:paraId="2D0E4D03">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w:t>
                  </w:r>
                </w:p>
              </w:tc>
              <w:tc>
                <w:tcPr>
                  <w:tcW w:w="702" w:type="pct"/>
                  <w:vAlign w:val="center"/>
                </w:tcPr>
                <w:p w14:paraId="366473F7">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bl>
          <w:p w14:paraId="1630C738">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w:t>
            </w:r>
            <w:r>
              <w:rPr>
                <w:rFonts w:hint="default" w:ascii="Times New Roman" w:hAnsi="Times New Roman" w:eastAsia="宋体" w:cs="Times New Roman"/>
                <w:b/>
                <w:bCs/>
                <w:color w:val="000000" w:themeColor="text1"/>
                <w:szCs w:val="21"/>
                <w:lang w:val="en-US" w:eastAsia="zh-CN"/>
                <w14:textFill>
                  <w14:solidFill>
                    <w14:schemeClr w14:val="tx1"/>
                  </w14:solidFill>
                </w14:textFill>
              </w:rPr>
              <w:t>20</w:t>
            </w:r>
            <w:r>
              <w:rPr>
                <w:rFonts w:hint="default" w:ascii="Times New Roman" w:hAnsi="Times New Roman" w:eastAsia="宋体" w:cs="Times New Roman"/>
                <w:b/>
                <w:bCs/>
                <w:color w:val="000000" w:themeColor="text1"/>
                <w:szCs w:val="21"/>
                <w:lang w:eastAsia="zh-CN"/>
                <w14:textFill>
                  <w14:solidFill>
                    <w14:schemeClr w14:val="tx1"/>
                  </w14:solidFill>
                </w14:textFill>
              </w:rPr>
              <w:t>敏感点预测值</w:t>
            </w:r>
            <w:r>
              <w:rPr>
                <w:rFonts w:hint="default" w:ascii="Times New Roman" w:hAnsi="Times New Roman" w:eastAsia="宋体" w:cs="Times New Roman"/>
                <w:b/>
                <w:bCs/>
                <w:color w:val="000000" w:themeColor="text1"/>
                <w:szCs w:val="21"/>
                <w14:textFill>
                  <w14:solidFill>
                    <w14:schemeClr w14:val="tx1"/>
                  </w14:solidFill>
                </w14:textFill>
              </w:rPr>
              <w:t>一览表单位：dB（A）</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408"/>
              <w:gridCol w:w="779"/>
              <w:gridCol w:w="782"/>
              <w:gridCol w:w="1561"/>
              <w:gridCol w:w="781"/>
              <w:gridCol w:w="797"/>
              <w:gridCol w:w="4"/>
            </w:tblGrid>
            <w:tr w14:paraId="51E8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209" w:type="pct"/>
                  <w:vMerge w:val="restart"/>
                  <w:vAlign w:val="center"/>
                </w:tcPr>
                <w:p w14:paraId="47D802A2">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预测点</w:t>
                  </w:r>
                </w:p>
              </w:tc>
              <w:tc>
                <w:tcPr>
                  <w:tcW w:w="873" w:type="pct"/>
                  <w:vMerge w:val="restart"/>
                  <w:vAlign w:val="center"/>
                </w:tcPr>
                <w:p w14:paraId="3975E297">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贡献值</w:t>
                  </w:r>
                </w:p>
              </w:tc>
              <w:tc>
                <w:tcPr>
                  <w:tcW w:w="968" w:type="pct"/>
                  <w:gridSpan w:val="2"/>
                  <w:vAlign w:val="center"/>
                </w:tcPr>
                <w:p w14:paraId="1CC836A0">
                  <w:pPr>
                    <w:keepLines/>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现状值</w:t>
                  </w:r>
                </w:p>
              </w:tc>
              <w:tc>
                <w:tcPr>
                  <w:tcW w:w="968" w:type="pct"/>
                  <w:vAlign w:val="center"/>
                </w:tcPr>
                <w:p w14:paraId="61E4BDD5">
                  <w:pPr>
                    <w:keepLines/>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预测值</w:t>
                  </w:r>
                </w:p>
              </w:tc>
              <w:tc>
                <w:tcPr>
                  <w:tcW w:w="484" w:type="pct"/>
                  <w:vAlign w:val="center"/>
                </w:tcPr>
                <w:p w14:paraId="6D3C9919">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执行标准</w:t>
                  </w:r>
                </w:p>
              </w:tc>
              <w:tc>
                <w:tcPr>
                  <w:tcW w:w="496" w:type="pct"/>
                  <w:gridSpan w:val="2"/>
                  <w:vMerge w:val="restart"/>
                  <w:vAlign w:val="center"/>
                </w:tcPr>
                <w:p w14:paraId="75387FFE">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达标分析</w:t>
                  </w:r>
                </w:p>
              </w:tc>
            </w:tr>
            <w:tr w14:paraId="3AF6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Pr>
              <w:tc>
                <w:tcPr>
                  <w:tcW w:w="1209" w:type="pct"/>
                  <w:vMerge w:val="restart"/>
                  <w:vAlign w:val="center"/>
                </w:tcPr>
                <w:p w14:paraId="18D3E17B">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声环境敏感点（江川工业园区管委会）</w:t>
                  </w:r>
                </w:p>
              </w:tc>
              <w:tc>
                <w:tcPr>
                  <w:tcW w:w="873" w:type="pct"/>
                  <w:vMerge w:val="restart"/>
                  <w:vAlign w:val="center"/>
                </w:tcPr>
                <w:p w14:paraId="2F14D5E7">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37.38</w:t>
                  </w:r>
                </w:p>
              </w:tc>
              <w:tc>
                <w:tcPr>
                  <w:tcW w:w="483" w:type="pct"/>
                  <w:vAlign w:val="center"/>
                </w:tcPr>
                <w:p w14:paraId="734831E8">
                  <w:pPr>
                    <w:keepLines/>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昼间</w:t>
                  </w:r>
                </w:p>
              </w:tc>
              <w:tc>
                <w:tcPr>
                  <w:tcW w:w="484" w:type="pct"/>
                  <w:vAlign w:val="center"/>
                </w:tcPr>
                <w:p w14:paraId="34AF1E5E">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52</w:t>
                  </w:r>
                </w:p>
              </w:tc>
              <w:tc>
                <w:tcPr>
                  <w:tcW w:w="968" w:type="pct"/>
                  <w:vAlign w:val="center"/>
                </w:tcPr>
                <w:p w14:paraId="55619A29">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52.15</w:t>
                  </w:r>
                </w:p>
              </w:tc>
              <w:tc>
                <w:tcPr>
                  <w:tcW w:w="484" w:type="pct"/>
                  <w:vAlign w:val="center"/>
                </w:tcPr>
                <w:p w14:paraId="2EE3381A">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60</w:t>
                  </w:r>
                </w:p>
              </w:tc>
              <w:tc>
                <w:tcPr>
                  <w:tcW w:w="494" w:type="pct"/>
                  <w:vAlign w:val="center"/>
                </w:tcPr>
                <w:p w14:paraId="32BDCE53">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r w14:paraId="1267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Pr>
              <w:tc>
                <w:tcPr>
                  <w:tcW w:w="1209" w:type="pct"/>
                  <w:vMerge w:val="continue"/>
                  <w:vAlign w:val="center"/>
                </w:tcPr>
                <w:p w14:paraId="65491730">
                  <w:pPr>
                    <w:keepLines/>
                    <w:jc w:val="center"/>
                    <w:rPr>
                      <w:rFonts w:hint="default" w:ascii="Times New Roman" w:hAnsi="Times New Roman" w:eastAsia="宋体" w:cs="Times New Roman"/>
                      <w:color w:val="000000" w:themeColor="text1"/>
                      <w:szCs w:val="21"/>
                      <w14:textFill>
                        <w14:solidFill>
                          <w14:schemeClr w14:val="tx1"/>
                        </w14:solidFill>
                      </w14:textFill>
                    </w:rPr>
                  </w:pPr>
                </w:p>
              </w:tc>
              <w:tc>
                <w:tcPr>
                  <w:tcW w:w="873" w:type="pct"/>
                  <w:vMerge w:val="continue"/>
                  <w:vAlign w:val="center"/>
                </w:tcPr>
                <w:p w14:paraId="28DBF6B6">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483" w:type="pct"/>
                  <w:vAlign w:val="center"/>
                </w:tcPr>
                <w:p w14:paraId="11910381">
                  <w:pPr>
                    <w:keepLines/>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夜间</w:t>
                  </w:r>
                </w:p>
              </w:tc>
              <w:tc>
                <w:tcPr>
                  <w:tcW w:w="484" w:type="pct"/>
                  <w:vAlign w:val="center"/>
                </w:tcPr>
                <w:p w14:paraId="5EFFC4F5">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41</w:t>
                  </w:r>
                </w:p>
              </w:tc>
              <w:tc>
                <w:tcPr>
                  <w:tcW w:w="968" w:type="pct"/>
                  <w:vAlign w:val="center"/>
                </w:tcPr>
                <w:p w14:paraId="06B684C7">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42.57</w:t>
                  </w:r>
                </w:p>
              </w:tc>
              <w:tc>
                <w:tcPr>
                  <w:tcW w:w="484" w:type="pct"/>
                  <w:vAlign w:val="center"/>
                </w:tcPr>
                <w:p w14:paraId="0AC0D352">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w:t>
                  </w:r>
                </w:p>
              </w:tc>
              <w:tc>
                <w:tcPr>
                  <w:tcW w:w="494" w:type="pct"/>
                  <w:vAlign w:val="center"/>
                </w:tcPr>
                <w:p w14:paraId="7B35539A">
                  <w:pPr>
                    <w:keepLine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bl>
          <w:p w14:paraId="28D41FBC">
            <w:pPr>
              <w:keepLines/>
              <w:spacing w:line="360" w:lineRule="auto"/>
              <w:ind w:firstLine="480" w:firstLineChars="200"/>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预测结果趋势图中，</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y轴坐标为分贝值dB（A），x轴坐标为拐点。</w:t>
            </w:r>
            <w:r>
              <w:rPr>
                <w:rFonts w:hint="default" w:ascii="Times New Roman" w:hAnsi="Times New Roman" w:eastAsia="宋体" w:cs="Times New Roman"/>
                <w:b w:val="0"/>
                <w:bCs w:val="0"/>
                <w:color w:val="000000" w:themeColor="text1"/>
                <w:sz w:val="24"/>
                <w:szCs w:val="24"/>
                <w14:textFill>
                  <w14:solidFill>
                    <w14:schemeClr w14:val="tx1"/>
                  </w14:solidFill>
                </w14:textFill>
              </w:rPr>
              <w:t>预测结果趋势图</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如下：</w:t>
            </w:r>
          </w:p>
          <w:p w14:paraId="48A498C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4074160" cy="3410585"/>
                  <wp:effectExtent l="15875" t="15875" r="24765" b="2159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5"/>
                          <a:stretch>
                            <a:fillRect/>
                          </a:stretch>
                        </pic:blipFill>
                        <pic:spPr>
                          <a:xfrm>
                            <a:off x="0" y="0"/>
                            <a:ext cx="4074160" cy="3410585"/>
                          </a:xfrm>
                          <a:prstGeom prst="rect">
                            <a:avLst/>
                          </a:prstGeom>
                          <a:noFill/>
                          <a:ln w="15875">
                            <a:solidFill>
                              <a:schemeClr val="tx1"/>
                            </a:solidFill>
                          </a:ln>
                        </pic:spPr>
                      </pic:pic>
                    </a:graphicData>
                  </a:graphic>
                </wp:inline>
              </w:drawing>
            </w:r>
          </w:p>
          <w:p w14:paraId="0C459619">
            <w:pPr>
              <w:pStyle w:val="30"/>
              <w:keepNext w:val="0"/>
              <w:keepLines w:val="0"/>
              <w:pageBreakBefore w:val="0"/>
              <w:widowControl w:val="0"/>
              <w:kinsoku/>
              <w:wordWrap/>
              <w:overflowPunct/>
              <w:topLinePunct w:val="0"/>
              <w:bidi w:val="0"/>
              <w:adjustRightInd/>
              <w:snapToGrid/>
              <w:spacing w:before="0" w:after="0" w:line="240" w:lineRule="auto"/>
              <w:ind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噪声预测图</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设备序号同表4-17一致</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p>
          <w:p w14:paraId="0E220244">
            <w:pPr>
              <w:pStyle w:val="30"/>
              <w:snapToGrid/>
              <w:spacing w:before="0" w:after="0" w:line="240" w:lineRule="auto"/>
              <w:ind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p w14:paraId="10F7E3E9">
            <w:pPr>
              <w:pStyle w:val="30"/>
              <w:snapToGrid/>
              <w:spacing w:before="0" w:after="0" w:line="240" w:lineRule="auto"/>
              <w:ind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3879215" cy="733425"/>
                  <wp:effectExtent l="0" t="0" r="6985" b="952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6"/>
                          <a:stretch>
                            <a:fillRect/>
                          </a:stretch>
                        </pic:blipFill>
                        <pic:spPr>
                          <a:xfrm>
                            <a:off x="0" y="0"/>
                            <a:ext cx="3879215" cy="733425"/>
                          </a:xfrm>
                          <a:prstGeom prst="rect">
                            <a:avLst/>
                          </a:prstGeom>
                          <a:noFill/>
                          <a:ln>
                            <a:noFill/>
                          </a:ln>
                        </pic:spPr>
                      </pic:pic>
                    </a:graphicData>
                  </a:graphic>
                </wp:inline>
              </w:drawing>
            </w:r>
          </w:p>
          <w:p w14:paraId="49D5CDF5">
            <w:pPr>
              <w:pStyle w:val="30"/>
              <w:snapToGrid/>
              <w:spacing w:before="0" w:after="0" w:line="240" w:lineRule="auto"/>
              <w:ind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厂界东侧预测结果趋势图</w:t>
            </w:r>
          </w:p>
          <w:p w14:paraId="01355EC5">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3968115" cy="724535"/>
                  <wp:effectExtent l="0" t="0" r="13335" b="184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7"/>
                          <a:stretch>
                            <a:fillRect/>
                          </a:stretch>
                        </pic:blipFill>
                        <pic:spPr>
                          <a:xfrm>
                            <a:off x="0" y="0"/>
                            <a:ext cx="3968115" cy="724535"/>
                          </a:xfrm>
                          <a:prstGeom prst="rect">
                            <a:avLst/>
                          </a:prstGeom>
                          <a:noFill/>
                          <a:ln>
                            <a:noFill/>
                          </a:ln>
                        </pic:spPr>
                      </pic:pic>
                    </a:graphicData>
                  </a:graphic>
                </wp:inline>
              </w:drawing>
            </w:r>
          </w:p>
          <w:p w14:paraId="2E620DF7">
            <w:pPr>
              <w:pStyle w:val="30"/>
              <w:snapToGrid/>
              <w:spacing w:before="0" w:after="0" w:line="240" w:lineRule="auto"/>
              <w:ind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厂界南侧预测结果趋势图</w:t>
            </w:r>
          </w:p>
          <w:p w14:paraId="62B43E41">
            <w:pPr>
              <w:pStyle w:val="30"/>
              <w:snapToGrid/>
              <w:spacing w:before="0" w:after="0" w:line="240" w:lineRule="auto"/>
              <w:ind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4001770" cy="783590"/>
                  <wp:effectExtent l="0" t="0" r="17780" b="1651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8"/>
                          <a:stretch>
                            <a:fillRect/>
                          </a:stretch>
                        </pic:blipFill>
                        <pic:spPr>
                          <a:xfrm>
                            <a:off x="0" y="0"/>
                            <a:ext cx="4001770" cy="783590"/>
                          </a:xfrm>
                          <a:prstGeom prst="rect">
                            <a:avLst/>
                          </a:prstGeom>
                          <a:noFill/>
                          <a:ln>
                            <a:noFill/>
                          </a:ln>
                        </pic:spPr>
                      </pic:pic>
                    </a:graphicData>
                  </a:graphic>
                </wp:inline>
              </w:drawing>
            </w:r>
          </w:p>
          <w:p w14:paraId="46EA57E1">
            <w:pPr>
              <w:pStyle w:val="30"/>
              <w:snapToGrid/>
              <w:spacing w:before="0" w:after="0" w:line="240" w:lineRule="auto"/>
              <w:ind w:right="0" w:firstLine="0" w:firstLineChars="0"/>
              <w:jc w:val="center"/>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厂界西侧预测结果趋势图</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p>
          <w:p w14:paraId="4AD8FBD4">
            <w:pPr>
              <w:pStyle w:val="30"/>
              <w:snapToGrid/>
              <w:spacing w:before="0" w:after="0" w:line="240" w:lineRule="auto"/>
              <w:ind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3905885" cy="745490"/>
                  <wp:effectExtent l="0" t="0" r="18415" b="1651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9"/>
                          <a:stretch>
                            <a:fillRect/>
                          </a:stretch>
                        </pic:blipFill>
                        <pic:spPr>
                          <a:xfrm>
                            <a:off x="0" y="0"/>
                            <a:ext cx="3905885" cy="745490"/>
                          </a:xfrm>
                          <a:prstGeom prst="rect">
                            <a:avLst/>
                          </a:prstGeom>
                          <a:noFill/>
                          <a:ln>
                            <a:noFill/>
                          </a:ln>
                        </pic:spPr>
                      </pic:pic>
                    </a:graphicData>
                  </a:graphic>
                </wp:inline>
              </w:drawing>
            </w:r>
          </w:p>
          <w:p w14:paraId="5C3E57FD">
            <w:pPr>
              <w:pStyle w:val="30"/>
              <w:snapToGrid/>
              <w:spacing w:before="0" w:after="0" w:line="240" w:lineRule="auto"/>
              <w:ind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14:textFill>
                  <w14:solidFill>
                    <w14:schemeClr w14:val="tx1"/>
                  </w14:solidFill>
                </w14:textFill>
              </w:rPr>
              <w:t>厂界北侧预测结果趋势图</w:t>
            </w:r>
          </w:p>
          <w:p w14:paraId="1129E570">
            <w:pPr>
              <w:keepLines/>
              <w:autoSpaceDE w:val="0"/>
              <w:autoSpaceDN w:val="0"/>
              <w:spacing w:line="360" w:lineRule="auto"/>
              <w:ind w:firstLine="480" w:firstLineChars="200"/>
              <w:rPr>
                <w:rFonts w:hint="default"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根据上表可知，本项目在厂界昼间</w:t>
            </w:r>
            <w:r>
              <w:rPr>
                <w:rFonts w:hint="default" w:ascii="Times New Roman" w:hAnsi="Times New Roman" w:eastAsia="宋体" w:cs="Times New Roman"/>
                <w:color w:val="000000" w:themeColor="text1"/>
                <w:sz w:val="24"/>
                <w:szCs w:val="22"/>
                <w:lang w:eastAsia="zh-CN"/>
                <w14:textFill>
                  <w14:solidFill>
                    <w14:schemeClr w14:val="tx1"/>
                  </w14:solidFill>
                </w14:textFill>
              </w:rPr>
              <w:t>、夜间</w:t>
            </w:r>
            <w:r>
              <w:rPr>
                <w:rFonts w:hint="default" w:ascii="Times New Roman" w:hAnsi="Times New Roman" w:eastAsia="宋体" w:cs="Times New Roman"/>
                <w:color w:val="000000" w:themeColor="text1"/>
                <w:sz w:val="24"/>
                <w:szCs w:val="22"/>
                <w14:textFill>
                  <w14:solidFill>
                    <w14:schemeClr w14:val="tx1"/>
                  </w14:solidFill>
                </w14:textFill>
              </w:rPr>
              <w:t>均能达到</w:t>
            </w:r>
            <w:r>
              <w:rPr>
                <w:rFonts w:hint="default"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14:textFill>
                  <w14:solidFill>
                    <w14:schemeClr w14:val="tx1"/>
                  </w14:solidFill>
                </w14:textFill>
              </w:rPr>
              <w:t>工业企业厂界环境噪声排放标准》（GB12348-2008）中</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2"/>
                <w14:textFill>
                  <w14:solidFill>
                    <w14:schemeClr w14:val="tx1"/>
                  </w14:solidFill>
                </w14:textFill>
              </w:rPr>
              <w:t>类标准限值要求</w:t>
            </w:r>
            <w:r>
              <w:rPr>
                <w:rFonts w:hint="default" w:ascii="Times New Roman" w:hAnsi="Times New Roman" w:eastAsia="宋体" w:cs="Times New Roman"/>
                <w:color w:val="000000" w:themeColor="text1"/>
                <w:sz w:val="24"/>
                <w:szCs w:val="22"/>
                <w:lang w:eastAsia="zh-CN"/>
                <w14:textFill>
                  <w14:solidFill>
                    <w14:schemeClr w14:val="tx1"/>
                  </w14:solidFill>
                </w14:textFill>
              </w:rPr>
              <w:t>，关心点预测值能够满足《声环境质量标准》（</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GB3096-2008</w:t>
            </w:r>
            <w:r>
              <w:rPr>
                <w:rFonts w:hint="default" w:ascii="Times New Roman" w:hAnsi="Times New Roman" w:eastAsia="宋体" w:cs="Times New Roman"/>
                <w:color w:val="000000" w:themeColor="text1"/>
                <w:sz w:val="24"/>
                <w:szCs w:val="22"/>
                <w:lang w:eastAsia="zh-CN"/>
                <w14:textFill>
                  <w14:solidFill>
                    <w14:schemeClr w14:val="tx1"/>
                  </w14:solidFill>
                </w14:textFill>
              </w:rPr>
              <w:t>）中</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2类标准要求</w:t>
            </w:r>
            <w:r>
              <w:rPr>
                <w:rFonts w:hint="default" w:ascii="Times New Roman" w:hAnsi="Times New Roman" w:eastAsia="宋体" w:cs="Times New Roman"/>
                <w:color w:val="000000" w:themeColor="text1"/>
                <w:sz w:val="24"/>
                <w:szCs w:val="22"/>
                <w:lang w:eastAsia="zh-CN"/>
                <w14:textFill>
                  <w14:solidFill>
                    <w14:schemeClr w14:val="tx1"/>
                  </w14:solidFill>
                </w14:textFill>
              </w:rPr>
              <w:t>。</w:t>
            </w:r>
          </w:p>
          <w:p w14:paraId="7316B843">
            <w:pPr>
              <w:keepLines/>
              <w:autoSpaceDE w:val="0"/>
              <w:autoSpaceDN w:val="0"/>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lang w:eastAsia="zh-CN"/>
                <w14:textFill>
                  <w14:solidFill>
                    <w14:schemeClr w14:val="tx1"/>
                  </w14:solidFill>
                </w14:textFill>
              </w:rPr>
              <w:t>故</w:t>
            </w:r>
            <w:r>
              <w:rPr>
                <w:rFonts w:hint="default" w:ascii="Times New Roman" w:hAnsi="Times New Roman" w:eastAsia="宋体" w:cs="Times New Roman"/>
                <w:color w:val="000000" w:themeColor="text1"/>
                <w:sz w:val="24"/>
                <w:szCs w:val="22"/>
                <w14:textFill>
                  <w14:solidFill>
                    <w14:schemeClr w14:val="tx1"/>
                  </w14:solidFill>
                </w14:textFill>
              </w:rPr>
              <w:t>为进一步减少项目噪声对周围环境的影响，环评要求噪声防治应采取以下对策措施：</w:t>
            </w:r>
          </w:p>
          <w:p w14:paraId="094B9A67">
            <w:pPr>
              <w:keepLines/>
              <w:autoSpaceDE w:val="0"/>
              <w:autoSpaceDN w:val="0"/>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①合理安排设备安放位置，尽可能利用距离进行声级衰减。</w:t>
            </w:r>
          </w:p>
          <w:p w14:paraId="76CE5823">
            <w:pPr>
              <w:keepLines/>
              <w:autoSpaceDE w:val="0"/>
              <w:autoSpaceDN w:val="0"/>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②选用低噪声设备，高噪声设备必须安装在加有减振垫的隔振基础上，同时设备之间保持间距，避免噪声叠加影响。</w:t>
            </w:r>
          </w:p>
          <w:p w14:paraId="109FE084">
            <w:pPr>
              <w:keepLines/>
              <w:autoSpaceDE w:val="0"/>
              <w:autoSpaceDN w:val="0"/>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③生产主要产噪设备均设置于厂房内，以保证厂界噪声能够达标。</w:t>
            </w:r>
          </w:p>
          <w:p w14:paraId="32536B93">
            <w:pPr>
              <w:keepLines/>
              <w:autoSpaceDE w:val="0"/>
              <w:autoSpaceDN w:val="0"/>
              <w:spacing w:line="360" w:lineRule="auto"/>
              <w:ind w:firstLine="480" w:firstLineChars="200"/>
              <w:rPr>
                <w:rFonts w:hint="default"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④加强设备的维护，确保设备处于良好的运转状态，杜绝因设备不正常运转时产生的高噪声现象</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455655B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w:t>
            </w:r>
            <w:r>
              <w:rPr>
                <w:rFonts w:hint="default" w:ascii="Times New Roman" w:hAnsi="Times New Roman" w:eastAsia="宋体" w:cs="Times New Roman"/>
                <w:color w:val="000000" w:themeColor="text1"/>
                <w:spacing w:val="9"/>
                <w:sz w:val="24"/>
                <w:szCs w:val="24"/>
                <w14:textFill>
                  <w14:solidFill>
                    <w14:schemeClr w14:val="tx1"/>
                  </w14:solidFill>
                </w14:textFill>
              </w:rPr>
              <w:t>加强作业管理</w:t>
            </w:r>
            <w:r>
              <w:rPr>
                <w:rFonts w:hint="default" w:ascii="Times New Roman" w:hAnsi="Times New Roman" w:eastAsia="宋体" w:cs="Times New Roman"/>
                <w:color w:val="000000" w:themeColor="text1"/>
                <w:spacing w:val="9"/>
                <w:sz w:val="24"/>
                <w:szCs w:val="24"/>
                <w:lang w:eastAsia="zh-CN"/>
                <w14:textFill>
                  <w14:solidFill>
                    <w14:schemeClr w14:val="tx1"/>
                  </w14:solidFill>
                </w14:textFill>
              </w:rPr>
              <w:t>、文明生产，</w:t>
            </w:r>
            <w:r>
              <w:rPr>
                <w:rFonts w:hint="default" w:ascii="Times New Roman" w:hAnsi="Times New Roman" w:eastAsia="宋体" w:cs="Times New Roman"/>
                <w:color w:val="000000" w:themeColor="text1"/>
                <w:spacing w:val="9"/>
                <w:sz w:val="24"/>
                <w:szCs w:val="24"/>
                <w14:textFill>
                  <w14:solidFill>
                    <w14:schemeClr w14:val="tx1"/>
                  </w14:solidFill>
                </w14:textFill>
              </w:rPr>
              <w:t>减少非正常噪声，加强职工环保意识教育</w:t>
            </w:r>
            <w:r>
              <w:rPr>
                <w:rFonts w:hint="default" w:ascii="Times New Roman" w:hAnsi="Times New Roman" w:eastAsia="宋体" w:cs="Times New Roman"/>
                <w:color w:val="000000" w:themeColor="text1"/>
                <w:sz w:val="24"/>
                <w:szCs w:val="24"/>
                <w14:textFill>
                  <w14:solidFill>
                    <w14:schemeClr w14:val="tx1"/>
                  </w14:solidFill>
                </w14:textFill>
              </w:rPr>
              <w:t>。</w:t>
            </w:r>
          </w:p>
          <w:p w14:paraId="01BCD22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w:t>
            </w:r>
            <w:r>
              <w:rPr>
                <w:rFonts w:hint="default" w:ascii="Times New Roman" w:hAnsi="Times New Roman" w:eastAsia="宋体" w:cs="Times New Roman"/>
                <w:color w:val="000000" w:themeColor="text1"/>
                <w:spacing w:val="16"/>
                <w:sz w:val="24"/>
                <w:szCs w:val="24"/>
                <w14:textFill>
                  <w14:solidFill>
                    <w14:schemeClr w14:val="tx1"/>
                  </w14:solidFill>
                </w14:textFill>
              </w:rPr>
              <w:t>加</w:t>
            </w:r>
            <w:r>
              <w:rPr>
                <w:rFonts w:hint="default" w:ascii="Times New Roman" w:hAnsi="Times New Roman" w:eastAsia="宋体" w:cs="Times New Roman"/>
                <w:color w:val="000000" w:themeColor="text1"/>
                <w:spacing w:val="12"/>
                <w:sz w:val="24"/>
                <w:szCs w:val="24"/>
                <w14:textFill>
                  <w14:solidFill>
                    <w14:schemeClr w14:val="tx1"/>
                  </w14:solidFill>
                </w14:textFill>
              </w:rPr>
              <w:t>强</w:t>
            </w:r>
            <w:r>
              <w:rPr>
                <w:rFonts w:hint="default" w:ascii="Times New Roman" w:hAnsi="Times New Roman" w:eastAsia="宋体" w:cs="Times New Roman"/>
                <w:color w:val="000000" w:themeColor="text1"/>
                <w:spacing w:val="8"/>
                <w:sz w:val="24"/>
                <w:szCs w:val="24"/>
                <w14:textFill>
                  <w14:solidFill>
                    <w14:schemeClr w14:val="tx1"/>
                  </w14:solidFill>
                </w14:textFill>
              </w:rPr>
              <w:t>对运输车辆的管理，加强车辆驾驶员的环保意识，尽可能减少鸣笛次</w:t>
            </w:r>
            <w:r>
              <w:rPr>
                <w:rFonts w:hint="default" w:ascii="Times New Roman" w:hAnsi="Times New Roman" w:eastAsia="宋体" w:cs="Times New Roman"/>
                <w:color w:val="000000" w:themeColor="text1"/>
                <w:spacing w:val="2"/>
                <w:sz w:val="24"/>
                <w:szCs w:val="24"/>
                <w14:textFill>
                  <w14:solidFill>
                    <w14:schemeClr w14:val="tx1"/>
                  </w14:solidFill>
                </w14:textFill>
              </w:rPr>
              <w:t>数</w:t>
            </w:r>
            <w:r>
              <w:rPr>
                <w:rFonts w:hint="default" w:ascii="Times New Roman" w:hAnsi="Times New Roman" w:eastAsia="宋体" w:cs="Times New Roman"/>
                <w:color w:val="000000" w:themeColor="text1"/>
                <w:sz w:val="24"/>
                <w:szCs w:val="24"/>
                <w14:textFill>
                  <w14:solidFill>
                    <w14:schemeClr w14:val="tx1"/>
                  </w14:solidFill>
                </w14:textFill>
              </w:rPr>
              <w:t>。</w:t>
            </w:r>
          </w:p>
          <w:p w14:paraId="0EEE61A6">
            <w:pPr>
              <w:keepLines/>
              <w:autoSpaceDE w:val="0"/>
              <w:autoSpaceDN w:val="0"/>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经采取上述措施后进一步减小本项目噪声对周围环境的影响。</w:t>
            </w:r>
          </w:p>
          <w:p w14:paraId="06AA9451">
            <w:pPr>
              <w:pStyle w:val="61"/>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监测要求</w:t>
            </w:r>
          </w:p>
          <w:p w14:paraId="3141BBC8">
            <w:pPr>
              <w:pStyle w:val="61"/>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both"/>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排污单位自行监测技术指南 总则》（HJ819-2017），本项目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噪声自行</w:t>
            </w:r>
            <w:r>
              <w:rPr>
                <w:rFonts w:hint="default" w:ascii="Times New Roman" w:hAnsi="Times New Roman" w:eastAsia="宋体" w:cs="Times New Roman"/>
                <w:color w:val="000000" w:themeColor="text1"/>
                <w:sz w:val="24"/>
                <w:szCs w:val="24"/>
                <w14:textFill>
                  <w14:solidFill>
                    <w14:schemeClr w14:val="tx1"/>
                  </w14:solidFill>
                </w14:textFill>
              </w:rPr>
              <w:t>监测要求详见下表</w:t>
            </w:r>
            <w:r>
              <w:rPr>
                <w:rFonts w:hint="default" w:ascii="Times New Roman" w:hAnsi="Times New Roman" w:eastAsia="宋体" w:cs="Times New Roman"/>
                <w:color w:val="000000" w:themeColor="text1"/>
                <w:sz w:val="24"/>
                <w14:textFill>
                  <w14:solidFill>
                    <w14:schemeClr w14:val="tx1"/>
                  </w14:solidFill>
                </w14:textFill>
              </w:rPr>
              <w:t>。</w:t>
            </w:r>
          </w:p>
          <w:p w14:paraId="6AC89023">
            <w:pPr>
              <w:pStyle w:val="130"/>
              <w:keepNext w:val="0"/>
              <w:keepLines w:val="0"/>
              <w:pageBreakBefore w:val="0"/>
              <w:widowControl w:val="0"/>
              <w:kinsoku/>
              <w:wordWrap w:val="0"/>
              <w:overflowPunct/>
              <w:topLinePunct/>
              <w:autoSpaceDE/>
              <w:autoSpaceDN/>
              <w:bidi w:val="0"/>
              <w:adjustRightInd/>
              <w:snapToGrid/>
              <w:spacing w:before="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default" w:ascii="Times New Roman" w:hAnsi="Times New Roman" w:eastAsia="宋体" w:cs="Times New Roman"/>
                <w:color w:val="000000" w:themeColor="text1"/>
                <w:lang w:val="en-US" w:eastAsia="zh-CN"/>
                <w14:textFill>
                  <w14:solidFill>
                    <w14:schemeClr w14:val="tx1"/>
                  </w14:solidFill>
                </w14:textFill>
              </w:rPr>
              <w:t>21</w:t>
            </w:r>
            <w:r>
              <w:rPr>
                <w:rFonts w:hint="default" w:ascii="Times New Roman" w:hAnsi="Times New Roman" w:eastAsia="宋体" w:cs="Times New Roman"/>
                <w:color w:val="000000" w:themeColor="text1"/>
                <w14:textFill>
                  <w14:solidFill>
                    <w14:schemeClr w14:val="tx1"/>
                  </w14:solidFill>
                </w14:textFill>
              </w:rPr>
              <w:t xml:space="preserve">  噪声</w:t>
            </w:r>
            <w:r>
              <w:rPr>
                <w:rFonts w:hint="default" w:ascii="Times New Roman" w:hAnsi="Times New Roman" w:eastAsia="宋体" w:cs="Times New Roman"/>
                <w:color w:val="000000" w:themeColor="text1"/>
                <w:lang w:eastAsia="zh-CN"/>
                <w14:textFill>
                  <w14:solidFill>
                    <w14:schemeClr w14:val="tx1"/>
                  </w14:solidFill>
                </w14:textFill>
              </w:rPr>
              <w:t>自行</w:t>
            </w:r>
            <w:r>
              <w:rPr>
                <w:rFonts w:hint="default" w:ascii="Times New Roman" w:hAnsi="Times New Roman" w:eastAsia="宋体" w:cs="Times New Roman"/>
                <w:color w:val="000000" w:themeColor="text1"/>
                <w14:textFill>
                  <w14:solidFill>
                    <w14:schemeClr w14:val="tx1"/>
                  </w14:solidFill>
                </w14:textFill>
              </w:rPr>
              <w:t>监测计划一览表</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538"/>
              <w:gridCol w:w="1411"/>
              <w:gridCol w:w="1817"/>
              <w:gridCol w:w="2471"/>
            </w:tblGrid>
            <w:tr w14:paraId="701E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1A0EE1D8">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类型</w:t>
                  </w:r>
                </w:p>
              </w:tc>
              <w:tc>
                <w:tcPr>
                  <w:tcW w:w="954" w:type="pct"/>
                  <w:vAlign w:val="center"/>
                </w:tcPr>
                <w:p w14:paraId="4544AFAE">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875" w:type="pct"/>
                  <w:vAlign w:val="center"/>
                </w:tcPr>
                <w:p w14:paraId="25F5F72A">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监测指标</w:t>
                  </w:r>
                </w:p>
              </w:tc>
              <w:tc>
                <w:tcPr>
                  <w:tcW w:w="1127" w:type="pct"/>
                  <w:vAlign w:val="center"/>
                </w:tcPr>
                <w:p w14:paraId="7BE0228A">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监测频次</w:t>
                  </w:r>
                </w:p>
              </w:tc>
              <w:tc>
                <w:tcPr>
                  <w:tcW w:w="1532" w:type="pct"/>
                  <w:vAlign w:val="center"/>
                </w:tcPr>
                <w:p w14:paraId="745D8B99">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执行标准</w:t>
                  </w:r>
                </w:p>
              </w:tc>
            </w:tr>
            <w:tr w14:paraId="021F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510" w:type="pct"/>
                  <w:vAlign w:val="center"/>
                </w:tcPr>
                <w:p w14:paraId="5B898BF2">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噪声</w:t>
                  </w:r>
                </w:p>
              </w:tc>
              <w:tc>
                <w:tcPr>
                  <w:tcW w:w="954" w:type="pct"/>
                  <w:vAlign w:val="center"/>
                </w:tcPr>
                <w:p w14:paraId="1195742D">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厂界东、南、西、北外1m处布点监测</w:t>
                  </w:r>
                </w:p>
              </w:tc>
              <w:tc>
                <w:tcPr>
                  <w:tcW w:w="875" w:type="pct"/>
                  <w:vAlign w:val="center"/>
                </w:tcPr>
                <w:p w14:paraId="4CE93182">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等效声级Leq（dB</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A</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w:t>
                  </w:r>
                </w:p>
              </w:tc>
              <w:tc>
                <w:tcPr>
                  <w:tcW w:w="1127" w:type="pct"/>
                  <w:vAlign w:val="center"/>
                </w:tcPr>
                <w:p w14:paraId="4A2F7AB0">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1季度/次，监测1天，昼间、夜间各1次</w:t>
                  </w:r>
                </w:p>
              </w:tc>
              <w:tc>
                <w:tcPr>
                  <w:tcW w:w="1532" w:type="pct"/>
                  <w:vAlign w:val="center"/>
                </w:tcPr>
                <w:p w14:paraId="38BB12C6">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《工业企业厂界环境噪声排放标准》（GB12348-2008）3类标准</w:t>
                  </w:r>
                </w:p>
              </w:tc>
            </w:tr>
          </w:tbl>
          <w:p w14:paraId="2EB9E9B2">
            <w:pPr>
              <w:keepNext w:val="0"/>
              <w:keepLines w:val="0"/>
              <w:pageBreakBefore w:val="0"/>
              <w:widowControl w:val="0"/>
              <w:kinsoku/>
              <w:wordWrap w:val="0"/>
              <w:overflowPunct/>
              <w:topLinePunct/>
              <w:autoSpaceDE/>
              <w:autoSpaceDN/>
              <w:bidi w:val="0"/>
              <w:adjustRightInd/>
              <w:spacing w:line="360" w:lineRule="auto"/>
              <w:ind w:firstLine="482" w:firstLineChars="200"/>
              <w:jc w:val="left"/>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4、固体废物环境影响和保护措施</w:t>
            </w:r>
          </w:p>
          <w:p w14:paraId="1C8F89DE">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项目运营期产生的固体废物主要为生活</w:t>
            </w:r>
            <w:r>
              <w:rPr>
                <w:rFonts w:hint="default" w:ascii="Times New Roman" w:hAnsi="Times New Roman" w:eastAsia="宋体" w:cs="Times New Roman"/>
                <w:color w:val="000000" w:themeColor="text1"/>
                <w:lang w:eastAsia="zh-CN"/>
                <w14:textFill>
                  <w14:solidFill>
                    <w14:schemeClr w14:val="tx1"/>
                  </w14:solidFill>
                </w14:textFill>
              </w:rPr>
              <w:t>垃圾、</w:t>
            </w:r>
            <w:r>
              <w:rPr>
                <w:rFonts w:hint="default" w:ascii="Times New Roman" w:hAnsi="Times New Roman" w:eastAsia="宋体" w:cs="Times New Roman"/>
                <w:color w:val="000000" w:themeColor="text1"/>
                <w14:textFill>
                  <w14:solidFill>
                    <w14:schemeClr w14:val="tx1"/>
                  </w14:solidFill>
                </w14:textFill>
              </w:rPr>
              <w:t>一般工业固废和危险废物。</w:t>
            </w:r>
          </w:p>
          <w:p w14:paraId="0E051FE1">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（1）生活垃圾</w:t>
            </w:r>
          </w:p>
          <w:p w14:paraId="15D88A88">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①生活垃圾</w:t>
            </w:r>
          </w:p>
          <w:p w14:paraId="5B615C5A">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本项目工作人员数量为</w:t>
            </w:r>
            <w:r>
              <w:rPr>
                <w:rFonts w:hint="default" w:ascii="Times New Roman" w:hAnsi="Times New Roman" w:eastAsia="宋体" w:cs="Times New Roman"/>
                <w:color w:val="000000" w:themeColor="text1"/>
                <w:lang w:val="en-US" w:eastAsia="zh-CN"/>
                <w14:textFill>
                  <w14:solidFill>
                    <w14:schemeClr w14:val="tx1"/>
                  </w14:solidFill>
                </w14:textFill>
              </w:rPr>
              <w:t>50</w:t>
            </w:r>
            <w:r>
              <w:rPr>
                <w:rFonts w:hint="default" w:ascii="Times New Roman" w:hAnsi="Times New Roman" w:eastAsia="宋体" w:cs="Times New Roman"/>
                <w:color w:val="000000" w:themeColor="text1"/>
                <w14:textFill>
                  <w14:solidFill>
                    <w14:schemeClr w14:val="tx1"/>
                  </w14:solidFill>
                </w14:textFill>
              </w:rPr>
              <w:t>人，员工不在厂区食宿，工作人员生活垃圾产生量按0.5kg/d·人计算，则员工生活垃圾的产生量为</w:t>
            </w:r>
            <w:r>
              <w:rPr>
                <w:rFonts w:hint="default" w:ascii="Times New Roman" w:hAnsi="Times New Roman" w:eastAsia="宋体" w:cs="Times New Roman"/>
                <w:color w:val="000000" w:themeColor="text1"/>
                <w:lang w:val="en-US" w:eastAsia="zh-CN"/>
                <w14:textFill>
                  <w14:solidFill>
                    <w14:schemeClr w14:val="tx1"/>
                  </w14:solidFill>
                </w14:textFill>
              </w:rPr>
              <w:t>25</w:t>
            </w:r>
            <w:r>
              <w:rPr>
                <w:rFonts w:hint="default" w:ascii="Times New Roman" w:hAnsi="Times New Roman" w:eastAsia="宋体" w:cs="Times New Roman"/>
                <w:color w:val="000000" w:themeColor="text1"/>
                <w14:textFill>
                  <w14:solidFill>
                    <w14:schemeClr w14:val="tx1"/>
                  </w14:solidFill>
                </w14:textFill>
              </w:rPr>
              <w:t>kg/d，</w:t>
            </w:r>
            <w:r>
              <w:rPr>
                <w:rFonts w:hint="default" w:ascii="Times New Roman" w:hAnsi="Times New Roman" w:eastAsia="宋体" w:cs="Times New Roman"/>
                <w:color w:val="000000" w:themeColor="text1"/>
                <w:lang w:val="en-US" w:eastAsia="zh-CN"/>
                <w14:textFill>
                  <w14:solidFill>
                    <w14:schemeClr w14:val="tx1"/>
                  </w14:solidFill>
                </w14:textFill>
              </w:rPr>
              <w:t>7.5</w:t>
            </w:r>
            <w:r>
              <w:rPr>
                <w:rFonts w:hint="default" w:ascii="Times New Roman" w:hAnsi="Times New Roman" w:eastAsia="宋体" w:cs="Times New Roman"/>
                <w:color w:val="000000" w:themeColor="text1"/>
                <w14:textFill>
                  <w14:solidFill>
                    <w14:schemeClr w14:val="tx1"/>
                  </w14:solidFill>
                </w14:textFill>
              </w:rPr>
              <w:t>t/a。生活垃圾由垃圾收集桶收集后运至</w:t>
            </w:r>
            <w:r>
              <w:rPr>
                <w:rFonts w:hint="default" w:ascii="Times New Roman" w:hAnsi="Times New Roman" w:eastAsia="宋体" w:cs="Times New Roman"/>
                <w:color w:val="000000" w:themeColor="text1"/>
                <w:lang w:eastAsia="zh-CN"/>
                <w14:textFill>
                  <w14:solidFill>
                    <w14:schemeClr w14:val="tx1"/>
                  </w14:solidFill>
                </w14:textFill>
              </w:rPr>
              <w:t>园区生活垃圾收集点，由环卫部门清运处置。</w:t>
            </w:r>
          </w:p>
          <w:p w14:paraId="24CE0310">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（2）一般工业固废</w:t>
            </w:r>
          </w:p>
          <w:p w14:paraId="4BD7582D">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①废包装材料</w:t>
            </w:r>
          </w:p>
          <w:p w14:paraId="30577242">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项目外购进厂的原材料在拆开时会产生一些包装物，主要为废包装膜等，根据建设单位提供资料，</w:t>
            </w:r>
            <w:r>
              <w:rPr>
                <w:rFonts w:hint="default" w:ascii="Times New Roman" w:hAnsi="Times New Roman" w:eastAsia="宋体" w:cs="Times New Roman"/>
                <w:color w:val="000000" w:themeColor="text1"/>
                <w:lang w:val="zh-CN" w:eastAsia="zh-CN"/>
                <w14:textFill>
                  <w14:solidFill>
                    <w14:schemeClr w14:val="tx1"/>
                  </w14:solidFill>
                </w14:textFill>
              </w:rPr>
              <w:t>废包装物产生量</w:t>
            </w:r>
            <w:r>
              <w:rPr>
                <w:rFonts w:hint="default" w:ascii="Times New Roman" w:hAnsi="Times New Roman" w:eastAsia="宋体" w:cs="Times New Roman"/>
                <w:color w:val="000000" w:themeColor="text1"/>
                <w:lang w:val="en-US" w:eastAsia="zh-CN"/>
                <w14:textFill>
                  <w14:solidFill>
                    <w14:schemeClr w14:val="tx1"/>
                  </w14:solidFill>
                </w14:textFill>
              </w:rPr>
              <w:t>约为1t/a，定期外售至周边废品回收站进行资源化利用。</w:t>
            </w:r>
          </w:p>
          <w:p w14:paraId="074ED5E6">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②</w:t>
            </w:r>
            <w:r>
              <w:rPr>
                <w:rFonts w:hint="default" w:ascii="Times New Roman" w:hAnsi="Times New Roman" w:eastAsia="宋体" w:cs="Times New Roman"/>
                <w:b/>
                <w:bCs/>
                <w:color w:val="000000" w:themeColor="text1"/>
                <w:lang w:val="en-US" w:eastAsia="zh-CN"/>
                <w14:textFill>
                  <w14:solidFill>
                    <w14:schemeClr w14:val="tx1"/>
                  </w14:solidFill>
                </w14:textFill>
              </w:rPr>
              <w:t>不合格品</w:t>
            </w:r>
          </w:p>
          <w:p w14:paraId="5406CC25">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本项目产品经检验后由于产品质量不合格，会产生一定量的残次品，属于一般工业固废，根据建设单位提供资料，本项目不合格品产生量为</w:t>
            </w:r>
            <w:r>
              <w:rPr>
                <w:rFonts w:hint="eastAsia" w:cs="Times New Roman"/>
                <w:b w:val="0"/>
                <w:bCs w:val="0"/>
                <w:color w:val="000000" w:themeColor="text1"/>
                <w:lang w:val="en-US" w:eastAsia="zh-CN"/>
                <w14:textFill>
                  <w14:solidFill>
                    <w14:schemeClr w14:val="tx1"/>
                  </w14:solidFill>
                </w14:textFill>
              </w:rPr>
              <w:t>27.6108</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w:t>
            </w:r>
            <w:r>
              <w:rPr>
                <w:rFonts w:hint="eastAsia" w:cs="Times New Roman"/>
                <w:b w:val="0"/>
                <w:bCs w:val="0"/>
                <w:color w:val="000000" w:themeColor="text1"/>
                <w:lang w:val="en-US" w:eastAsia="zh-CN"/>
                <w14:textFill>
                  <w14:solidFill>
                    <w14:schemeClr w14:val="tx1"/>
                  </w14:solidFill>
                </w14:textFill>
              </w:rPr>
              <w:t>，即不合格品</w:t>
            </w:r>
            <w:r>
              <w:rPr>
                <w:rFonts w:hint="default" w:ascii="Times New Roman" w:hAnsi="Times New Roman" w:eastAsia="宋体" w:cs="Times New Roman"/>
                <w:b w:val="0"/>
                <w:bCs w:val="0"/>
                <w:color w:val="000000" w:themeColor="text1"/>
                <w:lang w:val="en-US" w:eastAsia="zh-CN"/>
                <w14:textFill>
                  <w14:solidFill>
                    <w14:schemeClr w14:val="tx1"/>
                  </w14:solidFill>
                </w14:textFill>
              </w:rPr>
              <w:t>产生量约</w:t>
            </w:r>
            <w:r>
              <w:rPr>
                <w:rFonts w:hint="eastAsia" w:cs="Times New Roman"/>
                <w:b w:val="0"/>
                <w:bCs w:val="0"/>
                <w:color w:val="000000" w:themeColor="text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定期外售至周边废品回收站进行资源化利用。</w:t>
            </w:r>
          </w:p>
          <w:p w14:paraId="6A3BE7D2">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③</w:t>
            </w:r>
            <w:r>
              <w:rPr>
                <w:rFonts w:hint="default" w:ascii="Times New Roman" w:hAnsi="Times New Roman" w:eastAsia="宋体" w:cs="Times New Roman"/>
                <w:b/>
                <w:bCs/>
                <w:color w:val="000000" w:themeColor="text1"/>
                <w:lang w:val="en-US" w:eastAsia="zh-CN"/>
                <w14:textFill>
                  <w14:solidFill>
                    <w14:schemeClr w14:val="tx1"/>
                  </w14:solidFill>
                </w14:textFill>
              </w:rPr>
              <w:t>边角料</w:t>
            </w:r>
          </w:p>
          <w:p w14:paraId="4BCE30AA">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另外，在分切、制袋过程中会产生一定量的边角料，根据建设单位提供资料，</w:t>
            </w:r>
            <w:r>
              <w:rPr>
                <w:rFonts w:hint="eastAsia" w:cs="Times New Roman"/>
                <w:b w:val="0"/>
                <w:bCs w:val="0"/>
                <w:color w:val="000000" w:themeColor="text1"/>
                <w:lang w:val="en-US" w:eastAsia="zh-CN"/>
                <w14:textFill>
                  <w14:solidFill>
                    <w14:schemeClr w14:val="tx1"/>
                  </w14:solidFill>
                </w14:textFill>
              </w:rPr>
              <w:t>边角料产生</w:t>
            </w:r>
            <w:r>
              <w:rPr>
                <w:rFonts w:hint="default" w:ascii="Times New Roman" w:hAnsi="Times New Roman" w:eastAsia="宋体" w:cs="Times New Roman"/>
                <w:b w:val="0"/>
                <w:bCs w:val="0"/>
                <w:color w:val="000000" w:themeColor="text1"/>
                <w:lang w:val="en-US" w:eastAsia="zh-CN"/>
                <w14:textFill>
                  <w14:solidFill>
                    <w14:schemeClr w14:val="tx1"/>
                  </w14:solidFill>
                </w14:textFill>
              </w:rPr>
              <w:t>约</w:t>
            </w:r>
            <w:r>
              <w:rPr>
                <w:rFonts w:hint="eastAsia" w:cs="Times New Roman"/>
                <w:b w:val="0"/>
                <w:bCs w:val="0"/>
                <w:color w:val="000000" w:themeColor="text1"/>
                <w:lang w:val="en-US" w:eastAsia="zh-CN"/>
                <w14:textFill>
                  <w14:solidFill>
                    <w14:schemeClr w14:val="tx1"/>
                  </w14:solidFill>
                </w14:textFill>
              </w:rPr>
              <w:t>为2%</w:t>
            </w:r>
            <w:r>
              <w:rPr>
                <w:rFonts w:hint="default" w:ascii="Times New Roman" w:hAnsi="Times New Roman" w:eastAsia="宋体" w:cs="Times New Roman"/>
                <w:b w:val="0"/>
                <w:bCs w:val="0"/>
                <w:color w:val="000000" w:themeColor="text1"/>
                <w:lang w:val="en-US" w:eastAsia="zh-CN"/>
                <w14:textFill>
                  <w14:solidFill>
                    <w14:schemeClr w14:val="tx1"/>
                  </w14:solidFill>
                </w14:textFill>
              </w:rPr>
              <w:t>，即本项目边角料产生量为</w:t>
            </w:r>
            <w:r>
              <w:rPr>
                <w:rFonts w:hint="eastAsia" w:cs="Times New Roman"/>
                <w:b w:val="0"/>
                <w:bCs w:val="0"/>
                <w:color w:val="000000" w:themeColor="text1"/>
                <w:lang w:val="en-US" w:eastAsia="zh-CN"/>
                <w14:textFill>
                  <w14:solidFill>
                    <w14:schemeClr w14:val="tx1"/>
                  </w14:solidFill>
                </w14:textFill>
              </w:rPr>
              <w:t>56.5</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w:t>
            </w:r>
            <w:r>
              <w:rPr>
                <w:rFonts w:hint="default" w:ascii="Times New Roman" w:hAnsi="Times New Roman" w:eastAsia="宋体" w:cs="Times New Roman"/>
                <w:color w:val="000000" w:themeColor="text1"/>
                <w:lang w:val="en-US" w:eastAsia="zh-CN"/>
                <w14:textFill>
                  <w14:solidFill>
                    <w14:schemeClr w14:val="tx1"/>
                  </w14:solidFill>
                </w14:textFill>
              </w:rPr>
              <w:t>定期外售至周边废品回收站进行资源化利用。</w:t>
            </w:r>
          </w:p>
          <w:p w14:paraId="29BEBD5E">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根据《固体废物分类与代码目录》（生态环境部2024年，第4号）中，本项目废包装材料、边角料和不合格品的废物代码为900-003-S17。</w:t>
            </w:r>
          </w:p>
          <w:p w14:paraId="26657BE2">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④废RTO陶瓷蓄热体</w:t>
            </w:r>
          </w:p>
          <w:p w14:paraId="5113ABD4">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RTO设备陶瓷蓄热体若破损或老化会影响RTO设备的热回收效率，根据建设单位提供资料，RTO陶瓷蓄热体的使用寿命在1~3年左右，具体时间取决于使用条件和材料的质量，本次考虑最不利情况，更换年限以1年计，陶瓷蓄热体约为5t/套设施，即本项目废陶瓷蓄热体的产生量为5t/a。废陶瓷蓄热体委托RTO设备厂商进行更换，更换后由厂商带走进行处置。</w:t>
            </w:r>
          </w:p>
          <w:p w14:paraId="281F2EC6">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调查，废陶瓷蓄热体可作为陶瓷厂原料使用。蓄热陶瓷的主要成分为氧化铝、氧化锆等高稳定性材料，其化学性质稳定，即便达到使用寿命后，其成分仍可作为再生资源的基础，具备再利用价值。废弃陶瓷经破碎、研磨处理后，可制成颗粒或粉末作为添加剂用于新陶瓷产品（如建筑陶瓷、工业陶瓷）的生产。</w:t>
            </w:r>
          </w:p>
          <w:p w14:paraId="0879C500">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（3）危险废物</w:t>
            </w:r>
          </w:p>
          <w:p w14:paraId="66DF460A">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①废包装桶</w:t>
            </w:r>
          </w:p>
          <w:p w14:paraId="2708834E">
            <w:pPr>
              <w:pStyle w:val="45"/>
              <w:keepNext w:val="0"/>
              <w:keepLines w:val="0"/>
              <w:pageBreakBefore w:val="0"/>
              <w:widowControl w:val="0"/>
              <w:kinsoku/>
              <w:wordWrap w:val="0"/>
              <w:overflowPunct/>
              <w:topLinePunct/>
              <w:autoSpaceDE/>
              <w:autoSpaceDN/>
              <w:bidi w:val="0"/>
              <w:adjustRightInd w:val="0"/>
              <w:snapToGrid w:val="0"/>
              <w:ind w:firstLine="480"/>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本项目油墨、</w:t>
            </w:r>
            <w:r>
              <w:rPr>
                <w:rFonts w:hint="default" w:ascii="Times New Roman" w:hAnsi="Times New Roman" w:eastAsia="宋体" w:cs="Times New Roman"/>
                <w:color w:val="000000" w:themeColor="text1"/>
                <w:lang w:val="en-US" w:eastAsia="zh-CN"/>
                <w14:textFill>
                  <w14:solidFill>
                    <w14:schemeClr w14:val="tx1"/>
                  </w14:solidFill>
                </w14:textFill>
              </w:rPr>
              <w:t>胶粘剂、稀释剂</w:t>
            </w:r>
            <w:r>
              <w:rPr>
                <w:rFonts w:hint="default" w:ascii="Times New Roman" w:hAnsi="Times New Roman" w:eastAsia="宋体" w:cs="Times New Roman"/>
                <w:b w:val="0"/>
                <w:bCs w:val="0"/>
                <w:color w:val="000000" w:themeColor="text1"/>
                <w:lang w:val="en-US" w:eastAsia="zh-CN"/>
                <w14:textFill>
                  <w14:solidFill>
                    <w14:schemeClr w14:val="tx1"/>
                  </w14:solidFill>
                </w14:textFill>
              </w:rPr>
              <w:t>皆为桶装，本项目油墨年使用量为7.679t/a、</w:t>
            </w:r>
            <w:r>
              <w:rPr>
                <w:rFonts w:hint="default" w:ascii="Times New Roman" w:hAnsi="Times New Roman" w:eastAsia="宋体" w:cs="Times New Roman"/>
                <w:color w:val="000000" w:themeColor="text1"/>
                <w:lang w:val="en-US" w:eastAsia="zh-CN"/>
                <w14:textFill>
                  <w14:solidFill>
                    <w14:schemeClr w14:val="tx1"/>
                  </w14:solidFill>
                </w14:textFill>
              </w:rPr>
              <w:t>稀释剂</w:t>
            </w:r>
            <w:r>
              <w:rPr>
                <w:rFonts w:hint="default" w:ascii="Times New Roman" w:hAnsi="Times New Roman" w:eastAsia="宋体" w:cs="Times New Roman"/>
                <w:b w:val="0"/>
                <w:bCs w:val="0"/>
                <w:color w:val="000000" w:themeColor="text1"/>
                <w:lang w:val="en-US" w:eastAsia="zh-CN"/>
                <w14:textFill>
                  <w14:solidFill>
                    <w14:schemeClr w14:val="tx1"/>
                  </w14:solidFill>
                </w14:textFill>
              </w:rPr>
              <w:t>年使用量为0.7679t/a、无溶剂聚氨酯</w:t>
            </w:r>
            <w:r>
              <w:rPr>
                <w:rFonts w:hint="default" w:ascii="Times New Roman" w:hAnsi="Times New Roman" w:eastAsia="宋体" w:cs="Times New Roman"/>
                <w:color w:val="000000" w:themeColor="text1"/>
                <w:lang w:val="en-US" w:eastAsia="zh-CN"/>
                <w14:textFill>
                  <w14:solidFill>
                    <w14:schemeClr w14:val="tx1"/>
                  </w14:solidFill>
                </w14:textFill>
              </w:rPr>
              <w:t>胶粘剂</w:t>
            </w:r>
            <w:r>
              <w:rPr>
                <w:rFonts w:hint="default" w:ascii="Times New Roman" w:hAnsi="Times New Roman" w:eastAsia="宋体" w:cs="Times New Roman"/>
                <w:b w:val="0"/>
                <w:bCs w:val="0"/>
                <w:color w:val="000000" w:themeColor="text1"/>
                <w:lang w:val="en-US" w:eastAsia="zh-CN"/>
                <w14:textFill>
                  <w14:solidFill>
                    <w14:schemeClr w14:val="tx1"/>
                  </w14:solidFill>
                </w14:textFill>
              </w:rPr>
              <w:t>年使用量为</w:t>
            </w:r>
            <w:r>
              <w:rPr>
                <w:rFonts w:hint="default" w:ascii="Times New Roman" w:hAnsi="Times New Roman" w:eastAsia="宋体" w:cs="Times New Roman"/>
                <w:color w:val="000000" w:themeColor="text1"/>
                <w:lang w:val="en-US" w:eastAsia="zh-CN"/>
                <w14:textFill>
                  <w14:solidFill>
                    <w14:schemeClr w14:val="tx1"/>
                  </w14:solidFill>
                </w14:textFill>
              </w:rPr>
              <w:t>2.122</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w:t>
            </w:r>
          </w:p>
          <w:p w14:paraId="6F5A33FB">
            <w:pPr>
              <w:pStyle w:val="45"/>
              <w:keepNext w:val="0"/>
              <w:keepLines w:val="0"/>
              <w:pageBreakBefore w:val="0"/>
              <w:widowControl w:val="0"/>
              <w:kinsoku/>
              <w:wordWrap w:val="0"/>
              <w:overflowPunct/>
              <w:topLinePunct/>
              <w:autoSpaceDE/>
              <w:autoSpaceDN/>
              <w:bidi w:val="0"/>
              <w:adjustRightInd w:val="0"/>
              <w:snapToGrid w:val="0"/>
              <w:ind w:firstLine="480"/>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建设单位提供资料，油墨包装桶规格约为18kg/桶，故本项目生产过程中会产生约427个废油墨包装桶，废油墨桶每个约1kg，即废油墨桶产生量为0.427t/a；稀释剂包装桶规格约为150kg/桶，故本项目生产过程中会产生约6个废稀释剂包装桶，废稀释剂桶每个约5kg，即废稀释剂桶产生量为0.03t/a；</w:t>
            </w:r>
          </w:p>
          <w:p w14:paraId="4713BF0F">
            <w:pPr>
              <w:pStyle w:val="45"/>
              <w:keepNext w:val="0"/>
              <w:keepLines w:val="0"/>
              <w:pageBreakBefore w:val="0"/>
              <w:widowControl w:val="0"/>
              <w:kinsoku/>
              <w:wordWrap w:val="0"/>
              <w:overflowPunct/>
              <w:topLinePunct/>
              <w:autoSpaceDE/>
              <w:autoSpaceDN/>
              <w:bidi w:val="0"/>
              <w:adjustRightInd w:val="0"/>
              <w:snapToGrid w:val="0"/>
              <w:ind w:left="0" w:leftChars="0" w:firstLine="0" w:firstLineChars="0"/>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胶粘剂</w:t>
            </w:r>
            <w:r>
              <w:rPr>
                <w:rFonts w:hint="default" w:ascii="Times New Roman" w:hAnsi="Times New Roman" w:eastAsia="宋体" w:cs="Times New Roman"/>
                <w:b w:val="0"/>
                <w:bCs w:val="0"/>
                <w:color w:val="000000" w:themeColor="text1"/>
                <w:lang w:val="en-US" w:eastAsia="zh-CN"/>
                <w14:textFill>
                  <w14:solidFill>
                    <w14:schemeClr w14:val="tx1"/>
                  </w14:solidFill>
                </w14:textFill>
              </w:rPr>
              <w:t>包装桶规格约为18kg/桶，故本项目生产过程中会产生约118个废</w:t>
            </w:r>
            <w:r>
              <w:rPr>
                <w:rFonts w:hint="default" w:ascii="Times New Roman" w:hAnsi="Times New Roman" w:eastAsia="宋体" w:cs="Times New Roman"/>
                <w:color w:val="000000" w:themeColor="text1"/>
                <w:lang w:val="en-US" w:eastAsia="zh-CN"/>
                <w14:textFill>
                  <w14:solidFill>
                    <w14:schemeClr w14:val="tx1"/>
                  </w14:solidFill>
                </w14:textFill>
              </w:rPr>
              <w:t>胶粘剂</w:t>
            </w:r>
            <w:r>
              <w:rPr>
                <w:rFonts w:hint="default" w:ascii="Times New Roman" w:hAnsi="Times New Roman" w:eastAsia="宋体" w:cs="Times New Roman"/>
                <w:b w:val="0"/>
                <w:bCs w:val="0"/>
                <w:color w:val="000000" w:themeColor="text1"/>
                <w:lang w:val="en-US" w:eastAsia="zh-CN"/>
                <w14:textFill>
                  <w14:solidFill>
                    <w14:schemeClr w14:val="tx1"/>
                  </w14:solidFill>
                </w14:textFill>
              </w:rPr>
              <w:t>包装桶，废</w:t>
            </w:r>
            <w:r>
              <w:rPr>
                <w:rFonts w:hint="default" w:ascii="Times New Roman" w:hAnsi="Times New Roman" w:eastAsia="宋体" w:cs="Times New Roman"/>
                <w:color w:val="000000" w:themeColor="text1"/>
                <w:lang w:val="en-US" w:eastAsia="zh-CN"/>
                <w14:textFill>
                  <w14:solidFill>
                    <w14:schemeClr w14:val="tx1"/>
                  </w14:solidFill>
                </w14:textFill>
              </w:rPr>
              <w:t>胶粘剂</w:t>
            </w:r>
            <w:r>
              <w:rPr>
                <w:rFonts w:hint="default" w:ascii="Times New Roman" w:hAnsi="Times New Roman" w:eastAsia="宋体" w:cs="Times New Roman"/>
                <w:b w:val="0"/>
                <w:bCs w:val="0"/>
                <w:color w:val="000000" w:themeColor="text1"/>
                <w:lang w:val="en-US" w:eastAsia="zh-CN"/>
                <w14:textFill>
                  <w14:solidFill>
                    <w14:schemeClr w14:val="tx1"/>
                  </w14:solidFill>
                </w14:textFill>
              </w:rPr>
              <w:t>桶每个约1kg，即</w:t>
            </w:r>
            <w:r>
              <w:rPr>
                <w:rFonts w:hint="eastAsia" w:cs="Times New Roman"/>
                <w:b w:val="0"/>
                <w:bCs w:val="0"/>
                <w:color w:val="000000" w:themeColor="text1"/>
                <w:lang w:val="en-US" w:eastAsia="zh-CN"/>
                <w14:textFill>
                  <w14:solidFill>
                    <w14:schemeClr w14:val="tx1"/>
                  </w14:solidFill>
                </w14:textFill>
              </w:rPr>
              <w:t>废胶粘剂桶</w:t>
            </w:r>
            <w:r>
              <w:rPr>
                <w:rFonts w:hint="default" w:ascii="Times New Roman" w:hAnsi="Times New Roman" w:eastAsia="宋体" w:cs="Times New Roman"/>
                <w:b w:val="0"/>
                <w:bCs w:val="0"/>
                <w:color w:val="000000" w:themeColor="text1"/>
                <w:lang w:val="en-US" w:eastAsia="zh-CN"/>
                <w14:textFill>
                  <w14:solidFill>
                    <w14:schemeClr w14:val="tx1"/>
                  </w14:solidFill>
                </w14:textFill>
              </w:rPr>
              <w:t>产生量为0.118t/a；故本项目生产过程中会产生废包装桶约0.575t/a。</w:t>
            </w:r>
          </w:p>
          <w:p w14:paraId="2CB8364E">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根据《国家危险废物名录》（2025年版），废包装桶属于危险废物，危废类别为HW49其他废物，废物代码为 900-041-49，经收集后暂存于危废暂存间，</w:t>
            </w:r>
            <w:r>
              <w:rPr>
                <w:rFonts w:hint="eastAsia" w:cs="Times New Roman"/>
                <w:b w:val="0"/>
                <w:bCs w:val="0"/>
                <w:color w:val="000000" w:themeColor="text1"/>
                <w:lang w:val="en-US" w:eastAsia="zh-CN"/>
                <w14:textFill>
                  <w14:solidFill>
                    <w14:schemeClr w14:val="tx1"/>
                  </w14:solidFill>
                </w14:textFill>
              </w:rPr>
              <w:t>定期委托有资质的单位处</w:t>
            </w:r>
            <w:r>
              <w:rPr>
                <w:rFonts w:hint="default" w:ascii="Times New Roman" w:hAnsi="Times New Roman" w:eastAsia="宋体" w:cs="Times New Roman"/>
                <w:b w:val="0"/>
                <w:bCs w:val="0"/>
                <w:color w:val="000000" w:themeColor="text1"/>
                <w:lang w:val="en-US" w:eastAsia="zh-CN"/>
                <w14:textFill>
                  <w14:solidFill>
                    <w14:schemeClr w14:val="tx1"/>
                  </w14:solidFill>
                </w14:textFill>
              </w:rPr>
              <w:t>置。</w:t>
            </w:r>
          </w:p>
          <w:p w14:paraId="61618EB0">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②废抹布</w:t>
            </w:r>
          </w:p>
          <w:p w14:paraId="380F3950">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本项目生产过程中需对印刷设备进行擦拭，以去除设备上残留的油墨，会产生少量的废抹布，根据建设单位提供资料，废抹布产生量约0.2t/a。</w:t>
            </w:r>
          </w:p>
          <w:p w14:paraId="10E50086">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根据《国家危险废物名录》（2025年版），废抹布属于危险废物，危废类别为HW49其他废物，废物代码为900-041-49，经收集后暂存于危废暂存间，</w:t>
            </w:r>
            <w:r>
              <w:rPr>
                <w:rFonts w:hint="eastAsia" w:cs="Times New Roman"/>
                <w:b w:val="0"/>
                <w:bCs w:val="0"/>
                <w:color w:val="000000" w:themeColor="text1"/>
                <w:lang w:val="en-US" w:eastAsia="zh-CN"/>
                <w14:textFill>
                  <w14:solidFill>
                    <w14:schemeClr w14:val="tx1"/>
                  </w14:solidFill>
                </w14:textFill>
              </w:rPr>
              <w:t>定期委托有资质的单位处</w:t>
            </w:r>
            <w:r>
              <w:rPr>
                <w:rFonts w:hint="default" w:ascii="Times New Roman" w:hAnsi="Times New Roman" w:eastAsia="宋体" w:cs="Times New Roman"/>
                <w:b w:val="0"/>
                <w:bCs w:val="0"/>
                <w:color w:val="000000" w:themeColor="text1"/>
                <w:lang w:val="en-US" w:eastAsia="zh-CN"/>
                <w14:textFill>
                  <w14:solidFill>
                    <w14:schemeClr w14:val="tx1"/>
                  </w14:solidFill>
                </w14:textFill>
              </w:rPr>
              <w:t>置。</w:t>
            </w:r>
          </w:p>
          <w:p w14:paraId="0E0B51CB">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③废油墨渣</w:t>
            </w:r>
          </w:p>
          <w:p w14:paraId="2E2D388F">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印刷机使用一段时间后，墨槽会堆积一定量的墨渣，需定期清理，本项目油墨用量7.679t/a，油墨含固率为37%，即油墨含固量为2.8412t/a，根据建设单位提供资料，废油墨渣产生量约为2%，即0.0568t/a。</w:t>
            </w:r>
          </w:p>
          <w:p w14:paraId="71BEABA8">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根据《国家危险废物名录》（2025年版），废油墨渣属于危险废物，危废类别为 HW12染料、涂料废物，废物代码900-253-12，经收集后暂存于危废暂存间，</w:t>
            </w:r>
            <w:r>
              <w:rPr>
                <w:rFonts w:hint="eastAsia" w:cs="Times New Roman"/>
                <w:b w:val="0"/>
                <w:bCs w:val="0"/>
                <w:color w:val="000000" w:themeColor="text1"/>
                <w:lang w:val="en-US" w:eastAsia="zh-CN"/>
                <w14:textFill>
                  <w14:solidFill>
                    <w14:schemeClr w14:val="tx1"/>
                  </w14:solidFill>
                </w14:textFill>
              </w:rPr>
              <w:t>定期委托有资质的单位处</w:t>
            </w:r>
            <w:r>
              <w:rPr>
                <w:rFonts w:hint="default" w:ascii="Times New Roman" w:hAnsi="Times New Roman" w:eastAsia="宋体" w:cs="Times New Roman"/>
                <w:b w:val="0"/>
                <w:bCs w:val="0"/>
                <w:color w:val="000000" w:themeColor="text1"/>
                <w:lang w:val="en-US" w:eastAsia="zh-CN"/>
                <w14:textFill>
                  <w14:solidFill>
                    <w14:schemeClr w14:val="tx1"/>
                  </w14:solidFill>
                </w14:textFill>
              </w:rPr>
              <w:t>置。</w:t>
            </w:r>
          </w:p>
          <w:p w14:paraId="69372865">
            <w:pPr>
              <w:pStyle w:val="45"/>
              <w:keepNext w:val="0"/>
              <w:keepLines w:val="0"/>
              <w:pageBreakBefore w:val="0"/>
              <w:widowControl w:val="0"/>
              <w:kinsoku/>
              <w:wordWrap w:val="0"/>
              <w:overflowPunct/>
              <w:topLinePunct/>
              <w:autoSpaceDE/>
              <w:autoSpaceDN/>
              <w:bidi w:val="0"/>
              <w:ind w:firstLine="480"/>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④</w:t>
            </w:r>
            <w:r>
              <w:rPr>
                <w:rFonts w:hint="eastAsia" w:cs="Times New Roman"/>
                <w:b/>
                <w:bCs/>
                <w:color w:val="000000" w:themeColor="text1"/>
                <w:lang w:val="en-US" w:eastAsia="zh-CN"/>
                <w14:textFill>
                  <w14:solidFill>
                    <w14:schemeClr w14:val="tx1"/>
                  </w14:solidFill>
                </w14:textFill>
              </w:rPr>
              <w:t>废有机溶剂</w:t>
            </w:r>
          </w:p>
          <w:p w14:paraId="22F343D4">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项目运行过程中，若管理不当，会产生过期变质的油墨、稀释剂等有机溶剂；</w:t>
            </w: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本项目采用人工调墨，调墨过程中由于操作失误，可能会产生废墨。</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根据建设单位提供资料，废有机溶剂产生量约0.1t/a。</w:t>
            </w:r>
          </w:p>
          <w:p w14:paraId="7F163652">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根据《国家危险废物名录》（2025年版）</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废有机溶剂</w:t>
            </w:r>
            <w:r>
              <w:rPr>
                <w:rFonts w:hint="default" w:ascii="Times New Roman" w:hAnsi="Times New Roman" w:eastAsia="宋体" w:cs="Times New Roman"/>
                <w:b w:val="0"/>
                <w:bCs w:val="0"/>
                <w:color w:val="000000" w:themeColor="text1"/>
                <w:lang w:val="en-US" w:eastAsia="zh-CN"/>
                <w14:textFill>
                  <w14:solidFill>
                    <w14:schemeClr w14:val="tx1"/>
                  </w14:solidFill>
                </w14:textFill>
              </w:rPr>
              <w:t>属于危险废物，危废类别为 HW12染料、涂料废物，废物代码264-013-12，经收集后暂存于危废暂存间，</w:t>
            </w:r>
            <w:r>
              <w:rPr>
                <w:rFonts w:hint="eastAsia" w:cs="Times New Roman"/>
                <w:b w:val="0"/>
                <w:bCs w:val="0"/>
                <w:color w:val="000000" w:themeColor="text1"/>
                <w:lang w:val="en-US" w:eastAsia="zh-CN"/>
                <w14:textFill>
                  <w14:solidFill>
                    <w14:schemeClr w14:val="tx1"/>
                  </w14:solidFill>
                </w14:textFill>
              </w:rPr>
              <w:t>定期委托有资质的单位处</w:t>
            </w:r>
            <w:r>
              <w:rPr>
                <w:rFonts w:hint="default" w:ascii="Times New Roman" w:hAnsi="Times New Roman" w:eastAsia="宋体" w:cs="Times New Roman"/>
                <w:b w:val="0"/>
                <w:bCs w:val="0"/>
                <w:color w:val="000000" w:themeColor="text1"/>
                <w:lang w:val="en-US" w:eastAsia="zh-CN"/>
                <w14:textFill>
                  <w14:solidFill>
                    <w14:schemeClr w14:val="tx1"/>
                  </w14:solidFill>
                </w14:textFill>
              </w:rPr>
              <w:t>置。</w:t>
            </w:r>
          </w:p>
          <w:p w14:paraId="31F618D4">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⑤废印版辊</w:t>
            </w:r>
          </w:p>
          <w:p w14:paraId="29A35F89">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项目印刷机使用的印刷版辊，因多次重复使用磨损后需进行更换，根据建设单位提供资料，废印刷辊产生量为0.5t/a。</w:t>
            </w:r>
          </w:p>
          <w:p w14:paraId="7A1812CF">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根据《国家危险废物名录》（2025年版），废印版的废物类别为HW12</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染料、涂料废物，废物代码为</w:t>
            </w:r>
            <w:r>
              <w:rPr>
                <w:rFonts w:hint="default" w:ascii="Times New Roman" w:hAnsi="Times New Roman" w:eastAsia="宋体" w:cs="Times New Roman"/>
                <w:b w:val="0"/>
                <w:bCs w:val="0"/>
                <w:color w:val="000000" w:themeColor="text1"/>
                <w:lang w:val="en-US" w:eastAsia="zh-CN"/>
                <w14:textFill>
                  <w14:solidFill>
                    <w14:schemeClr w14:val="tx1"/>
                  </w14:solidFill>
                </w14:textFill>
              </w:rPr>
              <w:t>900-253-12</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经收集后暂存于危废暂存间，</w:t>
            </w:r>
            <w:r>
              <w:rPr>
                <w:rFonts w:hint="eastAsia" w:cs="Times New Roman"/>
                <w:b w:val="0"/>
                <w:bCs w:val="0"/>
                <w:color w:val="000000" w:themeColor="text1"/>
                <w:lang w:val="en-US" w:eastAsia="zh-CN"/>
                <w14:textFill>
                  <w14:solidFill>
                    <w14:schemeClr w14:val="tx1"/>
                  </w14:solidFill>
                </w14:textFill>
              </w:rPr>
              <w:t>定期委托有资质的单位处</w:t>
            </w:r>
            <w:r>
              <w:rPr>
                <w:rFonts w:hint="default" w:ascii="Times New Roman" w:hAnsi="Times New Roman" w:eastAsia="宋体" w:cs="Times New Roman"/>
                <w:b w:val="0"/>
                <w:bCs w:val="0"/>
                <w:color w:val="000000" w:themeColor="text1"/>
                <w:lang w:val="en-US" w:eastAsia="zh-CN"/>
                <w14:textFill>
                  <w14:solidFill>
                    <w14:schemeClr w14:val="tx1"/>
                  </w14:solidFill>
                </w14:textFill>
              </w:rPr>
              <w:t>置。</w:t>
            </w:r>
          </w:p>
          <w:p w14:paraId="083DE7EB">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⑥</w:t>
            </w:r>
            <w:r>
              <w:rPr>
                <w:rFonts w:hint="default" w:ascii="Times New Roman" w:hAnsi="Times New Roman" w:eastAsia="宋体" w:cs="Times New Roman"/>
                <w:b/>
                <w:bCs/>
                <w:color w:val="000000" w:themeColor="text1"/>
                <w:lang w:val="en-US" w:eastAsia="zh-CN"/>
                <w14:textFill>
                  <w14:solidFill>
                    <w14:schemeClr w14:val="tx1"/>
                  </w14:solidFill>
                </w14:textFill>
              </w:rPr>
              <w:t>废机油</w:t>
            </w:r>
          </w:p>
          <w:p w14:paraId="04EDB9CA">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设备运行过程中日常维护保养会产生废机油，产生量约0.1t/a。</w:t>
            </w:r>
          </w:p>
          <w:p w14:paraId="4C03C9B9">
            <w:pPr>
              <w:pStyle w:val="45"/>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根据《国家危险废物名录》（2025年版），废润滑油属于危险废物，废物类别为HW08废矿物油与含矿物油废物，危废代码为900-214-08，经收集后暂存于危废暂存间，</w:t>
            </w:r>
            <w:r>
              <w:rPr>
                <w:rFonts w:hint="eastAsia" w:cs="Times New Roman"/>
                <w:b w:val="0"/>
                <w:bCs w:val="0"/>
                <w:color w:val="000000" w:themeColor="text1"/>
                <w:lang w:val="en-US" w:eastAsia="zh-CN"/>
                <w14:textFill>
                  <w14:solidFill>
                    <w14:schemeClr w14:val="tx1"/>
                  </w14:solidFill>
                </w14:textFill>
              </w:rPr>
              <w:t>定期委托有资质的单位处</w:t>
            </w:r>
            <w:r>
              <w:rPr>
                <w:rFonts w:hint="default" w:ascii="Times New Roman" w:hAnsi="Times New Roman" w:eastAsia="宋体" w:cs="Times New Roman"/>
                <w:b w:val="0"/>
                <w:bCs w:val="0"/>
                <w:color w:val="000000" w:themeColor="text1"/>
                <w:lang w:val="en-US" w:eastAsia="zh-CN"/>
                <w14:textFill>
                  <w14:solidFill>
                    <w14:schemeClr w14:val="tx1"/>
                  </w14:solidFill>
                </w14:textFill>
              </w:rPr>
              <w:t>置。</w:t>
            </w:r>
          </w:p>
          <w:p w14:paraId="19698FC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b/>
                <w:bCs/>
                <w:color w:val="000000" w:themeColor="text1"/>
                <w:sz w:val="21"/>
                <w:szCs w:val="21"/>
                <w14:textFill>
                  <w14:solidFill>
                    <w14:schemeClr w14:val="tx1"/>
                  </w14:solidFill>
                </w14:textFill>
              </w:rPr>
              <w:t>项目固废产生量情况一览表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223"/>
              <w:gridCol w:w="1300"/>
              <w:gridCol w:w="1184"/>
              <w:gridCol w:w="3449"/>
            </w:tblGrid>
            <w:tr w14:paraId="67E4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Align w:val="center"/>
                </w:tcPr>
                <w:p w14:paraId="52AD570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属性</w:t>
                  </w:r>
                </w:p>
              </w:tc>
              <w:tc>
                <w:tcPr>
                  <w:tcW w:w="758" w:type="pct"/>
                  <w:vAlign w:val="center"/>
                </w:tcPr>
                <w:p w14:paraId="34E7255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806" w:type="pct"/>
                  <w:vAlign w:val="center"/>
                </w:tcPr>
                <w:p w14:paraId="60CE993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产生环节</w:t>
                  </w:r>
                </w:p>
              </w:tc>
              <w:tc>
                <w:tcPr>
                  <w:tcW w:w="734" w:type="pct"/>
                  <w:vAlign w:val="center"/>
                </w:tcPr>
                <w:p w14:paraId="79AC081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产生量t/a</w:t>
                  </w:r>
                </w:p>
              </w:tc>
              <w:tc>
                <w:tcPr>
                  <w:tcW w:w="2138" w:type="pct"/>
                  <w:vAlign w:val="center"/>
                </w:tcPr>
                <w:p w14:paraId="4C89426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处置方式</w:t>
                  </w:r>
                </w:p>
              </w:tc>
            </w:tr>
            <w:tr w14:paraId="1E41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Align w:val="center"/>
                </w:tcPr>
                <w:p w14:paraId="6B08432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758" w:type="pct"/>
                  <w:vAlign w:val="center"/>
                </w:tcPr>
                <w:p w14:paraId="407947C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806" w:type="pct"/>
                  <w:vAlign w:val="center"/>
                </w:tcPr>
                <w:p w14:paraId="627A3A5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员工</w:t>
                  </w:r>
                </w:p>
              </w:tc>
              <w:tc>
                <w:tcPr>
                  <w:tcW w:w="734" w:type="pct"/>
                  <w:vAlign w:val="center"/>
                </w:tcPr>
                <w:p w14:paraId="08D9DA7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7.5</w:t>
                  </w:r>
                </w:p>
              </w:tc>
              <w:tc>
                <w:tcPr>
                  <w:tcW w:w="2138" w:type="pct"/>
                  <w:vAlign w:val="center"/>
                </w:tcPr>
                <w:p w14:paraId="3AC49EB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生活垃圾由垃圾收集桶收集后运至园区生活垃圾收集点，由环卫部门清运处置。</w:t>
                  </w:r>
                </w:p>
              </w:tc>
            </w:tr>
            <w:tr w14:paraId="1896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Merge w:val="restart"/>
                  <w:vAlign w:val="center"/>
                </w:tcPr>
                <w:p w14:paraId="77C9EE6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一般固废</w:t>
                  </w:r>
                </w:p>
              </w:tc>
              <w:tc>
                <w:tcPr>
                  <w:tcW w:w="758" w:type="pct"/>
                  <w:vAlign w:val="center"/>
                </w:tcPr>
                <w:p w14:paraId="5A7F590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废包装材料</w:t>
                  </w:r>
                </w:p>
              </w:tc>
              <w:tc>
                <w:tcPr>
                  <w:tcW w:w="806" w:type="pct"/>
                  <w:vAlign w:val="center"/>
                </w:tcPr>
                <w:p w14:paraId="7D41252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w:t>
                  </w:r>
                </w:p>
              </w:tc>
              <w:tc>
                <w:tcPr>
                  <w:tcW w:w="734" w:type="pct"/>
                  <w:vAlign w:val="center"/>
                </w:tcPr>
                <w:p w14:paraId="078F3D6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2138" w:type="pct"/>
                  <w:vMerge w:val="restart"/>
                  <w:vAlign w:val="center"/>
                </w:tcPr>
                <w:p w14:paraId="5FE52A4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定期外售至周边废品回收站进行资源化利用</w:t>
                  </w:r>
                </w:p>
              </w:tc>
            </w:tr>
            <w:tr w14:paraId="244C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62" w:type="pct"/>
                  <w:vMerge w:val="continue"/>
                  <w:vAlign w:val="center"/>
                </w:tcPr>
                <w:p w14:paraId="2F9BDA7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8" w:type="pct"/>
                  <w:vAlign w:val="center"/>
                </w:tcPr>
                <w:p w14:paraId="447C232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不合格品</w:t>
                  </w:r>
                </w:p>
              </w:tc>
              <w:tc>
                <w:tcPr>
                  <w:tcW w:w="806" w:type="pct"/>
                  <w:vAlign w:val="center"/>
                </w:tcPr>
                <w:p w14:paraId="62D6B33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w:t>
                  </w:r>
                </w:p>
              </w:tc>
              <w:tc>
                <w:tcPr>
                  <w:tcW w:w="734" w:type="pct"/>
                  <w:vAlign w:val="center"/>
                </w:tcPr>
                <w:p w14:paraId="7A7C7D5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27.6108</w:t>
                  </w:r>
                </w:p>
              </w:tc>
              <w:tc>
                <w:tcPr>
                  <w:tcW w:w="2138" w:type="pct"/>
                  <w:vMerge w:val="continue"/>
                  <w:vAlign w:val="center"/>
                </w:tcPr>
                <w:p w14:paraId="3057CA6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5237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Merge w:val="continue"/>
                  <w:vAlign w:val="center"/>
                </w:tcPr>
                <w:p w14:paraId="0394E2D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8" w:type="pct"/>
                  <w:vAlign w:val="center"/>
                </w:tcPr>
                <w:p w14:paraId="05A456A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边角料</w:t>
                  </w:r>
                </w:p>
              </w:tc>
              <w:tc>
                <w:tcPr>
                  <w:tcW w:w="806" w:type="pct"/>
                  <w:vAlign w:val="center"/>
                </w:tcPr>
                <w:p w14:paraId="3D4DBE4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w:t>
                  </w:r>
                </w:p>
              </w:tc>
              <w:tc>
                <w:tcPr>
                  <w:tcW w:w="734" w:type="pct"/>
                  <w:vAlign w:val="center"/>
                </w:tcPr>
                <w:p w14:paraId="098D79C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56.5</w:t>
                  </w:r>
                </w:p>
              </w:tc>
              <w:tc>
                <w:tcPr>
                  <w:tcW w:w="2138" w:type="pct"/>
                  <w:vMerge w:val="continue"/>
                  <w:vAlign w:val="center"/>
                </w:tcPr>
                <w:p w14:paraId="73BA639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4B3D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Merge w:val="continue"/>
                  <w:vAlign w:val="center"/>
                </w:tcPr>
                <w:p w14:paraId="07F1F4B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8" w:type="pct"/>
                  <w:vAlign w:val="center"/>
                </w:tcPr>
                <w:p w14:paraId="103BA34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废RTO陶瓷蓄热体</w:t>
                  </w:r>
                </w:p>
              </w:tc>
              <w:tc>
                <w:tcPr>
                  <w:tcW w:w="806" w:type="pct"/>
                  <w:vAlign w:val="center"/>
                </w:tcPr>
                <w:p w14:paraId="281B4E3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废气治理</w:t>
                  </w:r>
                </w:p>
              </w:tc>
              <w:tc>
                <w:tcPr>
                  <w:tcW w:w="734" w:type="pct"/>
                  <w:vAlign w:val="center"/>
                </w:tcPr>
                <w:p w14:paraId="2B7F657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2138" w:type="pct"/>
                  <w:vAlign w:val="center"/>
                </w:tcPr>
                <w:p w14:paraId="4953982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废陶瓷蓄热体委托RTO设备厂商进行更换，更换后由厂商带走进行处置。</w:t>
                  </w:r>
                </w:p>
              </w:tc>
            </w:tr>
            <w:tr w14:paraId="356B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Merge w:val="restart"/>
                  <w:vAlign w:val="center"/>
                </w:tcPr>
                <w:p w14:paraId="2A22DF5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危险废物</w:t>
                  </w:r>
                </w:p>
              </w:tc>
              <w:tc>
                <w:tcPr>
                  <w:tcW w:w="758" w:type="pct"/>
                  <w:vAlign w:val="center"/>
                </w:tcPr>
                <w:p w14:paraId="15168E7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废包装桶</w:t>
                  </w:r>
                </w:p>
              </w:tc>
              <w:tc>
                <w:tcPr>
                  <w:tcW w:w="806" w:type="pct"/>
                  <w:vAlign w:val="center"/>
                </w:tcPr>
                <w:p w14:paraId="024D7E80">
                  <w:pPr>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w:t>
                  </w:r>
                </w:p>
              </w:tc>
              <w:tc>
                <w:tcPr>
                  <w:tcW w:w="734" w:type="pct"/>
                  <w:vAlign w:val="center"/>
                </w:tcPr>
                <w:p w14:paraId="6A9D99C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0.575</w:t>
                  </w:r>
                </w:p>
              </w:tc>
              <w:tc>
                <w:tcPr>
                  <w:tcW w:w="2138" w:type="pct"/>
                  <w:vMerge w:val="restart"/>
                  <w:vAlign w:val="center"/>
                </w:tcPr>
                <w:p w14:paraId="015AB81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设置有1间5m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危废暂存间，危险废物分类收集后分类暂存于危废暂存间，定期委托有资质单位清运处置</w:t>
                  </w:r>
                </w:p>
              </w:tc>
            </w:tr>
            <w:tr w14:paraId="4387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Merge w:val="continue"/>
                  <w:vAlign w:val="center"/>
                </w:tcPr>
                <w:p w14:paraId="3D6D82A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8" w:type="pct"/>
                  <w:vAlign w:val="center"/>
                </w:tcPr>
                <w:p w14:paraId="6670D69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废抹布</w:t>
                  </w:r>
                </w:p>
              </w:tc>
              <w:tc>
                <w:tcPr>
                  <w:tcW w:w="806" w:type="pct"/>
                  <w:vAlign w:val="center"/>
                </w:tcPr>
                <w:p w14:paraId="092EF8C5">
                  <w:pPr>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w:t>
                  </w:r>
                </w:p>
              </w:tc>
              <w:tc>
                <w:tcPr>
                  <w:tcW w:w="734" w:type="pct"/>
                  <w:vAlign w:val="center"/>
                </w:tcPr>
                <w:p w14:paraId="23597C7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0.2</w:t>
                  </w:r>
                </w:p>
              </w:tc>
              <w:tc>
                <w:tcPr>
                  <w:tcW w:w="2138" w:type="pct"/>
                  <w:vMerge w:val="continue"/>
                  <w:vAlign w:val="center"/>
                </w:tcPr>
                <w:p w14:paraId="52ED26E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5484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Merge w:val="continue"/>
                  <w:vAlign w:val="center"/>
                </w:tcPr>
                <w:p w14:paraId="5E0D552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8" w:type="pct"/>
                  <w:vAlign w:val="center"/>
                </w:tcPr>
                <w:p w14:paraId="5E4E8E7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废油墨渣</w:t>
                  </w:r>
                </w:p>
              </w:tc>
              <w:tc>
                <w:tcPr>
                  <w:tcW w:w="806" w:type="pct"/>
                  <w:vAlign w:val="center"/>
                </w:tcPr>
                <w:p w14:paraId="65E98D17">
                  <w:pPr>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w:t>
                  </w:r>
                </w:p>
              </w:tc>
              <w:tc>
                <w:tcPr>
                  <w:tcW w:w="734" w:type="pct"/>
                  <w:vAlign w:val="center"/>
                </w:tcPr>
                <w:p w14:paraId="3A9C1C4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0.0568</w:t>
                  </w:r>
                </w:p>
              </w:tc>
              <w:tc>
                <w:tcPr>
                  <w:tcW w:w="2138" w:type="pct"/>
                  <w:vMerge w:val="continue"/>
                  <w:vAlign w:val="center"/>
                </w:tcPr>
                <w:p w14:paraId="3D51566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0F07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Merge w:val="continue"/>
                  <w:vAlign w:val="center"/>
                </w:tcPr>
                <w:p w14:paraId="0D3528C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8" w:type="pct"/>
                  <w:vAlign w:val="center"/>
                </w:tcPr>
                <w:p w14:paraId="6859A45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废有机溶剂</w:t>
                  </w:r>
                </w:p>
              </w:tc>
              <w:tc>
                <w:tcPr>
                  <w:tcW w:w="806" w:type="pct"/>
                  <w:vAlign w:val="center"/>
                </w:tcPr>
                <w:p w14:paraId="3C5C29F1">
                  <w:pPr>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w:t>
                  </w:r>
                </w:p>
              </w:tc>
              <w:tc>
                <w:tcPr>
                  <w:tcW w:w="734" w:type="pct"/>
                  <w:vAlign w:val="center"/>
                </w:tcPr>
                <w:p w14:paraId="233EA0C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w:t>
                  </w:r>
                </w:p>
              </w:tc>
              <w:tc>
                <w:tcPr>
                  <w:tcW w:w="2138" w:type="pct"/>
                  <w:vMerge w:val="continue"/>
                  <w:vAlign w:val="center"/>
                </w:tcPr>
                <w:p w14:paraId="7CF7FB7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0F18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Merge w:val="continue"/>
                  <w:vAlign w:val="center"/>
                </w:tcPr>
                <w:p w14:paraId="3760C9D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8" w:type="pct"/>
                  <w:vAlign w:val="center"/>
                </w:tcPr>
                <w:p w14:paraId="27A906B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废印版辊</w:t>
                  </w:r>
                </w:p>
              </w:tc>
              <w:tc>
                <w:tcPr>
                  <w:tcW w:w="806" w:type="pct"/>
                  <w:vAlign w:val="center"/>
                </w:tcPr>
                <w:p w14:paraId="0BD1E5A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w:t>
                  </w:r>
                </w:p>
              </w:tc>
              <w:tc>
                <w:tcPr>
                  <w:tcW w:w="734" w:type="pct"/>
                  <w:vAlign w:val="center"/>
                </w:tcPr>
                <w:p w14:paraId="4A80E57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w:t>
                  </w:r>
                </w:p>
              </w:tc>
              <w:tc>
                <w:tcPr>
                  <w:tcW w:w="2138" w:type="pct"/>
                  <w:vMerge w:val="continue"/>
                  <w:vAlign w:val="center"/>
                </w:tcPr>
                <w:p w14:paraId="740CFA7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02EE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pct"/>
                  <w:vMerge w:val="continue"/>
                  <w:vAlign w:val="center"/>
                </w:tcPr>
                <w:p w14:paraId="6B086B1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8" w:type="pct"/>
                  <w:vAlign w:val="center"/>
                </w:tcPr>
                <w:p w14:paraId="6FB9F0F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废机油</w:t>
                  </w:r>
                </w:p>
              </w:tc>
              <w:tc>
                <w:tcPr>
                  <w:tcW w:w="806" w:type="pct"/>
                  <w:vAlign w:val="center"/>
                </w:tcPr>
                <w:p w14:paraId="4C22B0D7">
                  <w:pPr>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w:t>
                  </w:r>
                </w:p>
              </w:tc>
              <w:tc>
                <w:tcPr>
                  <w:tcW w:w="734" w:type="pct"/>
                  <w:vAlign w:val="center"/>
                </w:tcPr>
                <w:p w14:paraId="4822979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p>
              </w:tc>
              <w:tc>
                <w:tcPr>
                  <w:tcW w:w="2138" w:type="pct"/>
                  <w:vMerge w:val="continue"/>
                  <w:vAlign w:val="center"/>
                </w:tcPr>
                <w:p w14:paraId="1122AAC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14:paraId="29E4A329">
            <w:pPr>
              <w:keepNext w:val="0"/>
              <w:keepLines w:val="0"/>
              <w:pageBreakBefore w:val="0"/>
              <w:widowControl w:val="0"/>
              <w:kinsoku/>
              <w:wordWrap w:val="0"/>
              <w:overflowPunct/>
              <w:topLinePunct/>
              <w:autoSpaceDE/>
              <w:autoSpaceDN/>
              <w:bidi w:val="0"/>
              <w:adjustRightInd/>
              <w:spacing w:line="360" w:lineRule="auto"/>
              <w:ind w:firstLine="482" w:firstLineChars="200"/>
              <w:jc w:val="left"/>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（2）危险废物属性及环境危险特性</w:t>
            </w:r>
          </w:p>
          <w:p w14:paraId="5CED8A12">
            <w:pPr>
              <w:pStyle w:val="18"/>
              <w:keepNext w:val="0"/>
              <w:keepLines w:val="0"/>
              <w:pageBreakBefore w:val="0"/>
              <w:widowControl w:val="0"/>
              <w:kinsoku/>
              <w:wordWrap w:val="0"/>
              <w:overflowPunct/>
              <w:topLinePunct/>
              <w:autoSpaceDE/>
              <w:autoSpaceDN/>
              <w:bidi w:val="0"/>
              <w:adjustRightInd/>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危险废物属性及环境危险特性一览表</w:t>
            </w:r>
          </w:p>
          <w:tbl>
            <w:tblPr>
              <w:tblStyle w:val="32"/>
              <w:tblW w:w="499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86"/>
              <w:gridCol w:w="1345"/>
              <w:gridCol w:w="893"/>
              <w:gridCol w:w="1025"/>
              <w:gridCol w:w="3280"/>
              <w:gridCol w:w="725"/>
            </w:tblGrid>
            <w:tr w14:paraId="75077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86" w:type="dxa"/>
                  <w:tcBorders>
                    <w:tl2br w:val="nil"/>
                    <w:tr2bl w:val="nil"/>
                  </w:tcBorders>
                  <w:vAlign w:val="center"/>
                </w:tcPr>
                <w:p w14:paraId="0A0C33C3">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名称</w:t>
                  </w:r>
                </w:p>
              </w:tc>
              <w:tc>
                <w:tcPr>
                  <w:tcW w:w="1345" w:type="dxa"/>
                  <w:tcBorders>
                    <w:tl2br w:val="nil"/>
                    <w:tr2bl w:val="nil"/>
                  </w:tcBorders>
                  <w:vAlign w:val="center"/>
                </w:tcPr>
                <w:p w14:paraId="1F664128">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废物类别</w:t>
                  </w:r>
                </w:p>
              </w:tc>
              <w:tc>
                <w:tcPr>
                  <w:tcW w:w="893" w:type="dxa"/>
                  <w:tcBorders>
                    <w:tl2br w:val="nil"/>
                    <w:tr2bl w:val="nil"/>
                  </w:tcBorders>
                  <w:vAlign w:val="center"/>
                </w:tcPr>
                <w:p w14:paraId="7A26D6C8">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行业来源</w:t>
                  </w:r>
                </w:p>
              </w:tc>
              <w:tc>
                <w:tcPr>
                  <w:tcW w:w="1025" w:type="dxa"/>
                  <w:tcBorders>
                    <w:tl2br w:val="nil"/>
                    <w:tr2bl w:val="nil"/>
                  </w:tcBorders>
                  <w:vAlign w:val="center"/>
                </w:tcPr>
                <w:p w14:paraId="1B34B1D6">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废物代码</w:t>
                  </w:r>
                </w:p>
              </w:tc>
              <w:tc>
                <w:tcPr>
                  <w:tcW w:w="3281" w:type="dxa"/>
                  <w:tcBorders>
                    <w:tl2br w:val="nil"/>
                    <w:tr2bl w:val="nil"/>
                  </w:tcBorders>
                  <w:vAlign w:val="center"/>
                </w:tcPr>
                <w:p w14:paraId="2DC04597">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危险废物</w:t>
                  </w:r>
                </w:p>
              </w:tc>
              <w:tc>
                <w:tcPr>
                  <w:tcW w:w="725" w:type="dxa"/>
                  <w:tcBorders>
                    <w:tl2br w:val="nil"/>
                    <w:tr2bl w:val="nil"/>
                  </w:tcBorders>
                  <w:vAlign w:val="center"/>
                </w:tcPr>
                <w:p w14:paraId="3C72569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危险特性</w:t>
                  </w:r>
                </w:p>
              </w:tc>
            </w:tr>
            <w:tr w14:paraId="4A899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86" w:type="dxa"/>
                  <w:tcBorders>
                    <w:tl2br w:val="nil"/>
                    <w:tr2bl w:val="nil"/>
                  </w:tcBorders>
                  <w:vAlign w:val="center"/>
                </w:tcPr>
                <w:p w14:paraId="7CF3F6B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废包装桶</w:t>
                  </w:r>
                </w:p>
              </w:tc>
              <w:tc>
                <w:tcPr>
                  <w:tcW w:w="1345" w:type="dxa"/>
                  <w:tcBorders>
                    <w:tl2br w:val="nil"/>
                    <w:tr2bl w:val="nil"/>
                  </w:tcBorders>
                  <w:vAlign w:val="center"/>
                </w:tcPr>
                <w:p w14:paraId="27F1248B">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HW13</w:t>
                  </w:r>
                  <w:r>
                    <w:rPr>
                      <w:rFonts w:hint="default" w:ascii="Times New Roman" w:hAnsi="Times New Roman" w:eastAsia="宋体" w:cs="Times New Roman"/>
                      <w:color w:val="000000" w:themeColor="text1"/>
                      <w:lang w:eastAsia="zh-CN"/>
                      <w14:textFill>
                        <w14:solidFill>
                          <w14:schemeClr w14:val="tx1"/>
                        </w14:solidFill>
                      </w14:textFill>
                    </w:rPr>
                    <w:t>其他废物</w:t>
                  </w:r>
                </w:p>
              </w:tc>
              <w:tc>
                <w:tcPr>
                  <w:tcW w:w="893" w:type="dxa"/>
                  <w:tcBorders>
                    <w:tl2br w:val="nil"/>
                    <w:tr2bl w:val="nil"/>
                  </w:tcBorders>
                  <w:vAlign w:val="center"/>
                </w:tcPr>
                <w:p w14:paraId="5D6F0EAB">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非特定行业</w:t>
                  </w:r>
                </w:p>
              </w:tc>
              <w:tc>
                <w:tcPr>
                  <w:tcW w:w="1025" w:type="dxa"/>
                  <w:tcBorders>
                    <w:tl2br w:val="nil"/>
                    <w:tr2bl w:val="nil"/>
                  </w:tcBorders>
                  <w:vAlign w:val="center"/>
                </w:tcPr>
                <w:p w14:paraId="04DB3ED4">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900-041-49</w:t>
                  </w:r>
                </w:p>
              </w:tc>
              <w:tc>
                <w:tcPr>
                  <w:tcW w:w="3281" w:type="dxa"/>
                  <w:tcBorders>
                    <w:tl2br w:val="nil"/>
                    <w:tr2bl w:val="nil"/>
                  </w:tcBorders>
                  <w:vAlign w:val="center"/>
                </w:tcPr>
                <w:p w14:paraId="12A2EDE3">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含有或者沾染毒性、感染性危险废物的废弃的包装物、容器、过滤吸附介质</w:t>
                  </w:r>
                </w:p>
              </w:tc>
              <w:tc>
                <w:tcPr>
                  <w:tcW w:w="725" w:type="dxa"/>
                  <w:tcBorders>
                    <w:tl2br w:val="nil"/>
                    <w:tr2bl w:val="nil"/>
                  </w:tcBorders>
                  <w:vAlign w:val="center"/>
                </w:tcPr>
                <w:p w14:paraId="4ED4E700">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w:t>
                  </w:r>
                  <w:r>
                    <w:rPr>
                      <w:rFonts w:hint="default" w:ascii="Times New Roman" w:hAnsi="Times New Roman" w:eastAsia="宋体" w:cs="Times New Roman"/>
                      <w:color w:val="000000" w:themeColor="text1"/>
                      <w:lang w:val="en-US" w:eastAsia="zh-CN"/>
                      <w14:textFill>
                        <w14:solidFill>
                          <w14:schemeClr w14:val="tx1"/>
                        </w14:solidFill>
                      </w14:textFill>
                    </w:rPr>
                    <w:t>/In</w:t>
                  </w:r>
                </w:p>
              </w:tc>
            </w:tr>
            <w:tr w14:paraId="5A4D7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86" w:type="dxa"/>
                  <w:tcBorders>
                    <w:tl2br w:val="nil"/>
                    <w:tr2bl w:val="nil"/>
                  </w:tcBorders>
                  <w:vAlign w:val="center"/>
                </w:tcPr>
                <w:p w14:paraId="3272722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废抹布</w:t>
                  </w:r>
                </w:p>
              </w:tc>
              <w:tc>
                <w:tcPr>
                  <w:tcW w:w="1345" w:type="dxa"/>
                  <w:tcBorders>
                    <w:tl2br w:val="nil"/>
                    <w:tr2bl w:val="nil"/>
                  </w:tcBorders>
                  <w:vAlign w:val="center"/>
                </w:tcPr>
                <w:p w14:paraId="75BA6CF3">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HW13</w:t>
                  </w:r>
                  <w:r>
                    <w:rPr>
                      <w:rFonts w:hint="default" w:ascii="Times New Roman" w:hAnsi="Times New Roman" w:eastAsia="宋体" w:cs="Times New Roman"/>
                      <w:color w:val="000000" w:themeColor="text1"/>
                      <w:lang w:eastAsia="zh-CN"/>
                      <w14:textFill>
                        <w14:solidFill>
                          <w14:schemeClr w14:val="tx1"/>
                        </w14:solidFill>
                      </w14:textFill>
                    </w:rPr>
                    <w:t>其他废物</w:t>
                  </w:r>
                </w:p>
              </w:tc>
              <w:tc>
                <w:tcPr>
                  <w:tcW w:w="893" w:type="dxa"/>
                  <w:tcBorders>
                    <w:tl2br w:val="nil"/>
                    <w:tr2bl w:val="nil"/>
                  </w:tcBorders>
                  <w:vAlign w:val="center"/>
                </w:tcPr>
                <w:p w14:paraId="1B30D63E">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非特定行业</w:t>
                  </w:r>
                </w:p>
              </w:tc>
              <w:tc>
                <w:tcPr>
                  <w:tcW w:w="1025" w:type="dxa"/>
                  <w:tcBorders>
                    <w:tl2br w:val="nil"/>
                    <w:tr2bl w:val="nil"/>
                  </w:tcBorders>
                  <w:vAlign w:val="center"/>
                </w:tcPr>
                <w:p w14:paraId="76A0969A">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900-041-49</w:t>
                  </w:r>
                </w:p>
              </w:tc>
              <w:tc>
                <w:tcPr>
                  <w:tcW w:w="3281" w:type="dxa"/>
                  <w:tcBorders>
                    <w:tl2br w:val="nil"/>
                    <w:tr2bl w:val="nil"/>
                  </w:tcBorders>
                  <w:vAlign w:val="center"/>
                </w:tcPr>
                <w:p w14:paraId="384D7D9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含有或者沾染毒性、感染性危险废物的废弃的包装物、容器、过滤吸附介质</w:t>
                  </w:r>
                </w:p>
              </w:tc>
              <w:tc>
                <w:tcPr>
                  <w:tcW w:w="725" w:type="dxa"/>
                  <w:tcBorders>
                    <w:tl2br w:val="nil"/>
                    <w:tr2bl w:val="nil"/>
                  </w:tcBorders>
                  <w:vAlign w:val="center"/>
                </w:tcPr>
                <w:p w14:paraId="5E30CDFB">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w:t>
                  </w:r>
                  <w:r>
                    <w:rPr>
                      <w:rFonts w:hint="default" w:ascii="Times New Roman" w:hAnsi="Times New Roman" w:eastAsia="宋体" w:cs="Times New Roman"/>
                      <w:color w:val="000000" w:themeColor="text1"/>
                      <w:lang w:val="en-US" w:eastAsia="zh-CN"/>
                      <w14:textFill>
                        <w14:solidFill>
                          <w14:schemeClr w14:val="tx1"/>
                        </w14:solidFill>
                      </w14:textFill>
                    </w:rPr>
                    <w:t>/In</w:t>
                  </w:r>
                </w:p>
              </w:tc>
            </w:tr>
            <w:tr w14:paraId="56F9F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jc w:val="center"/>
              </w:trPr>
              <w:tc>
                <w:tcPr>
                  <w:tcW w:w="786" w:type="dxa"/>
                  <w:tcBorders>
                    <w:tl2br w:val="nil"/>
                    <w:tr2bl w:val="nil"/>
                  </w:tcBorders>
                  <w:vAlign w:val="center"/>
                </w:tcPr>
                <w:p w14:paraId="041B93E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废油墨渣</w:t>
                  </w:r>
                </w:p>
              </w:tc>
              <w:tc>
                <w:tcPr>
                  <w:tcW w:w="1345" w:type="dxa"/>
                  <w:tcBorders>
                    <w:tl2br w:val="nil"/>
                    <w:tr2bl w:val="nil"/>
                  </w:tcBorders>
                  <w:vAlign w:val="center"/>
                </w:tcPr>
                <w:p w14:paraId="38AE5B16">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HW12染料、涂料废物</w:t>
                  </w:r>
                </w:p>
              </w:tc>
              <w:tc>
                <w:tcPr>
                  <w:tcW w:w="893" w:type="dxa"/>
                  <w:tcBorders>
                    <w:tl2br w:val="nil"/>
                    <w:tr2bl w:val="nil"/>
                  </w:tcBorders>
                  <w:vAlign w:val="center"/>
                </w:tcPr>
                <w:p w14:paraId="0C067877">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非特定行业</w:t>
                  </w:r>
                </w:p>
              </w:tc>
              <w:tc>
                <w:tcPr>
                  <w:tcW w:w="1025" w:type="dxa"/>
                  <w:tcBorders>
                    <w:tl2br w:val="nil"/>
                    <w:tr2bl w:val="nil"/>
                  </w:tcBorders>
                  <w:vAlign w:val="center"/>
                </w:tcPr>
                <w:p w14:paraId="58FD2398">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900-253-12</w:t>
                  </w:r>
                </w:p>
              </w:tc>
              <w:tc>
                <w:tcPr>
                  <w:tcW w:w="3281" w:type="dxa"/>
                  <w:tcBorders>
                    <w:tl2br w:val="nil"/>
                    <w:tr2bl w:val="nil"/>
                  </w:tcBorders>
                  <w:vAlign w:val="center"/>
                </w:tcPr>
                <w:p w14:paraId="4A780CEF">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zh-CN"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使用油墨和有机溶剂进行印刷、涂布过程中产生的废物</w:t>
                  </w:r>
                </w:p>
              </w:tc>
              <w:tc>
                <w:tcPr>
                  <w:tcW w:w="725" w:type="dxa"/>
                  <w:tcBorders>
                    <w:tl2br w:val="nil"/>
                    <w:tr2bl w:val="nil"/>
                  </w:tcBorders>
                  <w:vAlign w:val="center"/>
                </w:tcPr>
                <w:p w14:paraId="503BE6E6">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T，I</w:t>
                  </w:r>
                </w:p>
              </w:tc>
            </w:tr>
            <w:tr w14:paraId="60B7F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jc w:val="center"/>
              </w:trPr>
              <w:tc>
                <w:tcPr>
                  <w:tcW w:w="786" w:type="dxa"/>
                  <w:tcBorders>
                    <w:tl2br w:val="nil"/>
                    <w:tr2bl w:val="nil"/>
                  </w:tcBorders>
                  <w:vAlign w:val="center"/>
                </w:tcPr>
                <w:p w14:paraId="3E8A538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废有机溶剂</w:t>
                  </w:r>
                </w:p>
              </w:tc>
              <w:tc>
                <w:tcPr>
                  <w:tcW w:w="1345" w:type="dxa"/>
                  <w:tcBorders>
                    <w:tl2br w:val="nil"/>
                    <w:tr2bl w:val="nil"/>
                  </w:tcBorders>
                  <w:vAlign w:val="center"/>
                </w:tcPr>
                <w:p w14:paraId="45BF86FB">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HW12染料、涂料废物</w:t>
                  </w:r>
                </w:p>
              </w:tc>
              <w:tc>
                <w:tcPr>
                  <w:tcW w:w="893" w:type="dxa"/>
                  <w:tcBorders>
                    <w:tl2br w:val="nil"/>
                    <w:tr2bl w:val="nil"/>
                  </w:tcBorders>
                  <w:vAlign w:val="center"/>
                </w:tcPr>
                <w:p w14:paraId="554F35C3">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涂料、油墨、颜料及类似产品制造</w:t>
                  </w:r>
                </w:p>
              </w:tc>
              <w:tc>
                <w:tcPr>
                  <w:tcW w:w="1025" w:type="dxa"/>
                  <w:tcBorders>
                    <w:tl2br w:val="nil"/>
                    <w:tr2bl w:val="nil"/>
                  </w:tcBorders>
                  <w:vAlign w:val="center"/>
                </w:tcPr>
                <w:p w14:paraId="26A6D18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264-013-12</w:t>
                  </w:r>
                </w:p>
              </w:tc>
              <w:tc>
                <w:tcPr>
                  <w:tcW w:w="3281" w:type="dxa"/>
                  <w:tcBorders>
                    <w:tl2br w:val="nil"/>
                    <w:tr2bl w:val="nil"/>
                  </w:tcBorders>
                  <w:vAlign w:val="center"/>
                </w:tcPr>
                <w:p w14:paraId="28B5EB65">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油漆、油墨生产、配制和使用过程中产生的含颜料、油墨的废有溶剂</w:t>
                  </w:r>
                </w:p>
              </w:tc>
              <w:tc>
                <w:tcPr>
                  <w:tcW w:w="725" w:type="dxa"/>
                  <w:tcBorders>
                    <w:tl2br w:val="nil"/>
                    <w:tr2bl w:val="nil"/>
                  </w:tcBorders>
                  <w:vAlign w:val="center"/>
                </w:tcPr>
                <w:p w14:paraId="30F52C02">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T</w:t>
                  </w:r>
                </w:p>
              </w:tc>
            </w:tr>
            <w:tr w14:paraId="3315C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jc w:val="center"/>
              </w:trPr>
              <w:tc>
                <w:tcPr>
                  <w:tcW w:w="786" w:type="dxa"/>
                  <w:tcBorders>
                    <w:tl2br w:val="nil"/>
                    <w:tr2bl w:val="nil"/>
                  </w:tcBorders>
                  <w:vAlign w:val="center"/>
                </w:tcPr>
                <w:p w14:paraId="6C863B1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废印</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版辊</w:t>
                  </w:r>
                </w:p>
              </w:tc>
              <w:tc>
                <w:tcPr>
                  <w:tcW w:w="1345" w:type="dxa"/>
                  <w:tcBorders>
                    <w:tl2br w:val="nil"/>
                    <w:tr2bl w:val="nil"/>
                  </w:tcBorders>
                  <w:vAlign w:val="center"/>
                </w:tcPr>
                <w:p w14:paraId="46AFD3D4">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HW12染料、涂料废物</w:t>
                  </w:r>
                </w:p>
              </w:tc>
              <w:tc>
                <w:tcPr>
                  <w:tcW w:w="893" w:type="dxa"/>
                  <w:tcBorders>
                    <w:tl2br w:val="nil"/>
                    <w:tr2bl w:val="nil"/>
                  </w:tcBorders>
                  <w:vAlign w:val="center"/>
                </w:tcPr>
                <w:p w14:paraId="4185C02F">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非特定行业</w:t>
                  </w:r>
                </w:p>
              </w:tc>
              <w:tc>
                <w:tcPr>
                  <w:tcW w:w="1025" w:type="dxa"/>
                  <w:tcBorders>
                    <w:tl2br w:val="nil"/>
                    <w:tr2bl w:val="nil"/>
                  </w:tcBorders>
                  <w:vAlign w:val="center"/>
                </w:tcPr>
                <w:p w14:paraId="05593786">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900-253-12</w:t>
                  </w:r>
                </w:p>
              </w:tc>
              <w:tc>
                <w:tcPr>
                  <w:tcW w:w="3281" w:type="dxa"/>
                  <w:tcBorders>
                    <w:tl2br w:val="nil"/>
                    <w:tr2bl w:val="nil"/>
                  </w:tcBorders>
                  <w:vAlign w:val="center"/>
                </w:tcPr>
                <w:p w14:paraId="4686001A">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使用油墨和有机溶剂进行印刷、涂布过程中产生的废物</w:t>
                  </w:r>
                </w:p>
              </w:tc>
              <w:tc>
                <w:tcPr>
                  <w:tcW w:w="725" w:type="dxa"/>
                  <w:tcBorders>
                    <w:tl2br w:val="nil"/>
                    <w:tr2bl w:val="nil"/>
                  </w:tcBorders>
                  <w:vAlign w:val="center"/>
                </w:tcPr>
                <w:p w14:paraId="0AE4502A">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T，I</w:t>
                  </w:r>
                </w:p>
              </w:tc>
            </w:tr>
            <w:tr w14:paraId="13847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86" w:type="dxa"/>
                  <w:tcBorders>
                    <w:tl2br w:val="nil"/>
                    <w:tr2bl w:val="nil"/>
                  </w:tcBorders>
                  <w:vAlign w:val="center"/>
                </w:tcPr>
                <w:p w14:paraId="6ADD6F7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废机油</w:t>
                  </w:r>
                </w:p>
              </w:tc>
              <w:tc>
                <w:tcPr>
                  <w:tcW w:w="1345" w:type="dxa"/>
                  <w:tcBorders>
                    <w:tl2br w:val="nil"/>
                    <w:tr2bl w:val="nil"/>
                  </w:tcBorders>
                  <w:vAlign w:val="center"/>
                </w:tcPr>
                <w:p w14:paraId="222F67C5">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HW08废矿物油</w:t>
                  </w:r>
                </w:p>
              </w:tc>
              <w:tc>
                <w:tcPr>
                  <w:tcW w:w="893" w:type="dxa"/>
                  <w:tcBorders>
                    <w:tl2br w:val="nil"/>
                    <w:tr2bl w:val="nil"/>
                  </w:tcBorders>
                  <w:vAlign w:val="center"/>
                </w:tcPr>
                <w:p w14:paraId="578E0121">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非特定行业</w:t>
                  </w:r>
                </w:p>
              </w:tc>
              <w:tc>
                <w:tcPr>
                  <w:tcW w:w="1025" w:type="dxa"/>
                  <w:tcBorders>
                    <w:tl2br w:val="nil"/>
                    <w:tr2bl w:val="nil"/>
                  </w:tcBorders>
                  <w:vAlign w:val="center"/>
                </w:tcPr>
                <w:p w14:paraId="560BA3E8">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900-214-08</w:t>
                  </w:r>
                </w:p>
              </w:tc>
              <w:tc>
                <w:tcPr>
                  <w:tcW w:w="3281" w:type="dxa"/>
                  <w:tcBorders>
                    <w:tl2br w:val="nil"/>
                    <w:tr2bl w:val="nil"/>
                  </w:tcBorders>
                  <w:vAlign w:val="center"/>
                </w:tcPr>
                <w:p w14:paraId="12D5137F">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车辆、轮船及其它机械维修过程中产生的废发动机油、制动器油、自动变速器油、齿轮油等废润滑油</w:t>
                  </w:r>
                </w:p>
              </w:tc>
              <w:tc>
                <w:tcPr>
                  <w:tcW w:w="725" w:type="dxa"/>
                  <w:tcBorders>
                    <w:tl2br w:val="nil"/>
                    <w:tr2bl w:val="nil"/>
                  </w:tcBorders>
                  <w:vAlign w:val="center"/>
                </w:tcPr>
                <w:p w14:paraId="6D4FF920">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T，I</w:t>
                  </w:r>
                </w:p>
              </w:tc>
            </w:tr>
          </w:tbl>
          <w:p w14:paraId="10CCC59F">
            <w:pPr>
              <w:pStyle w:val="147"/>
              <w:keepNext w:val="0"/>
              <w:keepLines w:val="0"/>
              <w:pageBreakBefore w:val="0"/>
              <w:widowControl w:val="0"/>
              <w:kinsoku/>
              <w:wordWrap w:val="0"/>
              <w:overflowPunct/>
              <w:topLinePunct/>
              <w:autoSpaceDE/>
              <w:autoSpaceDN/>
              <w:bidi w:val="0"/>
              <w:adjustRightInd/>
              <w:snapToGrid/>
              <w:ind w:left="0" w:leftChars="0" w:firstLine="482"/>
              <w:jc w:val="left"/>
              <w:textAlignment w:val="auto"/>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（3）环境管理要求</w:t>
            </w:r>
          </w:p>
          <w:p w14:paraId="0797532E">
            <w:pPr>
              <w:pStyle w:val="31"/>
              <w:keepNext w:val="0"/>
              <w:keepLines w:val="0"/>
              <w:pageBreakBefore w:val="0"/>
              <w:widowControl w:val="0"/>
              <w:kinsoku/>
              <w:wordWrap w:val="0"/>
              <w:overflowPunct/>
              <w:topLinePunct/>
              <w:autoSpaceDE/>
              <w:autoSpaceDN/>
              <w:bidi w:val="0"/>
              <w:adjustRightInd/>
              <w:snapToGrid/>
              <w:spacing w:after="0" w:line="360" w:lineRule="auto"/>
              <w:ind w:left="0" w:leftChars="0" w:firstLine="480"/>
              <w:jc w:val="left"/>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1）一般固废按照</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一般工业固体废物贮存和填埋污染控制标准》（GB18599-2020）要求执行，固体废物贮存、处置场按</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环境保护图形标志固体废物贮存（处置）场（GB15562.2-1995）》及修改单要求，设置图形标志。危险废物装载容器和包装物张贴标签；收集、贮存、运输、利用、处置危险废物的设施、场所设置危险废物警示标志和危险废物标签，标识标志正确、清晰、完好。</w:t>
            </w:r>
          </w:p>
          <w:p w14:paraId="2EDEE2F8">
            <w:pPr>
              <w:pStyle w:val="31"/>
              <w:keepNext w:val="0"/>
              <w:keepLines w:val="0"/>
              <w:pageBreakBefore w:val="0"/>
              <w:widowControl w:val="0"/>
              <w:kinsoku/>
              <w:wordWrap w:val="0"/>
              <w:overflowPunct/>
              <w:topLinePunct/>
              <w:autoSpaceDE/>
              <w:autoSpaceDN/>
              <w:bidi w:val="0"/>
              <w:adjustRightInd/>
              <w:snapToGrid/>
              <w:spacing w:after="0" w:line="360" w:lineRule="auto"/>
              <w:ind w:left="0" w:leftChars="0" w:firstLine="480"/>
              <w:jc w:val="left"/>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2）</w:t>
            </w:r>
            <w:r>
              <w:rPr>
                <w:rFonts w:hint="eastAsia" w:cs="Times New Roman"/>
                <w:bCs/>
                <w:color w:val="000000" w:themeColor="text1"/>
                <w:sz w:val="24"/>
                <w:lang w:eastAsia="zh-CN"/>
                <w14:textFill>
                  <w14:solidFill>
                    <w14:schemeClr w14:val="tx1"/>
                  </w14:solidFill>
                </w14:textFill>
              </w:rPr>
              <w:t>本项目设置</w:t>
            </w:r>
            <w:r>
              <w:rPr>
                <w:rFonts w:hint="eastAsia" w:cs="Times New Roman"/>
                <w:bCs/>
                <w:color w:val="000000" w:themeColor="text1"/>
                <w:sz w:val="24"/>
                <w:lang w:val="en-US" w:eastAsia="zh-CN"/>
                <w14:textFill>
                  <w14:solidFill>
                    <w14:schemeClr w14:val="tx1"/>
                  </w14:solidFill>
                </w14:textFill>
              </w:rPr>
              <w:t>1间面积为5m</w:t>
            </w:r>
            <w:r>
              <w:rPr>
                <w:rFonts w:hint="eastAsia" w:cs="Times New Roman"/>
                <w:bCs/>
                <w:color w:val="000000" w:themeColor="text1"/>
                <w:sz w:val="24"/>
                <w:vertAlign w:val="superscript"/>
                <w:lang w:val="en-US" w:eastAsia="zh-CN"/>
                <w14:textFill>
                  <w14:solidFill>
                    <w14:schemeClr w14:val="tx1"/>
                  </w14:solidFill>
                </w14:textFill>
              </w:rPr>
              <w:t>2</w:t>
            </w:r>
            <w:r>
              <w:rPr>
                <w:rFonts w:hint="eastAsia" w:cs="Times New Roman"/>
                <w:bCs/>
                <w:color w:val="000000" w:themeColor="text1"/>
                <w:sz w:val="24"/>
                <w:lang w:val="en-US" w:eastAsia="zh-CN"/>
                <w14:textFill>
                  <w14:solidFill>
                    <w14:schemeClr w14:val="tx1"/>
                  </w14:solidFill>
                </w14:textFill>
              </w:rPr>
              <w:t>的危废暂存间，本环评建议建设单位危废暂存间内分别设置5个收集桶，分类收集危险废物。收集桶为200L铁质罐体，底面积为0.26m</w:t>
            </w:r>
            <w:r>
              <w:rPr>
                <w:rFonts w:hint="eastAsia" w:cs="Times New Roman"/>
                <w:bCs/>
                <w:color w:val="000000" w:themeColor="text1"/>
                <w:sz w:val="24"/>
                <w:vertAlign w:val="superscript"/>
                <w:lang w:val="en-US" w:eastAsia="zh-CN"/>
                <w14:textFill>
                  <w14:solidFill>
                    <w14:schemeClr w14:val="tx1"/>
                  </w14:solidFill>
                </w14:textFill>
              </w:rPr>
              <w:t>2</w:t>
            </w:r>
            <w:r>
              <w:rPr>
                <w:rFonts w:hint="eastAsia" w:cs="Times New Roman"/>
                <w:bCs/>
                <w:color w:val="000000" w:themeColor="text1"/>
                <w:sz w:val="24"/>
                <w:lang w:val="en-US" w:eastAsia="zh-CN"/>
                <w14:textFill>
                  <w14:solidFill>
                    <w14:schemeClr w14:val="tx1"/>
                  </w14:solidFill>
                </w14:textFill>
              </w:rPr>
              <w:t>，危废间能够放置设置的收集桶，能够有效收集项目产生的危险废物。</w:t>
            </w:r>
            <w:r>
              <w:rPr>
                <w:rFonts w:hint="default" w:ascii="Times New Roman" w:hAnsi="Times New Roman" w:eastAsia="宋体" w:cs="Times New Roman"/>
                <w:bCs/>
                <w:color w:val="000000" w:themeColor="text1"/>
                <w:sz w:val="24"/>
                <w:lang w:val="en-US" w:eastAsia="zh-CN"/>
                <w14:textFill>
                  <w14:solidFill>
                    <w14:schemeClr w14:val="tx1"/>
                  </w14:solidFill>
                </w14:textFill>
              </w:rPr>
              <w:t>危险废物暂存间应遵照《危险废物贮存污染控制标准》（GB18597-2023）设置，贮存设施应根据危险废物的形态、物理化学性质、包装形式和污染物迁移途径，采取必要的防风、防晒、防雨、防漏、防渗、防腐以及其他环境污染防治措施，不应露天堆放危险废物；贮存点应采取防风、防雨、防晒和防止危险废物流失、扬散等措施。</w:t>
            </w:r>
          </w:p>
          <w:p w14:paraId="3631D914">
            <w:pPr>
              <w:pStyle w:val="31"/>
              <w:keepNext w:val="0"/>
              <w:keepLines w:val="0"/>
              <w:pageBreakBefore w:val="0"/>
              <w:widowControl w:val="0"/>
              <w:kinsoku/>
              <w:wordWrap w:val="0"/>
              <w:overflowPunct/>
              <w:topLinePunct/>
              <w:autoSpaceDE/>
              <w:autoSpaceDN/>
              <w:bidi w:val="0"/>
              <w:adjustRightInd/>
              <w:snapToGrid/>
              <w:spacing w:after="0" w:line="360" w:lineRule="auto"/>
              <w:ind w:left="0" w:leftChars="0" w:firstLine="480"/>
              <w:jc w:val="left"/>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3）</w:t>
            </w:r>
            <w:r>
              <w:rPr>
                <w:rFonts w:hint="default" w:ascii="Times New Roman" w:hAnsi="Times New Roman" w:eastAsia="宋体" w:cs="Times New Roman"/>
                <w:bCs/>
                <w:color w:val="000000" w:themeColor="text1"/>
                <w:sz w:val="24"/>
                <w:lang w:eastAsia="zh-CN"/>
                <w14:textFill>
                  <w14:solidFill>
                    <w14:schemeClr w14:val="tx1"/>
                  </w14:solidFill>
                </w14:textFill>
              </w:rPr>
              <w:t>危险废物</w:t>
            </w:r>
            <w:r>
              <w:rPr>
                <w:rFonts w:hint="default" w:ascii="Times New Roman" w:hAnsi="Times New Roman" w:eastAsia="宋体" w:cs="Times New Roman"/>
                <w:bCs/>
                <w:color w:val="000000" w:themeColor="text1"/>
                <w:sz w:val="24"/>
                <w14:textFill>
                  <w14:solidFill>
                    <w14:schemeClr w14:val="tx1"/>
                  </w14:solidFill>
                </w14:textFill>
              </w:rPr>
              <w:t>贮存设施地面与裙脚应采取表面防渗措施</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渗透系数不大于10</w:t>
            </w:r>
            <w:r>
              <w:rPr>
                <w:rFonts w:hint="default" w:ascii="Times New Roman" w:hAnsi="Times New Roman" w:eastAsia="宋体" w:cs="Times New Roman"/>
                <w:bCs/>
                <w:color w:val="000000" w:themeColor="text1"/>
                <w:sz w:val="24"/>
                <w:vertAlign w:val="superscript"/>
                <w14:textFill>
                  <w14:solidFill>
                    <w14:schemeClr w14:val="tx1"/>
                  </w14:solidFill>
                </w14:textFill>
              </w:rPr>
              <w:t>-7</w:t>
            </w:r>
            <w:r>
              <w:rPr>
                <w:rFonts w:hint="default" w:ascii="Times New Roman" w:hAnsi="Times New Roman" w:eastAsia="宋体" w:cs="Times New Roman"/>
                <w:bCs/>
                <w:color w:val="000000" w:themeColor="text1"/>
                <w:sz w:val="24"/>
                <w14:textFill>
                  <w14:solidFill>
                    <w14:schemeClr w14:val="tx1"/>
                  </w14:solidFill>
                </w14:textFill>
              </w:rPr>
              <w:t>cm/s</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，或至少2mm厚高密度聚乙烯膜等人工防渗材料</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渗透系数不大于10</w:t>
            </w:r>
            <w:r>
              <w:rPr>
                <w:rFonts w:hint="default" w:ascii="Times New Roman" w:hAnsi="Times New Roman" w:eastAsia="宋体" w:cs="Times New Roman"/>
                <w:bCs/>
                <w:color w:val="000000" w:themeColor="text1"/>
                <w:sz w:val="24"/>
                <w:vertAlign w:val="superscript"/>
                <w:lang w:val="en-US" w:eastAsia="zh-CN"/>
                <w14:textFill>
                  <w14:solidFill>
                    <w14:schemeClr w14:val="tx1"/>
                  </w14:solidFill>
                </w14:textFill>
              </w:rPr>
              <w:t>-10</w:t>
            </w:r>
            <w:r>
              <w:rPr>
                <w:rFonts w:hint="default" w:ascii="Times New Roman" w:hAnsi="Times New Roman" w:eastAsia="宋体" w:cs="Times New Roman"/>
                <w:bCs/>
                <w:color w:val="000000" w:themeColor="text1"/>
                <w:sz w:val="24"/>
                <w14:textFill>
                  <w14:solidFill>
                    <w14:schemeClr w14:val="tx1"/>
                  </w14:solidFill>
                </w14:textFill>
              </w:rPr>
              <w:t>cm/s</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，或其他防渗性能等效的材料。</w:t>
            </w:r>
          </w:p>
          <w:p w14:paraId="514459E0">
            <w:pPr>
              <w:pStyle w:val="31"/>
              <w:keepNext w:val="0"/>
              <w:keepLines w:val="0"/>
              <w:pageBreakBefore w:val="0"/>
              <w:widowControl w:val="0"/>
              <w:kinsoku/>
              <w:wordWrap w:val="0"/>
              <w:overflowPunct/>
              <w:topLinePunct/>
              <w:autoSpaceDE/>
              <w:autoSpaceDN/>
              <w:bidi w:val="0"/>
              <w:adjustRightInd/>
              <w:snapToGrid/>
              <w:spacing w:after="0" w:line="360" w:lineRule="auto"/>
              <w:ind w:left="0" w:leftChars="0" w:firstLine="480"/>
              <w:jc w:val="left"/>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贮存设施应根据危险废物的类别、数量、形态、物理化学性质和污染防治等要求设置必要的贮存分区，避免不相容的危险废物接触、混合</w:t>
            </w:r>
            <w:r>
              <w:rPr>
                <w:rFonts w:hint="default" w:ascii="Times New Roman" w:hAnsi="Times New Roman" w:eastAsia="宋体" w:cs="Times New Roman"/>
                <w:bCs/>
                <w:color w:val="000000" w:themeColor="text1"/>
                <w:sz w:val="24"/>
                <w14:textFill>
                  <w14:solidFill>
                    <w14:schemeClr w14:val="tx1"/>
                  </w14:solidFill>
                </w14:textFill>
              </w:rPr>
              <w:t>。不同种类的危险废物分开存放，有明显间隔，摆放整齐划一，每一类危险废物单独设置标识牌，不存放除危险废物和应急工具以外的物品。</w:t>
            </w:r>
          </w:p>
          <w:p w14:paraId="529A5729">
            <w:pPr>
              <w:pStyle w:val="31"/>
              <w:keepNext w:val="0"/>
              <w:keepLines w:val="0"/>
              <w:pageBreakBefore w:val="0"/>
              <w:widowControl w:val="0"/>
              <w:kinsoku/>
              <w:wordWrap w:val="0"/>
              <w:overflowPunct/>
              <w:topLinePunct/>
              <w:autoSpaceDE/>
              <w:autoSpaceDN/>
              <w:bidi w:val="0"/>
              <w:adjustRightInd/>
              <w:snapToGrid/>
              <w:spacing w:after="0" w:line="360" w:lineRule="auto"/>
              <w:ind w:left="0" w:leftChars="0" w:firstLine="480"/>
              <w:jc w:val="left"/>
              <w:textAlignment w:val="auto"/>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5）本环评要求建设单位贮存设施或场所、容器和包装物按照《危险废物识别标志设置技术规范》（HJ1276-2022）设置危险废物贮存设施或场所标志、危险废物贮存分区标志和危险废物标签等危险废物识别标志。</w:t>
            </w:r>
          </w:p>
          <w:p w14:paraId="0B60135C">
            <w:pPr>
              <w:pStyle w:val="31"/>
              <w:keepNext w:val="0"/>
              <w:keepLines w:val="0"/>
              <w:pageBreakBefore w:val="0"/>
              <w:widowControl w:val="0"/>
              <w:kinsoku/>
              <w:wordWrap w:val="0"/>
              <w:overflowPunct/>
              <w:topLinePunct/>
              <w:autoSpaceDE/>
              <w:autoSpaceDN/>
              <w:bidi w:val="0"/>
              <w:adjustRightInd/>
              <w:snapToGrid/>
              <w:spacing w:after="0" w:line="360" w:lineRule="auto"/>
              <w:ind w:left="0" w:leftChars="0" w:firstLine="480"/>
              <w:jc w:val="left"/>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6）</w:t>
            </w:r>
            <w:r>
              <w:rPr>
                <w:rFonts w:hint="default" w:ascii="Times New Roman" w:hAnsi="Times New Roman" w:eastAsia="宋体" w:cs="Times New Roman"/>
                <w:bCs/>
                <w:color w:val="000000" w:themeColor="text1"/>
                <w:sz w:val="24"/>
                <w14:textFill>
                  <w14:solidFill>
                    <w14:schemeClr w14:val="tx1"/>
                  </w14:solidFill>
                </w14:textFill>
              </w:rPr>
              <w:t>定期对所贮存的危险废物包装容器及贮存设施进行检查，发现破损，应及时采取措施清理更换。</w:t>
            </w:r>
          </w:p>
          <w:p w14:paraId="7EABDADA">
            <w:pPr>
              <w:pStyle w:val="31"/>
              <w:keepNext w:val="0"/>
              <w:keepLines w:val="0"/>
              <w:pageBreakBefore w:val="0"/>
              <w:widowControl w:val="0"/>
              <w:kinsoku/>
              <w:wordWrap w:val="0"/>
              <w:overflowPunct/>
              <w:topLinePunct/>
              <w:autoSpaceDE/>
              <w:autoSpaceDN/>
              <w:bidi w:val="0"/>
              <w:adjustRightInd/>
              <w:snapToGrid/>
              <w:spacing w:after="0" w:line="360" w:lineRule="auto"/>
              <w:ind w:left="0" w:leftChars="0" w:firstLine="480"/>
              <w:jc w:val="left"/>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7）</w:t>
            </w:r>
            <w:r>
              <w:rPr>
                <w:rFonts w:hint="default" w:ascii="Times New Roman" w:hAnsi="Times New Roman" w:eastAsia="宋体" w:cs="Times New Roman"/>
                <w:bCs/>
                <w:color w:val="000000" w:themeColor="text1"/>
                <w:sz w:val="24"/>
                <w14:textFill>
                  <w14:solidFill>
                    <w14:schemeClr w14:val="tx1"/>
                  </w14:solidFill>
                </w14:textFill>
              </w:rPr>
              <w:t>在收集、储存、转移和运输过程中均严格按环保要求进行，作好危险废物情况的记录，建立危险固废管理台账，严格执行危险固废转移联单制度。且转移联单上的危险废物种类、数量与实际产生情况相符，至少保存5年。</w:t>
            </w:r>
          </w:p>
          <w:p w14:paraId="06B8D098">
            <w:pPr>
              <w:pStyle w:val="31"/>
              <w:keepNext w:val="0"/>
              <w:keepLines w:val="0"/>
              <w:pageBreakBefore w:val="0"/>
              <w:widowControl w:val="0"/>
              <w:kinsoku/>
              <w:wordWrap w:val="0"/>
              <w:overflowPunct/>
              <w:topLinePunct/>
              <w:autoSpaceDE/>
              <w:autoSpaceDN/>
              <w:bidi w:val="0"/>
              <w:adjustRightInd/>
              <w:snapToGrid/>
              <w:spacing w:after="0" w:line="360" w:lineRule="auto"/>
              <w:ind w:left="0" w:leftChars="0" w:firstLine="480"/>
              <w:jc w:val="left"/>
              <w:textAlignment w:val="auto"/>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8</w:t>
            </w:r>
            <w:r>
              <w:rPr>
                <w:rFonts w:hint="default" w:ascii="Times New Roman" w:hAnsi="Times New Roman" w:eastAsia="宋体" w:cs="Times New Roman"/>
                <w:bCs/>
                <w:color w:val="000000" w:themeColor="text1"/>
                <w:sz w:val="24"/>
                <w:lang w:eastAsia="zh-CN"/>
                <w14:textFill>
                  <w14:solidFill>
                    <w14:schemeClr w14:val="tx1"/>
                  </w14:solidFill>
                </w14:textFill>
              </w:rPr>
              <w:t>）目前项目暂未进行建设，本环评要求建设单位项目建设完成后，需及时签订危险废物处置协议，危险废物产生后收集暂存于危废暂存间，危险废物需定期委托有资质单位进行处置。</w:t>
            </w:r>
            <w:r>
              <w:rPr>
                <w:rFonts w:hint="eastAsia" w:cs="Times New Roman"/>
                <w:bCs/>
                <w:color w:val="000000" w:themeColor="text1"/>
                <w:sz w:val="24"/>
                <w:lang w:eastAsia="zh-CN"/>
                <w14:textFill>
                  <w14:solidFill>
                    <w14:schemeClr w14:val="tx1"/>
                  </w14:solidFill>
                </w14:textFill>
              </w:rPr>
              <w:t>本环评建议建设单位定期清运危险废物，每一个月清运一次，或危废暂存间内收集桶暂存量较多时及时清运。</w:t>
            </w:r>
          </w:p>
          <w:p w14:paraId="3EB2BDB1">
            <w:pPr>
              <w:pStyle w:val="31"/>
              <w:keepNext w:val="0"/>
              <w:keepLines w:val="0"/>
              <w:pageBreakBefore w:val="0"/>
              <w:widowControl w:val="0"/>
              <w:kinsoku/>
              <w:wordWrap w:val="0"/>
              <w:overflowPunct/>
              <w:topLinePunct/>
              <w:autoSpaceDE/>
              <w:autoSpaceDN/>
              <w:bidi w:val="0"/>
              <w:adjustRightInd/>
              <w:snapToGrid/>
              <w:spacing w:after="0" w:line="360" w:lineRule="auto"/>
              <w:ind w:left="0" w:leftChars="0" w:firstLine="480"/>
              <w:jc w:val="left"/>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9</w:t>
            </w:r>
            <w:r>
              <w:rPr>
                <w:rFonts w:hint="default" w:ascii="Times New Roman" w:hAnsi="Times New Roman" w:eastAsia="宋体" w:cs="Times New Roman"/>
                <w:bCs/>
                <w:color w:val="000000" w:themeColor="text1"/>
                <w:sz w:val="24"/>
                <w14:textFill>
                  <w14:solidFill>
                    <w14:schemeClr w14:val="tx1"/>
                  </w14:solidFill>
                </w14:textFill>
              </w:rPr>
              <w:t>）建设单位应结合自身实际生产情况，如实记载危险废物的种类、产生量、流向、贮存、利用处置等信息，定期汇总，并分类装订成册，由专人管理，防止遗失。可通过</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固体废物管理信息平台</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对危险废物管理台账进行信息化管理。具体要求详见</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危险废物产生单位建立台账的要求》，一般工业固体废物参照执行。</w:t>
            </w:r>
          </w:p>
          <w:p w14:paraId="15A5D6AB">
            <w:pPr>
              <w:pStyle w:val="147"/>
              <w:keepNext w:val="0"/>
              <w:keepLines w:val="0"/>
              <w:pageBreakBefore w:val="0"/>
              <w:widowControl w:val="0"/>
              <w:kinsoku/>
              <w:wordWrap w:val="0"/>
              <w:overflowPunct/>
              <w:topLinePunct/>
              <w:autoSpaceDE/>
              <w:autoSpaceDN/>
              <w:bidi w:val="0"/>
              <w:adjustRightInd/>
              <w:snapToGrid/>
              <w:ind w:left="0" w:leftChars="0" w:firstLine="482"/>
              <w:jc w:val="left"/>
              <w:textAlignment w:val="auto"/>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（4）固体废物环境影响分析</w:t>
            </w:r>
          </w:p>
          <w:p w14:paraId="1989BD9E">
            <w:pPr>
              <w:pStyle w:val="48"/>
              <w:keepNext w:val="0"/>
              <w:keepLines w:val="0"/>
              <w:pageBreakBefore w:val="0"/>
              <w:widowControl w:val="0"/>
              <w:kinsoku/>
              <w:wordWrap w:val="0"/>
              <w:overflowPunct/>
              <w:topLinePunct/>
              <w:autoSpaceDE/>
              <w:autoSpaceDN/>
              <w:bidi w:val="0"/>
              <w:adjustRightInd/>
              <w:snapToGrid/>
              <w:spacing w:line="360" w:lineRule="auto"/>
              <w:ind w:left="0" w:leftChars="0" w:right="0"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本项目固体废物的处理处置应遵循分类收集、优先综合利用等原则，本项目产生的固废经妥善处理、处置后，固体废物处置率100%，所采取的治理措施是可行。</w:t>
            </w:r>
            <w:r>
              <w:rPr>
                <w:rFonts w:hint="default" w:ascii="Times New Roman" w:hAnsi="Times New Roman" w:eastAsia="宋体" w:cs="Times New Roman"/>
                <w:color w:val="000000" w:themeColor="text1"/>
                <w:kern w:val="0"/>
                <w:sz w:val="24"/>
                <w:lang w:bidi="ar"/>
                <w14:textFill>
                  <w14:solidFill>
                    <w14:schemeClr w14:val="tx1"/>
                  </w14:solidFill>
                </w14:textFill>
              </w:rPr>
              <w:t>建设单位在运行过程中应严格按照环境管理的要求执行，保证固体废物合理处置。</w:t>
            </w:r>
          </w:p>
          <w:p w14:paraId="3BCF4867">
            <w:pPr>
              <w:pStyle w:val="147"/>
              <w:keepNext w:val="0"/>
              <w:keepLines w:val="0"/>
              <w:pageBreakBefore w:val="0"/>
              <w:widowControl w:val="0"/>
              <w:kinsoku/>
              <w:wordWrap w:val="0"/>
              <w:overflowPunct/>
              <w:topLinePunct/>
              <w:autoSpaceDE/>
              <w:autoSpaceDN/>
              <w:bidi w:val="0"/>
              <w:adjustRightInd/>
              <w:ind w:firstLine="48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Cs w:val="24"/>
                <w14:textFill>
                  <w14:solidFill>
                    <w14:schemeClr w14:val="tx1"/>
                  </w14:solidFill>
                </w14:textFill>
              </w:rPr>
              <w:t>、土壤、地下水环境影响</w:t>
            </w:r>
          </w:p>
          <w:p w14:paraId="17FDD8A9">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（1）污染源分析</w:t>
            </w:r>
          </w:p>
          <w:p w14:paraId="36BE67BD">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根据水文地质图，本项目周边地下水类型主要为基岩裂隙水。本项目周边水文地质单元无</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500米范围内</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地下水敏感点。</w:t>
            </w:r>
          </w:p>
          <w:p w14:paraId="78F935C5">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本项目租用现有厂房进行建设，厂房地面硬化处理，本项目生产过程中无生产废水，正常工况下，项目不会产生地下水、土壤污染。</w:t>
            </w:r>
          </w:p>
          <w:p w14:paraId="3F8A3416">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lang w:val="zh-CN" w:eastAsia="zh-CN"/>
                <w14:textFill>
                  <w14:solidFill>
                    <w14:schemeClr w14:val="tx1"/>
                  </w14:solidFill>
                </w14:textFill>
              </w:rPr>
            </w:pPr>
            <w:r>
              <w:rPr>
                <w:rFonts w:hint="default" w:ascii="Times New Roman" w:hAnsi="Times New Roman" w:eastAsia="宋体" w:cs="Times New Roman"/>
                <w:color w:val="000000" w:themeColor="text1"/>
                <w:lang w:val="zh-CN" w:eastAsia="zh-CN"/>
                <w14:textFill>
                  <w14:solidFill>
                    <w14:schemeClr w14:val="tx1"/>
                  </w14:solidFill>
                </w14:textFill>
              </w:rPr>
              <w:t>在事故状态下，项目内暂存的危险废物可能会发生</w:t>
            </w:r>
            <w:r>
              <w:rPr>
                <w:rFonts w:hint="default" w:ascii="Times New Roman" w:hAnsi="Times New Roman" w:eastAsia="宋体" w:cs="Times New Roman"/>
                <w:color w:val="000000" w:themeColor="text1"/>
                <w:lang w:eastAsia="zh-CN"/>
                <w14:textFill>
                  <w14:solidFill>
                    <w14:schemeClr w14:val="tx1"/>
                  </w14:solidFill>
                </w14:textFill>
              </w:rPr>
              <w:t>泄漏</w:t>
            </w:r>
            <w:r>
              <w:rPr>
                <w:rFonts w:hint="default" w:ascii="Times New Roman" w:hAnsi="Times New Roman" w:eastAsia="宋体" w:cs="Times New Roman"/>
                <w:color w:val="000000" w:themeColor="text1"/>
                <w:lang w:val="zh-CN" w:eastAsia="zh-CN"/>
                <w14:textFill>
                  <w14:solidFill>
                    <w14:schemeClr w14:val="tx1"/>
                  </w14:solidFill>
                </w14:textFill>
              </w:rPr>
              <w:t>等情况，可能对周边土壤造成污染，长时间</w:t>
            </w:r>
            <w:r>
              <w:rPr>
                <w:rFonts w:hint="default" w:ascii="Times New Roman" w:hAnsi="Times New Roman" w:eastAsia="宋体" w:cs="Times New Roman"/>
                <w:color w:val="000000" w:themeColor="text1"/>
                <w:lang w:eastAsia="zh-CN"/>
                <w14:textFill>
                  <w14:solidFill>
                    <w14:schemeClr w14:val="tx1"/>
                  </w14:solidFill>
                </w14:textFill>
              </w:rPr>
              <w:t>泄漏</w:t>
            </w:r>
            <w:r>
              <w:rPr>
                <w:rFonts w:hint="default" w:ascii="Times New Roman" w:hAnsi="Times New Roman" w:eastAsia="宋体" w:cs="Times New Roman"/>
                <w:color w:val="000000" w:themeColor="text1"/>
                <w:lang w:val="zh-CN" w:eastAsia="zh-CN"/>
                <w14:textFill>
                  <w14:solidFill>
                    <w14:schemeClr w14:val="tx1"/>
                  </w14:solidFill>
                </w14:textFill>
              </w:rPr>
              <w:t>可能深入地下对地下水造成污染。</w:t>
            </w:r>
          </w:p>
          <w:p w14:paraId="24C2CEC0">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项目对</w:t>
            </w:r>
            <w:r>
              <w:rPr>
                <w:rFonts w:hint="default" w:ascii="Times New Roman" w:hAnsi="Times New Roman" w:eastAsia="宋体" w:cs="Times New Roman"/>
                <w:color w:val="000000" w:themeColor="text1"/>
                <w:sz w:val="24"/>
                <w:lang w:val="zh-CN"/>
                <w14:textFill>
                  <w14:solidFill>
                    <w14:schemeClr w14:val="tx1"/>
                  </w14:solidFill>
                </w14:textFill>
              </w:rPr>
              <w:t>土壤、</w:t>
            </w:r>
            <w:r>
              <w:rPr>
                <w:rFonts w:hint="default" w:ascii="Times New Roman" w:hAnsi="Times New Roman" w:eastAsia="宋体" w:cs="Times New Roman"/>
                <w:color w:val="000000" w:themeColor="text1"/>
                <w:sz w:val="24"/>
                <w14:textFill>
                  <w14:solidFill>
                    <w14:schemeClr w14:val="tx1"/>
                  </w14:solidFill>
                </w14:textFill>
              </w:rPr>
              <w:t>地下水</w:t>
            </w:r>
            <w:r>
              <w:rPr>
                <w:rFonts w:hint="default" w:ascii="Times New Roman" w:hAnsi="Times New Roman" w:eastAsia="宋体" w:cs="Times New Roman"/>
                <w:color w:val="000000" w:themeColor="text1"/>
                <w:sz w:val="24"/>
                <w:lang w:val="zh-CN"/>
                <w14:textFill>
                  <w14:solidFill>
                    <w14:schemeClr w14:val="tx1"/>
                  </w14:solidFill>
                </w14:textFill>
              </w:rPr>
              <w:t>环境</w:t>
            </w:r>
            <w:r>
              <w:rPr>
                <w:rFonts w:hint="default" w:ascii="Times New Roman" w:hAnsi="Times New Roman" w:eastAsia="宋体" w:cs="Times New Roman"/>
                <w:color w:val="000000" w:themeColor="text1"/>
                <w:sz w:val="24"/>
                <w14:textFill>
                  <w14:solidFill>
                    <w14:schemeClr w14:val="tx1"/>
                  </w14:solidFill>
                </w14:textFill>
              </w:rPr>
              <w:t>的</w:t>
            </w:r>
            <w:r>
              <w:rPr>
                <w:rFonts w:hint="default" w:ascii="Times New Roman" w:hAnsi="Times New Roman" w:eastAsia="宋体" w:cs="Times New Roman"/>
                <w:color w:val="000000" w:themeColor="text1"/>
                <w:sz w:val="24"/>
                <w:lang w:val="zh-CN"/>
                <w14:textFill>
                  <w14:solidFill>
                    <w14:schemeClr w14:val="tx1"/>
                  </w14:solidFill>
                </w14:textFill>
              </w:rPr>
              <w:t>影响</w:t>
            </w:r>
            <w:r>
              <w:rPr>
                <w:rFonts w:hint="default" w:ascii="Times New Roman" w:hAnsi="Times New Roman" w:eastAsia="宋体" w:cs="Times New Roman"/>
                <w:color w:val="000000" w:themeColor="text1"/>
                <w:sz w:val="24"/>
                <w14:textFill>
                  <w14:solidFill>
                    <w14:schemeClr w14:val="tx1"/>
                  </w14:solidFill>
                </w14:textFill>
              </w:rPr>
              <w:t>源及影响因子</w:t>
            </w:r>
            <w:r>
              <w:rPr>
                <w:rFonts w:hint="default" w:ascii="Times New Roman" w:hAnsi="Times New Roman" w:eastAsia="宋体" w:cs="Times New Roman"/>
                <w:color w:val="000000" w:themeColor="text1"/>
                <w:sz w:val="24"/>
                <w:lang w:val="zh-CN"/>
                <w14:textFill>
                  <w14:solidFill>
                    <w14:schemeClr w14:val="tx1"/>
                  </w14:solidFill>
                </w14:textFill>
              </w:rPr>
              <w:t>见下表。</w:t>
            </w:r>
          </w:p>
          <w:p w14:paraId="1D302A80">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
                <w:color w:val="000000" w:themeColor="text1"/>
                <w:szCs w:val="21"/>
                <w14:textFill>
                  <w14:solidFill>
                    <w14:schemeClr w14:val="tx1"/>
                  </w14:solidFill>
                </w14:textFill>
              </w:rPr>
            </w:pPr>
            <w:r>
              <w:rPr>
                <w:rStyle w:val="58"/>
                <w:rFonts w:hint="default" w:ascii="Times New Roman" w:hAnsi="Times New Roman" w:eastAsia="宋体" w:cs="Times New Roman"/>
                <w:b/>
                <w:color w:val="000000" w:themeColor="text1"/>
                <w:szCs w:val="21"/>
                <w14:textFill>
                  <w14:solidFill>
                    <w14:schemeClr w14:val="tx1"/>
                  </w14:solidFill>
                </w14:textFill>
              </w:rPr>
              <w:t>表4-</w:t>
            </w:r>
            <w:r>
              <w:rPr>
                <w:rStyle w:val="58"/>
                <w:rFonts w:hint="default" w:ascii="Times New Roman" w:hAnsi="Times New Roman" w:eastAsia="宋体" w:cs="Times New Roman"/>
                <w:b/>
                <w:color w:val="000000" w:themeColor="text1"/>
                <w:szCs w:val="21"/>
                <w:lang w:val="en-US" w:eastAsia="zh-CN"/>
                <w14:textFill>
                  <w14:solidFill>
                    <w14:schemeClr w14:val="tx1"/>
                  </w14:solidFill>
                </w14:textFill>
              </w:rPr>
              <w:t>24</w:t>
            </w:r>
            <w:r>
              <w:rPr>
                <w:rStyle w:val="58"/>
                <w:rFonts w:hint="default" w:ascii="Times New Roman" w:hAnsi="Times New Roman" w:eastAsia="宋体" w:cs="Times New Roman"/>
                <w:b/>
                <w:color w:val="000000" w:themeColor="text1"/>
                <w:szCs w:val="21"/>
                <w14:textFill>
                  <w14:solidFill>
                    <w14:schemeClr w14:val="tx1"/>
                  </w14:solidFill>
                </w14:textFill>
              </w:rPr>
              <w:t xml:space="preserve">   项目土壤、地下水环境影响源及影响因子识别表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534"/>
              <w:gridCol w:w="1220"/>
              <w:gridCol w:w="1228"/>
              <w:gridCol w:w="2784"/>
            </w:tblGrid>
            <w:tr w14:paraId="26BC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14:paraId="5CA9B43B">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
                      <w:color w:val="000000" w:themeColor="text1"/>
                      <w:szCs w:val="21"/>
                      <w14:textFill>
                        <w14:solidFill>
                          <w14:schemeClr w14:val="tx1"/>
                        </w14:solidFill>
                      </w14:textFill>
                    </w:rPr>
                  </w:pPr>
                  <w:r>
                    <w:rPr>
                      <w:rStyle w:val="58"/>
                      <w:rFonts w:hint="default" w:ascii="Times New Roman" w:hAnsi="Times New Roman" w:eastAsia="宋体" w:cs="Times New Roman"/>
                      <w:b/>
                      <w:color w:val="000000" w:themeColor="text1"/>
                      <w:szCs w:val="21"/>
                      <w14:textFill>
                        <w14:solidFill>
                          <w14:schemeClr w14:val="tx1"/>
                        </w14:solidFill>
                      </w14:textFill>
                    </w:rPr>
                    <w:t>污染源</w:t>
                  </w:r>
                </w:p>
              </w:tc>
              <w:tc>
                <w:tcPr>
                  <w:tcW w:w="1532" w:type="dxa"/>
                  <w:vAlign w:val="center"/>
                </w:tcPr>
                <w:p w14:paraId="19F87FE8">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
                      <w:color w:val="000000" w:themeColor="text1"/>
                      <w:szCs w:val="21"/>
                      <w14:textFill>
                        <w14:solidFill>
                          <w14:schemeClr w14:val="tx1"/>
                        </w14:solidFill>
                      </w14:textFill>
                    </w:rPr>
                  </w:pPr>
                  <w:r>
                    <w:rPr>
                      <w:rStyle w:val="58"/>
                      <w:rFonts w:hint="default" w:ascii="Times New Roman" w:hAnsi="Times New Roman" w:eastAsia="宋体" w:cs="Times New Roman"/>
                      <w:b/>
                      <w:color w:val="000000" w:themeColor="text1"/>
                      <w:szCs w:val="21"/>
                      <w14:textFill>
                        <w14:solidFill>
                          <w14:schemeClr w14:val="tx1"/>
                        </w14:solidFill>
                      </w14:textFill>
                    </w:rPr>
                    <w:t>工艺流程/环节</w:t>
                  </w:r>
                </w:p>
              </w:tc>
              <w:tc>
                <w:tcPr>
                  <w:tcW w:w="1218" w:type="dxa"/>
                  <w:vAlign w:val="center"/>
                </w:tcPr>
                <w:p w14:paraId="63AC8BBB">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
                      <w:color w:val="000000" w:themeColor="text1"/>
                      <w:szCs w:val="21"/>
                      <w14:textFill>
                        <w14:solidFill>
                          <w14:schemeClr w14:val="tx1"/>
                        </w14:solidFill>
                      </w14:textFill>
                    </w:rPr>
                  </w:pPr>
                  <w:r>
                    <w:rPr>
                      <w:rStyle w:val="58"/>
                      <w:rFonts w:hint="default" w:ascii="Times New Roman" w:hAnsi="Times New Roman" w:eastAsia="宋体" w:cs="Times New Roman"/>
                      <w:b/>
                      <w:color w:val="000000" w:themeColor="text1"/>
                      <w:szCs w:val="21"/>
                      <w14:textFill>
                        <w14:solidFill>
                          <w14:schemeClr w14:val="tx1"/>
                        </w14:solidFill>
                      </w14:textFill>
                    </w:rPr>
                    <w:t>污染途径</w:t>
                  </w:r>
                </w:p>
              </w:tc>
              <w:tc>
                <w:tcPr>
                  <w:tcW w:w="1226" w:type="dxa"/>
                  <w:vAlign w:val="center"/>
                </w:tcPr>
                <w:p w14:paraId="6B80642B">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
                      <w:color w:val="000000" w:themeColor="text1"/>
                      <w:szCs w:val="21"/>
                      <w14:textFill>
                        <w14:solidFill>
                          <w14:schemeClr w14:val="tx1"/>
                        </w14:solidFill>
                      </w14:textFill>
                    </w:rPr>
                  </w:pPr>
                  <w:r>
                    <w:rPr>
                      <w:rStyle w:val="58"/>
                      <w:rFonts w:hint="default" w:ascii="Times New Roman" w:hAnsi="Times New Roman" w:eastAsia="宋体" w:cs="Times New Roman"/>
                      <w:b/>
                      <w:color w:val="000000" w:themeColor="text1"/>
                      <w:szCs w:val="21"/>
                      <w14:textFill>
                        <w14:solidFill>
                          <w14:schemeClr w14:val="tx1"/>
                        </w14:solidFill>
                      </w14:textFill>
                    </w:rPr>
                    <w:t>污染物</w:t>
                  </w:r>
                </w:p>
              </w:tc>
              <w:tc>
                <w:tcPr>
                  <w:tcW w:w="2781" w:type="dxa"/>
                  <w:vAlign w:val="center"/>
                </w:tcPr>
                <w:p w14:paraId="2F8BD901">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
                      <w:color w:val="000000" w:themeColor="text1"/>
                      <w:szCs w:val="21"/>
                      <w14:textFill>
                        <w14:solidFill>
                          <w14:schemeClr w14:val="tx1"/>
                        </w14:solidFill>
                      </w14:textFill>
                    </w:rPr>
                  </w:pPr>
                  <w:r>
                    <w:rPr>
                      <w:rStyle w:val="58"/>
                      <w:rFonts w:hint="default" w:ascii="Times New Roman" w:hAnsi="Times New Roman" w:eastAsia="宋体" w:cs="Times New Roman"/>
                      <w:b/>
                      <w:color w:val="000000" w:themeColor="text1"/>
                      <w:szCs w:val="21"/>
                      <w14:textFill>
                        <w14:solidFill>
                          <w14:schemeClr w14:val="tx1"/>
                        </w14:solidFill>
                      </w14:textFill>
                    </w:rPr>
                    <w:t>备注</w:t>
                  </w:r>
                </w:p>
              </w:tc>
            </w:tr>
            <w:tr w14:paraId="3490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14:paraId="5AA5A13A">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Cs/>
                      <w:color w:val="000000" w:themeColor="text1"/>
                      <w:szCs w:val="21"/>
                      <w14:textFill>
                        <w14:solidFill>
                          <w14:schemeClr w14:val="tx1"/>
                        </w14:solidFill>
                      </w14:textFill>
                    </w:rPr>
                  </w:pPr>
                  <w:r>
                    <w:rPr>
                      <w:rStyle w:val="58"/>
                      <w:rFonts w:hint="default" w:ascii="Times New Roman" w:hAnsi="Times New Roman" w:eastAsia="宋体" w:cs="Times New Roman"/>
                      <w:bCs/>
                      <w:color w:val="000000" w:themeColor="text1"/>
                      <w:szCs w:val="21"/>
                      <w14:textFill>
                        <w14:solidFill>
                          <w14:schemeClr w14:val="tx1"/>
                        </w14:solidFill>
                      </w14:textFill>
                    </w:rPr>
                    <w:t>危险废物暂存间</w:t>
                  </w:r>
                </w:p>
              </w:tc>
              <w:tc>
                <w:tcPr>
                  <w:tcW w:w="1532" w:type="dxa"/>
                  <w:vAlign w:val="center"/>
                </w:tcPr>
                <w:p w14:paraId="3EE407BC">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Cs/>
                      <w:color w:val="000000" w:themeColor="text1"/>
                      <w:szCs w:val="21"/>
                      <w14:textFill>
                        <w14:solidFill>
                          <w14:schemeClr w14:val="tx1"/>
                        </w14:solidFill>
                      </w14:textFill>
                    </w:rPr>
                  </w:pPr>
                  <w:r>
                    <w:rPr>
                      <w:rStyle w:val="58"/>
                      <w:rFonts w:hint="default" w:ascii="Times New Roman" w:hAnsi="Times New Roman" w:eastAsia="宋体" w:cs="Times New Roman"/>
                      <w:bCs/>
                      <w:color w:val="000000" w:themeColor="text1"/>
                      <w:szCs w:val="21"/>
                      <w14:textFill>
                        <w14:solidFill>
                          <w14:schemeClr w14:val="tx1"/>
                        </w14:solidFill>
                      </w14:textFill>
                    </w:rPr>
                    <w:t>危险废物暂存</w:t>
                  </w:r>
                </w:p>
              </w:tc>
              <w:tc>
                <w:tcPr>
                  <w:tcW w:w="1218" w:type="dxa"/>
                  <w:vAlign w:val="center"/>
                </w:tcPr>
                <w:p w14:paraId="3BCC0C66">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Cs/>
                      <w:color w:val="000000" w:themeColor="text1"/>
                      <w:szCs w:val="21"/>
                      <w14:textFill>
                        <w14:solidFill>
                          <w14:schemeClr w14:val="tx1"/>
                        </w14:solidFill>
                      </w14:textFill>
                    </w:rPr>
                  </w:pPr>
                  <w:r>
                    <w:rPr>
                      <w:rStyle w:val="58"/>
                      <w:rFonts w:hint="default" w:ascii="Times New Roman" w:hAnsi="Times New Roman" w:eastAsia="宋体" w:cs="Times New Roman"/>
                      <w:bCs/>
                      <w:color w:val="000000" w:themeColor="text1"/>
                      <w:szCs w:val="21"/>
                      <w14:textFill>
                        <w14:solidFill>
                          <w14:schemeClr w14:val="tx1"/>
                        </w14:solidFill>
                      </w14:textFill>
                    </w:rPr>
                    <w:t>垂直入渗</w:t>
                  </w:r>
                </w:p>
              </w:tc>
              <w:tc>
                <w:tcPr>
                  <w:tcW w:w="1226" w:type="dxa"/>
                  <w:vAlign w:val="center"/>
                </w:tcPr>
                <w:p w14:paraId="55DF8D7F">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Cs/>
                      <w:color w:val="000000" w:themeColor="text1"/>
                      <w:szCs w:val="21"/>
                      <w:lang w:eastAsia="zh-CN"/>
                      <w14:textFill>
                        <w14:solidFill>
                          <w14:schemeClr w14:val="tx1"/>
                        </w14:solidFill>
                      </w14:textFill>
                    </w:rPr>
                  </w:pPr>
                  <w:r>
                    <w:rPr>
                      <w:rStyle w:val="58"/>
                      <w:rFonts w:hint="default" w:ascii="Times New Roman" w:hAnsi="Times New Roman" w:eastAsia="宋体" w:cs="Times New Roman"/>
                      <w:bCs/>
                      <w:color w:val="000000" w:themeColor="text1"/>
                      <w:szCs w:val="21"/>
                      <w:lang w:eastAsia="zh-CN"/>
                      <w14:textFill>
                        <w14:solidFill>
                          <w14:schemeClr w14:val="tx1"/>
                        </w14:solidFill>
                      </w14:textFill>
                    </w:rPr>
                    <w:t>危险废物</w:t>
                  </w:r>
                </w:p>
              </w:tc>
              <w:tc>
                <w:tcPr>
                  <w:tcW w:w="2781" w:type="dxa"/>
                  <w:vAlign w:val="center"/>
                </w:tcPr>
                <w:p w14:paraId="36F8F33E">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Cs/>
                      <w:color w:val="000000" w:themeColor="text1"/>
                      <w:szCs w:val="21"/>
                      <w14:textFill>
                        <w14:solidFill>
                          <w14:schemeClr w14:val="tx1"/>
                        </w14:solidFill>
                      </w14:textFill>
                    </w:rPr>
                  </w:pPr>
                  <w:r>
                    <w:rPr>
                      <w:rStyle w:val="58"/>
                      <w:rFonts w:hint="default" w:ascii="Times New Roman" w:hAnsi="Times New Roman" w:eastAsia="宋体" w:cs="Times New Roman"/>
                      <w:bCs/>
                      <w:color w:val="000000" w:themeColor="text1"/>
                      <w:szCs w:val="21"/>
                      <w14:textFill>
                        <w14:solidFill>
                          <w14:schemeClr w14:val="tx1"/>
                        </w14:solidFill>
                      </w14:textFill>
                    </w:rPr>
                    <w:t>危废收集容器损坏，废矿物油泄漏渗入土壤造成污染</w:t>
                  </w:r>
                </w:p>
              </w:tc>
            </w:tr>
          </w:tbl>
          <w:p w14:paraId="445D4BED">
            <w:pPr>
              <w:pStyle w:val="48"/>
              <w:keepNext w:val="0"/>
              <w:keepLines w:val="0"/>
              <w:pageBreakBefore w:val="0"/>
              <w:widowControl w:val="0"/>
              <w:kinsoku/>
              <w:wordWrap w:val="0"/>
              <w:overflowPunct/>
              <w:topLinePunct/>
              <w:autoSpaceDE/>
              <w:autoSpaceDN/>
              <w:bidi w:val="0"/>
              <w:adjustRightInd/>
              <w:spacing w:line="360" w:lineRule="auto"/>
              <w:ind w:left="0" w:leftChars="0" w:right="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（2）分区防控措施</w:t>
            </w:r>
          </w:p>
          <w:p w14:paraId="2BA68B41">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项目存在土壤、地下水污染源的区域主要为生产废水收集池及危险废物暂存间，项目分区防控措施具体如下：</w:t>
            </w:r>
          </w:p>
          <w:p w14:paraId="237AB9AA">
            <w:pPr>
              <w:pStyle w:val="61"/>
              <w:keepNext w:val="0"/>
              <w:keepLines w:val="0"/>
              <w:pageBreakBefore w:val="0"/>
              <w:widowControl w:val="0"/>
              <w:kinsoku/>
              <w:wordWrap w:val="0"/>
              <w:overflowPunct/>
              <w:topLinePunct/>
              <w:autoSpaceDE/>
              <w:autoSpaceDN/>
              <w:bidi w:val="0"/>
              <w:adjustRightInd w:val="0"/>
              <w:snapToGrid w:val="0"/>
              <w:rPr>
                <w:rStyle w:val="58"/>
                <w:rFonts w:hint="default" w:ascii="Times New Roman" w:hAnsi="Times New Roman" w:eastAsia="宋体" w:cs="Times New Roman"/>
                <w:b/>
                <w:color w:val="000000" w:themeColor="text1"/>
                <w:szCs w:val="21"/>
                <w14:textFill>
                  <w14:solidFill>
                    <w14:schemeClr w14:val="tx1"/>
                  </w14:solidFill>
                </w14:textFill>
              </w:rPr>
            </w:pPr>
            <w:r>
              <w:rPr>
                <w:rStyle w:val="58"/>
                <w:rFonts w:hint="default" w:ascii="Times New Roman" w:hAnsi="Times New Roman" w:eastAsia="宋体" w:cs="Times New Roman"/>
                <w:b/>
                <w:color w:val="000000" w:themeColor="text1"/>
                <w:szCs w:val="21"/>
                <w14:textFill>
                  <w14:solidFill>
                    <w14:schemeClr w14:val="tx1"/>
                  </w14:solidFill>
                </w14:textFill>
              </w:rPr>
              <w:t>表4-</w:t>
            </w:r>
            <w:r>
              <w:rPr>
                <w:rStyle w:val="58"/>
                <w:rFonts w:hint="default" w:ascii="Times New Roman" w:hAnsi="Times New Roman" w:eastAsia="宋体" w:cs="Times New Roman"/>
                <w:b/>
                <w:color w:val="000000" w:themeColor="text1"/>
                <w:szCs w:val="21"/>
                <w:lang w:val="en-US" w:eastAsia="zh-CN"/>
                <w14:textFill>
                  <w14:solidFill>
                    <w14:schemeClr w14:val="tx1"/>
                  </w14:solidFill>
                </w14:textFill>
              </w:rPr>
              <w:t>25</w:t>
            </w:r>
            <w:r>
              <w:rPr>
                <w:rStyle w:val="58"/>
                <w:rFonts w:hint="default" w:ascii="Times New Roman" w:hAnsi="Times New Roman" w:eastAsia="宋体" w:cs="Times New Roman"/>
                <w:b/>
                <w:color w:val="000000" w:themeColor="text1"/>
                <w:szCs w:val="21"/>
                <w14:textFill>
                  <w14:solidFill>
                    <w14:schemeClr w14:val="tx1"/>
                  </w14:solidFill>
                </w14:textFill>
              </w:rPr>
              <w:t xml:space="preserve"> 项目分区防渗一览表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2654"/>
              <w:gridCol w:w="4184"/>
            </w:tblGrid>
            <w:tr w14:paraId="2B97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14:paraId="7C59B186">
                  <w:pPr>
                    <w:keepNext w:val="0"/>
                    <w:keepLines w:val="0"/>
                    <w:pageBreakBefore w:val="0"/>
                    <w:widowControl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color w:val="000000" w:themeColor="text1"/>
                      <w:kern w:val="0"/>
                      <w:szCs w:val="21"/>
                      <w:lang w:val="zh-CN"/>
                      <w14:textFill>
                        <w14:solidFill>
                          <w14:schemeClr w14:val="tx1"/>
                        </w14:solidFill>
                      </w14:textFill>
                    </w:rPr>
                    <w:t>分区防渗</w:t>
                  </w:r>
                </w:p>
              </w:tc>
              <w:tc>
                <w:tcPr>
                  <w:tcW w:w="1645" w:type="pct"/>
                  <w:vAlign w:val="center"/>
                </w:tcPr>
                <w:p w14:paraId="76B5F16C">
                  <w:pPr>
                    <w:keepNext w:val="0"/>
                    <w:keepLines w:val="0"/>
                    <w:pageBreakBefore w:val="0"/>
                    <w:widowControl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color w:val="000000" w:themeColor="text1"/>
                      <w:kern w:val="0"/>
                      <w:szCs w:val="21"/>
                      <w:lang w:val="zh-CN"/>
                      <w14:textFill>
                        <w14:solidFill>
                          <w14:schemeClr w14:val="tx1"/>
                        </w14:solidFill>
                      </w14:textFill>
                    </w:rPr>
                    <w:t>装置或构筑物名称</w:t>
                  </w:r>
                </w:p>
              </w:tc>
              <w:tc>
                <w:tcPr>
                  <w:tcW w:w="2593" w:type="pct"/>
                  <w:vAlign w:val="center"/>
                </w:tcPr>
                <w:p w14:paraId="59B56413">
                  <w:pPr>
                    <w:keepNext w:val="0"/>
                    <w:keepLines w:val="0"/>
                    <w:pageBreakBefore w:val="0"/>
                    <w:widowControl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color w:val="000000" w:themeColor="text1"/>
                      <w:kern w:val="0"/>
                      <w:szCs w:val="21"/>
                      <w:lang w:val="zh-CN"/>
                      <w14:textFill>
                        <w14:solidFill>
                          <w14:schemeClr w14:val="tx1"/>
                        </w14:solidFill>
                      </w14:textFill>
                    </w:rPr>
                    <w:t>防渗技术要求</w:t>
                  </w:r>
                </w:p>
              </w:tc>
            </w:tr>
            <w:tr w14:paraId="1434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14:paraId="0C87F558">
                  <w:pPr>
                    <w:keepNext w:val="0"/>
                    <w:keepLines w:val="0"/>
                    <w:pageBreakBefore w:val="0"/>
                    <w:widowControl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color w:val="000000" w:themeColor="text1"/>
                      <w:kern w:val="0"/>
                      <w:szCs w:val="21"/>
                      <w:lang w:val="zh-CN"/>
                      <w14:textFill>
                        <w14:solidFill>
                          <w14:schemeClr w14:val="tx1"/>
                        </w14:solidFill>
                      </w14:textFill>
                    </w:rPr>
                    <w:t>重点防渗区</w:t>
                  </w:r>
                </w:p>
              </w:tc>
              <w:tc>
                <w:tcPr>
                  <w:tcW w:w="1645" w:type="pct"/>
                  <w:vAlign w:val="center"/>
                </w:tcPr>
                <w:p w14:paraId="0AF6E45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内危废暂存间</w:t>
                  </w:r>
                  <w:r>
                    <w:rPr>
                      <w:rFonts w:hint="default" w:ascii="Times New Roman" w:hAnsi="Times New Roman" w:eastAsia="宋体" w:cs="Times New Roman"/>
                      <w:color w:val="000000" w:themeColor="text1"/>
                      <w:lang w:eastAsia="zh-CN"/>
                      <w14:textFill>
                        <w14:solidFill>
                          <w14:schemeClr w14:val="tx1"/>
                        </w14:solidFill>
                      </w14:textFill>
                    </w:rPr>
                    <w:t>、溶剂间</w:t>
                  </w:r>
                </w:p>
              </w:tc>
              <w:tc>
                <w:tcPr>
                  <w:tcW w:w="2593" w:type="pct"/>
                  <w:vAlign w:val="center"/>
                </w:tcPr>
                <w:p w14:paraId="0EC6031D">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溶剂间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p>
                <w:p w14:paraId="381B305B">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eastAsia="宋体"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参照执行《危险废物贮存污染控制标准》（GB18597-2023）相关要求，防渗层为至少1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p>
              </w:tc>
            </w:tr>
            <w:tr w14:paraId="1A57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761" w:type="pct"/>
                  <w:vAlign w:val="center"/>
                </w:tcPr>
                <w:p w14:paraId="371A6FAA">
                  <w:pPr>
                    <w:keepNext w:val="0"/>
                    <w:keepLines w:val="0"/>
                    <w:pageBreakBefore w:val="0"/>
                    <w:widowControl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color w:val="000000" w:themeColor="text1"/>
                      <w:kern w:val="0"/>
                      <w:szCs w:val="21"/>
                      <w:lang w:val="zh-CN"/>
                      <w14:textFill>
                        <w14:solidFill>
                          <w14:schemeClr w14:val="tx1"/>
                        </w14:solidFill>
                      </w14:textFill>
                    </w:rPr>
                    <w:t>一般防渗区</w:t>
                  </w:r>
                </w:p>
              </w:tc>
              <w:tc>
                <w:tcPr>
                  <w:tcW w:w="1645" w:type="pct"/>
                  <w:vAlign w:val="center"/>
                </w:tcPr>
                <w:p w14:paraId="7A5897B7">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sz w:val="21"/>
                      <w:szCs w:val="21"/>
                      <w:lang w:eastAsia="zh-CN"/>
                      <w14:textFill>
                        <w14:solidFill>
                          <w14:schemeClr w14:val="tx1"/>
                        </w14:solidFill>
                      </w14:textFill>
                    </w:rPr>
                    <w:t>生产区、原料区、成品区等区域地面为一般防渗区</w:t>
                  </w:r>
                </w:p>
              </w:tc>
              <w:tc>
                <w:tcPr>
                  <w:tcW w:w="2593" w:type="pct"/>
                  <w:vAlign w:val="center"/>
                </w:tcPr>
                <w:p w14:paraId="20A71819">
                  <w:pPr>
                    <w:keepNext w:val="0"/>
                    <w:keepLines w:val="0"/>
                    <w:pageBreakBefore w:val="0"/>
                    <w:widowControl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按照</w:t>
                  </w:r>
                  <w:r>
                    <w:rPr>
                      <w:rFonts w:hint="default" w:ascii="Times New Roman" w:hAnsi="Times New Roman" w:eastAsia="宋体" w:cs="Times New Roman"/>
                      <w:color w:val="000000" w:themeColor="text1"/>
                      <w:sz w:val="21"/>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18"/>
                      <w:highlight w:val="none"/>
                      <w14:textFill>
                        <w14:solidFill>
                          <w14:schemeClr w14:val="tx1"/>
                        </w14:solidFill>
                      </w14:textFill>
                    </w:rPr>
                    <w:t>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p>
              </w:tc>
            </w:tr>
            <w:tr w14:paraId="089D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14:paraId="54BBCF45">
                  <w:pPr>
                    <w:keepNext w:val="0"/>
                    <w:keepLines w:val="0"/>
                    <w:pageBreakBefore w:val="0"/>
                    <w:widowControl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color w:val="000000" w:themeColor="text1"/>
                      <w:kern w:val="0"/>
                      <w:szCs w:val="21"/>
                      <w:lang w:val="zh-CN"/>
                      <w14:textFill>
                        <w14:solidFill>
                          <w14:schemeClr w14:val="tx1"/>
                        </w14:solidFill>
                      </w14:textFill>
                    </w:rPr>
                    <w:t>简单防渗区</w:t>
                  </w:r>
                </w:p>
              </w:tc>
              <w:tc>
                <w:tcPr>
                  <w:tcW w:w="1645" w:type="pct"/>
                  <w:vAlign w:val="center"/>
                </w:tcPr>
                <w:p w14:paraId="7C6496B7">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sz w:val="21"/>
                      <w:szCs w:val="21"/>
                      <w:lang w:eastAsia="zh-CN"/>
                      <w14:textFill>
                        <w14:solidFill>
                          <w14:schemeClr w14:val="tx1"/>
                        </w14:solidFill>
                      </w14:textFill>
                    </w:rPr>
                    <w:t>办公室等区域地面</w:t>
                  </w:r>
                </w:p>
              </w:tc>
              <w:tc>
                <w:tcPr>
                  <w:tcW w:w="2593" w:type="pct"/>
                  <w:vAlign w:val="center"/>
                </w:tcPr>
                <w:p w14:paraId="3B45658E">
                  <w:pPr>
                    <w:keepNext w:val="0"/>
                    <w:keepLines w:val="0"/>
                    <w:pageBreakBefore w:val="0"/>
                    <w:widowControl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color w:val="000000" w:themeColor="text1"/>
                      <w:kern w:val="0"/>
                      <w:szCs w:val="21"/>
                      <w:lang w:val="zh-CN"/>
                      <w14:textFill>
                        <w14:solidFill>
                          <w14:schemeClr w14:val="tx1"/>
                        </w14:solidFill>
                      </w14:textFill>
                    </w:rPr>
                    <w:t>一般地面硬化</w:t>
                  </w:r>
                </w:p>
              </w:tc>
            </w:tr>
          </w:tbl>
          <w:p w14:paraId="5F1E4218">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项目建设过程中采取防渗措施可有效防止风险物质下渗进入地下水，通过加强定期检查消除污染隐患；发现有污染物泄漏或渗漏，及时修补。</w:t>
            </w:r>
          </w:p>
          <w:p w14:paraId="2B863F69">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本项目产生的危险废物经收集后暂存于危废暂存间，危废暂存间</w:t>
            </w:r>
            <w:r>
              <w:rPr>
                <w:rFonts w:hint="default" w:ascii="Times New Roman" w:hAnsi="Times New Roman" w:eastAsia="宋体" w:cs="Times New Roman"/>
                <w:color w:val="000000" w:themeColor="text1"/>
                <w:sz w:val="24"/>
                <w:lang w:eastAsia="zh-CN"/>
                <w14:textFill>
                  <w14:solidFill>
                    <w14:schemeClr w14:val="tx1"/>
                  </w14:solidFill>
                </w14:textFill>
              </w:rPr>
              <w:t>按照</w:t>
            </w:r>
            <w:r>
              <w:rPr>
                <w:rFonts w:hint="default" w:ascii="Times New Roman" w:hAnsi="Times New Roman" w:eastAsia="宋体" w:cs="Times New Roman"/>
                <w:bCs/>
                <w:color w:val="000000" w:themeColor="text1"/>
                <w:sz w:val="24"/>
                <w:lang w:val="en-US" w:eastAsia="zh-CN"/>
                <w14:textFill>
                  <w14:solidFill>
                    <w14:schemeClr w14:val="tx1"/>
                  </w14:solidFill>
                </w14:textFill>
              </w:rPr>
              <w:t>《危险废物贮存污染控制标准》（GB18597-2023）设置</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危废暂存间地面防渗，设置围堰并铺设防水漆；本项目危险废物分类分区收集于收集桶中，且产生量不大，若发生泄漏事故，经危废暂存间围堰收集后，可将风险控制在危废暂存间内，对周边环境影响较小。</w:t>
            </w:r>
          </w:p>
          <w:p w14:paraId="5F896663">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若发生泄漏事件危险废物泄漏至外环境事件时，以事故地点为中心，按一定间隔的圆形布点采样，并采集事故发生地附近的样品做对照，主要监测因子为pH、石油烃</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COD、</w:t>
            </w:r>
            <w:r>
              <w:rPr>
                <w:rFonts w:hint="default" w:ascii="Times New Roman" w:hAnsi="Times New Roman" w:eastAsia="宋体" w:cs="Times New Roman"/>
                <w:color w:val="000000" w:themeColor="text1"/>
                <w:sz w:val="24"/>
                <w:lang w:eastAsia="zh-CN"/>
                <w14:textFill>
                  <w14:solidFill>
                    <w14:schemeClr w14:val="tx1"/>
                  </w14:solidFill>
                </w14:textFill>
              </w:rPr>
              <w:t>氨氮等</w:t>
            </w:r>
            <w:r>
              <w:rPr>
                <w:rFonts w:hint="default" w:ascii="Times New Roman" w:hAnsi="Times New Roman" w:eastAsia="宋体" w:cs="Times New Roman"/>
                <w:color w:val="000000" w:themeColor="text1"/>
                <w:sz w:val="24"/>
                <w14:textFill>
                  <w14:solidFill>
                    <w14:schemeClr w14:val="tx1"/>
                  </w14:solidFill>
                </w14:textFill>
              </w:rPr>
              <w:t>，监测频次为事件第一时间监测1次，之后根据第一次监测浓度确定监测频次。</w:t>
            </w:r>
          </w:p>
          <w:p w14:paraId="01225266">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因此本项目的建设运行对土壤、地下水影响可控的。</w:t>
            </w:r>
          </w:p>
          <w:p w14:paraId="58F38DBB">
            <w:pPr>
              <w:pStyle w:val="147"/>
              <w:keepNext w:val="0"/>
              <w:keepLines w:val="0"/>
              <w:pageBreakBefore w:val="0"/>
              <w:widowControl w:val="0"/>
              <w:kinsoku/>
              <w:wordWrap w:val="0"/>
              <w:overflowPunct/>
              <w:topLinePunct/>
              <w:autoSpaceDE/>
              <w:autoSpaceDN/>
              <w:bidi w:val="0"/>
              <w:adjustRightInd/>
              <w:ind w:firstLine="48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Cs w:val="24"/>
                <w14:textFill>
                  <w14:solidFill>
                    <w14:schemeClr w14:val="tx1"/>
                  </w14:solidFill>
                </w14:textFill>
              </w:rPr>
              <w:t>、环境风险分析</w:t>
            </w:r>
          </w:p>
          <w:p w14:paraId="0A5B9D50">
            <w:pPr>
              <w:keepNext w:val="0"/>
              <w:keepLines w:val="0"/>
              <w:pageBreakBefore w:val="0"/>
              <w:widowControl w:val="0"/>
              <w:kinsoku/>
              <w:wordWrap w:val="0"/>
              <w:overflowPunct/>
              <w:topLinePunct/>
              <w:autoSpaceDE/>
              <w:autoSpaceDN/>
              <w:bidi w:val="0"/>
              <w:adjustRightInd/>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按照</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06FF0CBE">
            <w:pPr>
              <w:keepNext w:val="0"/>
              <w:keepLines w:val="0"/>
              <w:pageBreakBefore w:val="0"/>
              <w:widowControl w:val="0"/>
              <w:kinsoku/>
              <w:wordWrap w:val="0"/>
              <w:overflowPunct/>
              <w:topLinePunct/>
              <w:autoSpaceDE/>
              <w:autoSpaceDN/>
              <w:bidi w:val="0"/>
              <w:adjustRightInd/>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物质环境急性损害防控为目标，对建设项目的环境风险进行分析、预测和评估，提出环境风险预防、控制、减缓措施，明确环境风险监控及应急要求，为建设项目环境风险防控提供科学依据。</w:t>
            </w:r>
          </w:p>
          <w:p w14:paraId="177FBA65">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待本项目建设完成后，本环评建议建设单位及时进行突发环境事件应急预案</w:t>
            </w:r>
            <w:r>
              <w:rPr>
                <w:rFonts w:hint="default" w:ascii="Times New Roman" w:hAnsi="Times New Roman" w:eastAsia="宋体" w:cs="Times New Roman"/>
                <w:color w:val="000000" w:themeColor="text1"/>
                <w:sz w:val="24"/>
                <w:lang w:eastAsia="zh-CN"/>
                <w14:textFill>
                  <w14:solidFill>
                    <w14:schemeClr w14:val="tx1"/>
                  </w14:solidFill>
                </w14:textFill>
              </w:rPr>
              <w:t>编制</w:t>
            </w:r>
            <w:r>
              <w:rPr>
                <w:rFonts w:hint="default" w:ascii="Times New Roman" w:hAnsi="Times New Roman" w:eastAsia="宋体" w:cs="Times New Roman"/>
                <w:color w:val="000000" w:themeColor="text1"/>
                <w:sz w:val="24"/>
                <w14:textFill>
                  <w14:solidFill>
                    <w14:schemeClr w14:val="tx1"/>
                  </w14:solidFill>
                </w14:textFill>
              </w:rPr>
              <w:t>工作。</w:t>
            </w:r>
          </w:p>
          <w:p w14:paraId="35E8466A">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（1）环境风险识别</w:t>
            </w:r>
          </w:p>
          <w:p w14:paraId="0A6B281F">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kern w:val="24"/>
                <w:sz w:val="24"/>
                <w14:textFill>
                  <w14:solidFill>
                    <w14:schemeClr w14:val="tx1"/>
                  </w14:solidFill>
                </w14:textFill>
              </w:rPr>
            </w:pPr>
            <w:r>
              <w:rPr>
                <w:rFonts w:hint="default" w:ascii="Times New Roman" w:hAnsi="Times New Roman" w:eastAsia="宋体" w:cs="Times New Roman"/>
                <w:color w:val="000000" w:themeColor="text1"/>
                <w:kern w:val="24"/>
                <w:sz w:val="24"/>
                <w14:textFill>
                  <w14:solidFill>
                    <w14:schemeClr w14:val="tx1"/>
                  </w14:solidFill>
                </w14:textFill>
              </w:rPr>
              <w:t>项目生产中使用的原辅料、生产中产污及产品对照</w:t>
            </w:r>
            <w:r>
              <w:rPr>
                <w:rFonts w:hint="default" w:ascii="Times New Roman" w:hAnsi="Times New Roman" w:eastAsia="宋体" w:cs="Times New Roman"/>
                <w:color w:val="000000" w:themeColor="text1"/>
                <w:kern w:val="24"/>
                <w:sz w:val="24"/>
                <w:lang w:eastAsia="zh-CN"/>
                <w14:textFill>
                  <w14:solidFill>
                    <w14:schemeClr w14:val="tx1"/>
                  </w14:solidFill>
                </w14:textFill>
              </w:rPr>
              <w:t>《</w:t>
            </w:r>
            <w:r>
              <w:rPr>
                <w:rFonts w:hint="default" w:ascii="Times New Roman" w:hAnsi="Times New Roman" w:eastAsia="宋体" w:cs="Times New Roman"/>
                <w:color w:val="000000" w:themeColor="text1"/>
                <w:kern w:val="24"/>
                <w:sz w:val="24"/>
                <w14:textFill>
                  <w14:solidFill>
                    <w14:schemeClr w14:val="tx1"/>
                  </w14:solidFill>
                </w14:textFill>
              </w:rPr>
              <w:t>建设项目环境风险评价技术导则》（HJ169-2018）附录B核查。</w:t>
            </w:r>
          </w:p>
          <w:p w14:paraId="05EE328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26 </w:t>
            </w:r>
            <w:r>
              <w:rPr>
                <w:rFonts w:hint="default" w:ascii="Times New Roman" w:hAnsi="Times New Roman" w:eastAsia="宋体" w:cs="Times New Roman"/>
                <w:b/>
                <w:bCs/>
                <w:color w:val="000000" w:themeColor="text1"/>
                <w:sz w:val="21"/>
                <w:szCs w:val="21"/>
                <w14:textFill>
                  <w14:solidFill>
                    <w14:schemeClr w14:val="tx1"/>
                  </w14:solidFill>
                </w14:textFill>
              </w:rPr>
              <w:t>环境风险物质识别表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311"/>
              <w:gridCol w:w="2009"/>
              <w:gridCol w:w="1509"/>
              <w:gridCol w:w="1506"/>
            </w:tblGrid>
            <w:tr w14:paraId="7262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071" w:type="pct"/>
                  <w:tcBorders>
                    <w:top w:val="single" w:color="auto" w:sz="4" w:space="0"/>
                    <w:left w:val="single" w:color="auto" w:sz="4" w:space="0"/>
                    <w:bottom w:val="single" w:color="auto" w:sz="4" w:space="0"/>
                    <w:right w:val="single" w:color="auto" w:sz="4" w:space="0"/>
                  </w:tcBorders>
                  <w:vAlign w:val="center"/>
                </w:tcPr>
                <w:p w14:paraId="753EF4B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物质名称</w:t>
                  </w:r>
                </w:p>
              </w:tc>
              <w:tc>
                <w:tcPr>
                  <w:tcW w:w="813" w:type="pct"/>
                  <w:tcBorders>
                    <w:top w:val="single" w:color="auto" w:sz="4" w:space="0"/>
                    <w:left w:val="single" w:color="auto" w:sz="4" w:space="0"/>
                    <w:bottom w:val="single" w:color="auto" w:sz="4" w:space="0"/>
                    <w:right w:val="single" w:color="auto" w:sz="4" w:space="0"/>
                  </w:tcBorders>
                  <w:vAlign w:val="center"/>
                </w:tcPr>
                <w:p w14:paraId="63909FD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最大存在量t</w:t>
                  </w:r>
                </w:p>
              </w:tc>
              <w:tc>
                <w:tcPr>
                  <w:tcW w:w="1246" w:type="pct"/>
                  <w:tcBorders>
                    <w:top w:val="single" w:color="auto" w:sz="4" w:space="0"/>
                    <w:left w:val="single" w:color="auto" w:sz="4" w:space="0"/>
                    <w:bottom w:val="single" w:color="auto" w:sz="4" w:space="0"/>
                    <w:right w:val="single" w:color="auto" w:sz="4" w:space="0"/>
                  </w:tcBorders>
                  <w:vAlign w:val="center"/>
                </w:tcPr>
                <w:p w14:paraId="1463E54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成分</w:t>
                  </w:r>
                </w:p>
              </w:tc>
              <w:tc>
                <w:tcPr>
                  <w:tcW w:w="1506" w:type="dxa"/>
                  <w:tcBorders>
                    <w:top w:val="single" w:color="auto" w:sz="4" w:space="0"/>
                    <w:left w:val="single" w:color="auto" w:sz="4" w:space="0"/>
                    <w:bottom w:val="single" w:color="auto" w:sz="4" w:space="0"/>
                    <w:right w:val="single" w:color="auto" w:sz="4" w:space="0"/>
                  </w:tcBorders>
                  <w:vAlign w:val="center"/>
                </w:tcPr>
                <w:p w14:paraId="0C6E0B6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CAS号</w:t>
                  </w:r>
                </w:p>
              </w:tc>
              <w:tc>
                <w:tcPr>
                  <w:tcW w:w="934" w:type="pct"/>
                  <w:tcBorders>
                    <w:top w:val="single" w:color="auto" w:sz="4" w:space="0"/>
                    <w:left w:val="single" w:color="auto" w:sz="4" w:space="0"/>
                    <w:bottom w:val="single" w:color="auto" w:sz="4" w:space="0"/>
                    <w:right w:val="single" w:color="auto" w:sz="4" w:space="0"/>
                  </w:tcBorders>
                  <w:vAlign w:val="center"/>
                </w:tcPr>
                <w:p w14:paraId="6FDA143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最大存在量</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t</w:t>
                  </w:r>
                </w:p>
              </w:tc>
            </w:tr>
            <w:tr w14:paraId="2F68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071" w:type="pct"/>
                  <w:tcBorders>
                    <w:top w:val="single" w:color="auto" w:sz="4" w:space="0"/>
                    <w:left w:val="single" w:color="auto" w:sz="4" w:space="0"/>
                    <w:bottom w:val="single" w:color="auto" w:sz="4" w:space="0"/>
                    <w:right w:val="single" w:color="auto" w:sz="4" w:space="0"/>
                  </w:tcBorders>
                  <w:vAlign w:val="center"/>
                </w:tcPr>
                <w:p w14:paraId="7C58ED3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天然气</w:t>
                  </w:r>
                </w:p>
              </w:tc>
              <w:tc>
                <w:tcPr>
                  <w:tcW w:w="813" w:type="pct"/>
                  <w:tcBorders>
                    <w:top w:val="single" w:color="auto" w:sz="4" w:space="0"/>
                    <w:left w:val="single" w:color="auto" w:sz="4" w:space="0"/>
                    <w:bottom w:val="single" w:color="auto" w:sz="4" w:space="0"/>
                    <w:right w:val="single" w:color="auto" w:sz="4" w:space="0"/>
                  </w:tcBorders>
                  <w:vAlign w:val="center"/>
                </w:tcPr>
                <w:p w14:paraId="49EC6CA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0.2161147</w:t>
                  </w:r>
                </w:p>
              </w:tc>
              <w:tc>
                <w:tcPr>
                  <w:tcW w:w="1246" w:type="pct"/>
                  <w:tcBorders>
                    <w:top w:val="single" w:color="auto" w:sz="4" w:space="0"/>
                    <w:left w:val="single" w:color="auto" w:sz="4" w:space="0"/>
                    <w:bottom w:val="single" w:color="auto" w:sz="4" w:space="0"/>
                    <w:right w:val="single" w:color="auto" w:sz="4" w:space="0"/>
                  </w:tcBorders>
                  <w:vAlign w:val="center"/>
                </w:tcPr>
                <w:p w14:paraId="4308594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506" w:type="dxa"/>
                  <w:tcBorders>
                    <w:top w:val="single" w:color="auto" w:sz="4" w:space="0"/>
                    <w:left w:val="single" w:color="auto" w:sz="4" w:space="0"/>
                    <w:bottom w:val="single" w:color="auto" w:sz="4" w:space="0"/>
                    <w:right w:val="single" w:color="auto" w:sz="4" w:space="0"/>
                  </w:tcBorders>
                  <w:vAlign w:val="center"/>
                </w:tcPr>
                <w:p w14:paraId="042A0A5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8006-14-2</w:t>
                  </w:r>
                </w:p>
              </w:tc>
              <w:tc>
                <w:tcPr>
                  <w:tcW w:w="934" w:type="pct"/>
                  <w:tcBorders>
                    <w:top w:val="single" w:color="auto" w:sz="4" w:space="0"/>
                    <w:left w:val="single" w:color="auto" w:sz="4" w:space="0"/>
                    <w:bottom w:val="single" w:color="auto" w:sz="4" w:space="0"/>
                    <w:right w:val="single" w:color="auto" w:sz="4" w:space="0"/>
                  </w:tcBorders>
                  <w:vAlign w:val="center"/>
                </w:tcPr>
                <w:p w14:paraId="6DCD171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5941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restart"/>
                  <w:tcBorders>
                    <w:top w:val="single" w:color="auto" w:sz="4" w:space="0"/>
                    <w:left w:val="single" w:color="auto" w:sz="4" w:space="0"/>
                    <w:right w:val="single" w:color="auto" w:sz="4" w:space="0"/>
                  </w:tcBorders>
                  <w:vAlign w:val="center"/>
                </w:tcPr>
                <w:p w14:paraId="69A9671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油墨</w:t>
                  </w:r>
                </w:p>
              </w:tc>
              <w:tc>
                <w:tcPr>
                  <w:tcW w:w="813" w:type="pct"/>
                  <w:vMerge w:val="restart"/>
                  <w:tcBorders>
                    <w:top w:val="single" w:color="auto" w:sz="4" w:space="0"/>
                    <w:left w:val="single" w:color="auto" w:sz="4" w:space="0"/>
                    <w:right w:val="single" w:color="auto" w:sz="4" w:space="0"/>
                  </w:tcBorders>
                  <w:vAlign w:val="center"/>
                </w:tcPr>
                <w:p w14:paraId="09AA6A6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1.92</w:t>
                  </w:r>
                </w:p>
              </w:tc>
              <w:tc>
                <w:tcPr>
                  <w:tcW w:w="1246" w:type="pct"/>
                  <w:tcBorders>
                    <w:top w:val="single" w:color="auto" w:sz="4" w:space="0"/>
                    <w:left w:val="single" w:color="auto" w:sz="4" w:space="0"/>
                    <w:bottom w:val="single" w:color="auto" w:sz="4" w:space="0"/>
                    <w:right w:val="single" w:color="auto" w:sz="4" w:space="0"/>
                  </w:tcBorders>
                  <w:vAlign w:val="center"/>
                </w:tcPr>
                <w:p w14:paraId="5883AC2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甲基环乙烷</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1506" w:type="dxa"/>
                  <w:tcBorders>
                    <w:top w:val="single" w:color="auto" w:sz="4" w:space="0"/>
                    <w:left w:val="single" w:color="auto" w:sz="4" w:space="0"/>
                    <w:bottom w:val="single" w:color="auto" w:sz="4" w:space="0"/>
                    <w:right w:val="single" w:color="auto" w:sz="4" w:space="0"/>
                  </w:tcBorders>
                  <w:vAlign w:val="center"/>
                </w:tcPr>
                <w:p w14:paraId="78F40FE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355-02-2</w:t>
                  </w:r>
                </w:p>
              </w:tc>
              <w:tc>
                <w:tcPr>
                  <w:tcW w:w="934" w:type="pct"/>
                  <w:tcBorders>
                    <w:top w:val="single" w:color="auto" w:sz="4" w:space="0"/>
                    <w:left w:val="single" w:color="auto" w:sz="4" w:space="0"/>
                    <w:bottom w:val="single" w:color="auto" w:sz="4" w:space="0"/>
                    <w:right w:val="single" w:color="auto" w:sz="4" w:space="0"/>
                  </w:tcBorders>
                  <w:vAlign w:val="center"/>
                </w:tcPr>
                <w:p w14:paraId="78B9E9C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0.384</w:t>
                  </w:r>
                </w:p>
              </w:tc>
            </w:tr>
            <w:tr w14:paraId="5525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5E7B067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4420ABC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19C5350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乙酸丙酯</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1506" w:type="dxa"/>
                  <w:tcBorders>
                    <w:top w:val="single" w:color="auto" w:sz="4" w:space="0"/>
                    <w:left w:val="single" w:color="auto" w:sz="4" w:space="0"/>
                    <w:bottom w:val="single" w:color="auto" w:sz="4" w:space="0"/>
                    <w:right w:val="single" w:color="auto" w:sz="4" w:space="0"/>
                  </w:tcBorders>
                  <w:vAlign w:val="center"/>
                </w:tcPr>
                <w:p w14:paraId="419EF50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109-60-4</w:t>
                  </w:r>
                </w:p>
              </w:tc>
              <w:tc>
                <w:tcPr>
                  <w:tcW w:w="934" w:type="pct"/>
                  <w:tcBorders>
                    <w:top w:val="single" w:color="auto" w:sz="4" w:space="0"/>
                    <w:left w:val="single" w:color="auto" w:sz="4" w:space="0"/>
                    <w:bottom w:val="single" w:color="auto" w:sz="4" w:space="0"/>
                    <w:right w:val="single" w:color="auto" w:sz="4" w:space="0"/>
                  </w:tcBorders>
                  <w:vAlign w:val="center"/>
                </w:tcPr>
                <w:p w14:paraId="43A7EE1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0.192</w:t>
                  </w:r>
                </w:p>
              </w:tc>
            </w:tr>
            <w:tr w14:paraId="48A7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6AB3F59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4D8C078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3F8896A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异丙醇</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506" w:type="dxa"/>
                  <w:tcBorders>
                    <w:top w:val="single" w:color="auto" w:sz="4" w:space="0"/>
                    <w:left w:val="single" w:color="auto" w:sz="4" w:space="0"/>
                    <w:bottom w:val="single" w:color="auto" w:sz="4" w:space="0"/>
                    <w:right w:val="single" w:color="auto" w:sz="4" w:space="0"/>
                  </w:tcBorders>
                  <w:vAlign w:val="center"/>
                </w:tcPr>
                <w:p w14:paraId="15F223A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67-63-0</w:t>
                  </w:r>
                </w:p>
              </w:tc>
              <w:tc>
                <w:tcPr>
                  <w:tcW w:w="934" w:type="pct"/>
                  <w:tcBorders>
                    <w:top w:val="single" w:color="auto" w:sz="4" w:space="0"/>
                    <w:left w:val="single" w:color="auto" w:sz="4" w:space="0"/>
                    <w:bottom w:val="single" w:color="auto" w:sz="4" w:space="0"/>
                    <w:right w:val="single" w:color="auto" w:sz="4" w:space="0"/>
                  </w:tcBorders>
                  <w:vAlign w:val="center"/>
                </w:tcPr>
                <w:p w14:paraId="090BABE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0.0384</w:t>
                  </w:r>
                </w:p>
              </w:tc>
            </w:tr>
            <w:tr w14:paraId="1199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00253E6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119AE98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3F94FB8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乙酸乙酯</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w:t>
                  </w:r>
                </w:p>
              </w:tc>
              <w:tc>
                <w:tcPr>
                  <w:tcW w:w="1506" w:type="dxa"/>
                  <w:tcBorders>
                    <w:top w:val="single" w:color="auto" w:sz="4" w:space="0"/>
                    <w:left w:val="single" w:color="auto" w:sz="4" w:space="0"/>
                    <w:bottom w:val="single" w:color="auto" w:sz="4" w:space="0"/>
                    <w:right w:val="single" w:color="auto" w:sz="4" w:space="0"/>
                  </w:tcBorders>
                  <w:vAlign w:val="center"/>
                </w:tcPr>
                <w:p w14:paraId="0286909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141-78-6</w:t>
                  </w:r>
                </w:p>
              </w:tc>
              <w:tc>
                <w:tcPr>
                  <w:tcW w:w="934" w:type="pct"/>
                  <w:tcBorders>
                    <w:top w:val="single" w:color="auto" w:sz="4" w:space="0"/>
                    <w:left w:val="single" w:color="auto" w:sz="4" w:space="0"/>
                    <w:bottom w:val="single" w:color="auto" w:sz="4" w:space="0"/>
                    <w:right w:val="single" w:color="auto" w:sz="4" w:space="0"/>
                  </w:tcBorders>
                  <w:vAlign w:val="center"/>
                </w:tcPr>
                <w:p w14:paraId="641126A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0.48</w:t>
                  </w:r>
                </w:p>
              </w:tc>
            </w:tr>
            <w:tr w14:paraId="5FE8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62CD727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052C330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1F342C3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乙酸丁酯</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1506" w:type="dxa"/>
                  <w:tcBorders>
                    <w:top w:val="single" w:color="auto" w:sz="4" w:space="0"/>
                    <w:left w:val="single" w:color="auto" w:sz="4" w:space="0"/>
                    <w:bottom w:val="single" w:color="auto" w:sz="4" w:space="0"/>
                    <w:right w:val="single" w:color="auto" w:sz="4" w:space="0"/>
                  </w:tcBorders>
                  <w:vAlign w:val="center"/>
                </w:tcPr>
                <w:p w14:paraId="4DC644B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123-86-4</w:t>
                  </w:r>
                </w:p>
              </w:tc>
              <w:tc>
                <w:tcPr>
                  <w:tcW w:w="934" w:type="pct"/>
                  <w:tcBorders>
                    <w:top w:val="single" w:color="auto" w:sz="4" w:space="0"/>
                    <w:left w:val="single" w:color="auto" w:sz="4" w:space="0"/>
                    <w:bottom w:val="single" w:color="auto" w:sz="4" w:space="0"/>
                    <w:right w:val="single" w:color="auto" w:sz="4" w:space="0"/>
                  </w:tcBorders>
                  <w:vAlign w:val="center"/>
                </w:tcPr>
                <w:p w14:paraId="3CCF1F4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0.096</w:t>
                  </w:r>
                </w:p>
              </w:tc>
            </w:tr>
            <w:tr w14:paraId="10F9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6E076C7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2611E60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1FC99BF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正丁醇</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1506" w:type="dxa"/>
                  <w:tcBorders>
                    <w:top w:val="single" w:color="auto" w:sz="4" w:space="0"/>
                    <w:left w:val="single" w:color="auto" w:sz="4" w:space="0"/>
                    <w:bottom w:val="single" w:color="auto" w:sz="4" w:space="0"/>
                    <w:right w:val="single" w:color="auto" w:sz="4" w:space="0"/>
                  </w:tcBorders>
                  <w:vAlign w:val="center"/>
                </w:tcPr>
                <w:p w14:paraId="4CA85A0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71-36-3</w:t>
                  </w:r>
                </w:p>
              </w:tc>
              <w:tc>
                <w:tcPr>
                  <w:tcW w:w="934" w:type="pct"/>
                  <w:tcBorders>
                    <w:top w:val="single" w:color="auto" w:sz="4" w:space="0"/>
                    <w:left w:val="single" w:color="auto" w:sz="4" w:space="0"/>
                    <w:bottom w:val="single" w:color="auto" w:sz="4" w:space="0"/>
                    <w:right w:val="single" w:color="auto" w:sz="4" w:space="0"/>
                  </w:tcBorders>
                  <w:vAlign w:val="center"/>
                </w:tcPr>
                <w:p w14:paraId="760A657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0.0192</w:t>
                  </w:r>
                </w:p>
              </w:tc>
            </w:tr>
            <w:tr w14:paraId="3E86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1" w:type="pct"/>
                  <w:vMerge w:val="continue"/>
                  <w:tcBorders>
                    <w:left w:val="single" w:color="auto" w:sz="4" w:space="0"/>
                    <w:bottom w:val="single" w:color="auto" w:sz="4" w:space="0"/>
                    <w:right w:val="single" w:color="auto" w:sz="4" w:space="0"/>
                  </w:tcBorders>
                  <w:vAlign w:val="center"/>
                </w:tcPr>
                <w:p w14:paraId="4517892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3" w:type="pct"/>
                  <w:vMerge w:val="continue"/>
                  <w:tcBorders>
                    <w:left w:val="single" w:color="auto" w:sz="4" w:space="0"/>
                    <w:bottom w:val="single" w:color="auto" w:sz="4" w:space="0"/>
                    <w:right w:val="single" w:color="auto" w:sz="4" w:space="0"/>
                  </w:tcBorders>
                  <w:vAlign w:val="center"/>
                </w:tcPr>
                <w:p w14:paraId="08259F0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5A3EC5B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固份</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37%</w:t>
                  </w:r>
                </w:p>
              </w:tc>
              <w:tc>
                <w:tcPr>
                  <w:tcW w:w="1506" w:type="dxa"/>
                  <w:tcBorders>
                    <w:top w:val="single" w:color="auto" w:sz="4" w:space="0"/>
                    <w:left w:val="single" w:color="auto" w:sz="4" w:space="0"/>
                    <w:bottom w:val="single" w:color="auto" w:sz="4" w:space="0"/>
                    <w:right w:val="single" w:color="auto" w:sz="4" w:space="0"/>
                  </w:tcBorders>
                  <w:vAlign w:val="center"/>
                </w:tcPr>
                <w:p w14:paraId="2F5BBC0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72CDE42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0.7104</w:t>
                  </w:r>
                </w:p>
              </w:tc>
            </w:tr>
            <w:tr w14:paraId="0444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restart"/>
                  <w:tcBorders>
                    <w:top w:val="single" w:color="auto" w:sz="4" w:space="0"/>
                    <w:left w:val="single" w:color="auto" w:sz="4" w:space="0"/>
                    <w:right w:val="single" w:color="auto" w:sz="4" w:space="0"/>
                  </w:tcBorders>
                  <w:vAlign w:val="center"/>
                </w:tcPr>
                <w:p w14:paraId="5C8061B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无溶剂聚氨酯胶粘剂</w:t>
                  </w:r>
                </w:p>
              </w:tc>
              <w:tc>
                <w:tcPr>
                  <w:tcW w:w="813" w:type="pct"/>
                  <w:vMerge w:val="restart"/>
                  <w:tcBorders>
                    <w:top w:val="single" w:color="auto" w:sz="4" w:space="0"/>
                    <w:left w:val="single" w:color="auto" w:sz="4" w:space="0"/>
                    <w:right w:val="single" w:color="auto" w:sz="4" w:space="0"/>
                  </w:tcBorders>
                  <w:vAlign w:val="center"/>
                </w:tcPr>
                <w:p w14:paraId="6057A78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0.5305</w:t>
                  </w:r>
                </w:p>
              </w:tc>
              <w:tc>
                <w:tcPr>
                  <w:tcW w:w="1246" w:type="pct"/>
                  <w:tcBorders>
                    <w:top w:val="single" w:color="auto" w:sz="4" w:space="0"/>
                    <w:left w:val="single" w:color="auto" w:sz="4" w:space="0"/>
                    <w:bottom w:val="single" w:color="auto" w:sz="4" w:space="0"/>
                    <w:right w:val="single" w:color="auto" w:sz="4" w:space="0"/>
                  </w:tcBorders>
                  <w:vAlign w:val="center"/>
                </w:tcPr>
                <w:p w14:paraId="6E123F6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异氰酸酯</w:t>
                  </w:r>
                </w:p>
              </w:tc>
              <w:tc>
                <w:tcPr>
                  <w:tcW w:w="1506" w:type="dxa"/>
                  <w:tcBorders>
                    <w:top w:val="single" w:color="auto" w:sz="4" w:space="0"/>
                    <w:left w:val="single" w:color="auto" w:sz="4" w:space="0"/>
                    <w:bottom w:val="single" w:color="auto" w:sz="4" w:space="0"/>
                    <w:right w:val="single" w:color="auto" w:sz="4" w:space="0"/>
                  </w:tcBorders>
                  <w:vAlign w:val="center"/>
                </w:tcPr>
                <w:p w14:paraId="11807CB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75-13-8</w:t>
                  </w:r>
                </w:p>
              </w:tc>
              <w:tc>
                <w:tcPr>
                  <w:tcW w:w="934" w:type="pct"/>
                  <w:tcBorders>
                    <w:top w:val="single" w:color="auto" w:sz="4" w:space="0"/>
                    <w:left w:val="single" w:color="auto" w:sz="4" w:space="0"/>
                    <w:bottom w:val="single" w:color="auto" w:sz="4" w:space="0"/>
                    <w:right w:val="single" w:color="auto" w:sz="4" w:space="0"/>
                  </w:tcBorders>
                  <w:vAlign w:val="center"/>
                </w:tcPr>
                <w:p w14:paraId="72E9540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089B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6E60A95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61F1A70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5108F60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聚醚</w:t>
                  </w:r>
                </w:p>
              </w:tc>
              <w:tc>
                <w:tcPr>
                  <w:tcW w:w="1506" w:type="dxa"/>
                  <w:tcBorders>
                    <w:top w:val="single" w:color="auto" w:sz="4" w:space="0"/>
                    <w:left w:val="single" w:color="auto" w:sz="4" w:space="0"/>
                    <w:bottom w:val="single" w:color="auto" w:sz="4" w:space="0"/>
                    <w:right w:val="single" w:color="auto" w:sz="4" w:space="0"/>
                  </w:tcBorders>
                  <w:vAlign w:val="center"/>
                </w:tcPr>
                <w:p w14:paraId="1D8D37E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356C951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7694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54B1858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18B3783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1B3E873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组分聚醚</w:t>
                  </w:r>
                </w:p>
              </w:tc>
              <w:tc>
                <w:tcPr>
                  <w:tcW w:w="1506" w:type="dxa"/>
                  <w:tcBorders>
                    <w:top w:val="single" w:color="auto" w:sz="4" w:space="0"/>
                    <w:left w:val="single" w:color="auto" w:sz="4" w:space="0"/>
                    <w:bottom w:val="single" w:color="auto" w:sz="4" w:space="0"/>
                    <w:right w:val="single" w:color="auto" w:sz="4" w:space="0"/>
                  </w:tcBorders>
                  <w:vAlign w:val="center"/>
                </w:tcPr>
                <w:p w14:paraId="6AEBBDB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4AE8F2A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3CB7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1" w:type="pct"/>
                  <w:vMerge w:val="continue"/>
                  <w:tcBorders>
                    <w:left w:val="single" w:color="auto" w:sz="4" w:space="0"/>
                    <w:bottom w:val="single" w:color="auto" w:sz="4" w:space="0"/>
                    <w:right w:val="single" w:color="auto" w:sz="4" w:space="0"/>
                  </w:tcBorders>
                  <w:vAlign w:val="center"/>
                </w:tcPr>
                <w:p w14:paraId="330698C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3" w:type="pct"/>
                  <w:vMerge w:val="continue"/>
                  <w:tcBorders>
                    <w:left w:val="single" w:color="auto" w:sz="4" w:space="0"/>
                    <w:bottom w:val="single" w:color="auto" w:sz="4" w:space="0"/>
                    <w:right w:val="single" w:color="auto" w:sz="4" w:space="0"/>
                  </w:tcBorders>
                  <w:vAlign w:val="center"/>
                </w:tcPr>
                <w:p w14:paraId="60FF379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004FE00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蓖麻油</w:t>
                  </w:r>
                </w:p>
              </w:tc>
              <w:tc>
                <w:tcPr>
                  <w:tcW w:w="1506" w:type="dxa"/>
                  <w:tcBorders>
                    <w:top w:val="single" w:color="auto" w:sz="4" w:space="0"/>
                    <w:left w:val="single" w:color="auto" w:sz="4" w:space="0"/>
                    <w:bottom w:val="single" w:color="auto" w:sz="4" w:space="0"/>
                    <w:right w:val="single" w:color="auto" w:sz="4" w:space="0"/>
                  </w:tcBorders>
                  <w:vAlign w:val="center"/>
                </w:tcPr>
                <w:p w14:paraId="46298F0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444B22A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58BC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071" w:type="pct"/>
                  <w:tcBorders>
                    <w:top w:val="single" w:color="auto" w:sz="4" w:space="0"/>
                    <w:left w:val="single" w:color="auto" w:sz="4" w:space="0"/>
                    <w:bottom w:val="single" w:color="auto" w:sz="4" w:space="0"/>
                    <w:right w:val="single" w:color="auto" w:sz="4" w:space="0"/>
                  </w:tcBorders>
                  <w:vAlign w:val="center"/>
                </w:tcPr>
                <w:p w14:paraId="5F42F31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稀释剂</w:t>
                  </w:r>
                </w:p>
              </w:tc>
              <w:tc>
                <w:tcPr>
                  <w:tcW w:w="813" w:type="pct"/>
                  <w:tcBorders>
                    <w:top w:val="single" w:color="auto" w:sz="4" w:space="0"/>
                    <w:left w:val="single" w:color="auto" w:sz="4" w:space="0"/>
                    <w:bottom w:val="single" w:color="auto" w:sz="4" w:space="0"/>
                    <w:right w:val="single" w:color="auto" w:sz="4" w:space="0"/>
                  </w:tcBorders>
                  <w:vAlign w:val="center"/>
                </w:tcPr>
                <w:p w14:paraId="4FE3639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0.192</w:t>
                  </w:r>
                </w:p>
              </w:tc>
              <w:tc>
                <w:tcPr>
                  <w:tcW w:w="1246" w:type="pct"/>
                  <w:tcBorders>
                    <w:top w:val="single" w:color="auto" w:sz="4" w:space="0"/>
                    <w:left w:val="single" w:color="auto" w:sz="4" w:space="0"/>
                    <w:bottom w:val="single" w:color="auto" w:sz="4" w:space="0"/>
                    <w:right w:val="single" w:color="auto" w:sz="4" w:space="0"/>
                  </w:tcBorders>
                  <w:vAlign w:val="center"/>
                </w:tcPr>
                <w:p w14:paraId="671D68D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乙酸丙酯100%</w:t>
                  </w:r>
                </w:p>
              </w:tc>
              <w:tc>
                <w:tcPr>
                  <w:tcW w:w="1506" w:type="dxa"/>
                  <w:tcBorders>
                    <w:top w:val="single" w:color="auto" w:sz="4" w:space="0"/>
                    <w:left w:val="single" w:color="auto" w:sz="4" w:space="0"/>
                    <w:bottom w:val="single" w:color="auto" w:sz="4" w:space="0"/>
                    <w:right w:val="single" w:color="auto" w:sz="4" w:space="0"/>
                  </w:tcBorders>
                  <w:vAlign w:val="center"/>
                </w:tcPr>
                <w:p w14:paraId="603980E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109-60-4</w:t>
                  </w:r>
                </w:p>
              </w:tc>
              <w:tc>
                <w:tcPr>
                  <w:tcW w:w="934" w:type="pct"/>
                  <w:tcBorders>
                    <w:top w:val="single" w:color="auto" w:sz="4" w:space="0"/>
                    <w:left w:val="single" w:color="auto" w:sz="4" w:space="0"/>
                    <w:bottom w:val="single" w:color="auto" w:sz="4" w:space="0"/>
                    <w:right w:val="single" w:color="auto" w:sz="4" w:space="0"/>
                  </w:tcBorders>
                  <w:vAlign w:val="center"/>
                </w:tcPr>
                <w:p w14:paraId="46D9BE4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0.192</w:t>
                  </w:r>
                </w:p>
              </w:tc>
            </w:tr>
            <w:tr w14:paraId="2614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restart"/>
                  <w:tcBorders>
                    <w:top w:val="single" w:color="auto" w:sz="4" w:space="0"/>
                    <w:left w:val="single" w:color="auto" w:sz="4" w:space="0"/>
                    <w:right w:val="single" w:color="auto" w:sz="4" w:space="0"/>
                  </w:tcBorders>
                  <w:vAlign w:val="center"/>
                </w:tcPr>
                <w:p w14:paraId="29EE317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油墨清洗剂</w:t>
                  </w:r>
                </w:p>
              </w:tc>
              <w:tc>
                <w:tcPr>
                  <w:tcW w:w="813" w:type="pct"/>
                  <w:vMerge w:val="restart"/>
                  <w:tcBorders>
                    <w:top w:val="single" w:color="auto" w:sz="4" w:space="0"/>
                    <w:left w:val="single" w:color="auto" w:sz="4" w:space="0"/>
                    <w:right w:val="single" w:color="auto" w:sz="4" w:space="0"/>
                  </w:tcBorders>
                  <w:vAlign w:val="center"/>
                </w:tcPr>
                <w:p w14:paraId="22FEC57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0.125</w:t>
                  </w:r>
                </w:p>
              </w:tc>
              <w:tc>
                <w:tcPr>
                  <w:tcW w:w="1246" w:type="pct"/>
                  <w:tcBorders>
                    <w:top w:val="single" w:color="auto" w:sz="4" w:space="0"/>
                    <w:left w:val="single" w:color="auto" w:sz="4" w:space="0"/>
                    <w:bottom w:val="single" w:color="auto" w:sz="4" w:space="0"/>
                    <w:right w:val="single" w:color="auto" w:sz="4" w:space="0"/>
                  </w:tcBorders>
                  <w:vAlign w:val="center"/>
                </w:tcPr>
                <w:p w14:paraId="0F36073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橡胶防老剂</w:t>
                  </w:r>
                </w:p>
              </w:tc>
              <w:tc>
                <w:tcPr>
                  <w:tcW w:w="1506" w:type="dxa"/>
                  <w:tcBorders>
                    <w:top w:val="single" w:color="auto" w:sz="4" w:space="0"/>
                    <w:left w:val="single" w:color="auto" w:sz="4" w:space="0"/>
                    <w:bottom w:val="single" w:color="auto" w:sz="4" w:space="0"/>
                    <w:right w:val="single" w:color="auto" w:sz="4" w:space="0"/>
                  </w:tcBorders>
                  <w:vAlign w:val="center"/>
                </w:tcPr>
                <w:p w14:paraId="086D5F3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3D784B0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7BCD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2370341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3E5BA50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43D16A9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异链烷烃</w:t>
                  </w:r>
                </w:p>
              </w:tc>
              <w:tc>
                <w:tcPr>
                  <w:tcW w:w="1506" w:type="dxa"/>
                  <w:tcBorders>
                    <w:top w:val="single" w:color="auto" w:sz="4" w:space="0"/>
                    <w:left w:val="single" w:color="auto" w:sz="4" w:space="0"/>
                    <w:bottom w:val="single" w:color="auto" w:sz="4" w:space="0"/>
                    <w:right w:val="single" w:color="auto" w:sz="4" w:space="0"/>
                  </w:tcBorders>
                  <w:vAlign w:val="center"/>
                </w:tcPr>
                <w:p w14:paraId="0200096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6F0EB50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7015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41189D6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03E58B9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7229DCA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异构烷烃</w:t>
                  </w:r>
                </w:p>
              </w:tc>
              <w:tc>
                <w:tcPr>
                  <w:tcW w:w="1506" w:type="dxa"/>
                  <w:tcBorders>
                    <w:top w:val="single" w:color="auto" w:sz="4" w:space="0"/>
                    <w:left w:val="single" w:color="auto" w:sz="4" w:space="0"/>
                    <w:bottom w:val="single" w:color="auto" w:sz="4" w:space="0"/>
                    <w:right w:val="single" w:color="auto" w:sz="4" w:space="0"/>
                  </w:tcBorders>
                  <w:vAlign w:val="center"/>
                </w:tcPr>
                <w:p w14:paraId="048F285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0432F94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6358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vMerge w:val="continue"/>
                  <w:tcBorders>
                    <w:left w:val="single" w:color="auto" w:sz="4" w:space="0"/>
                    <w:right w:val="single" w:color="auto" w:sz="4" w:space="0"/>
                  </w:tcBorders>
                  <w:vAlign w:val="center"/>
                </w:tcPr>
                <w:p w14:paraId="0460474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13" w:type="pct"/>
                  <w:vMerge w:val="continue"/>
                  <w:tcBorders>
                    <w:left w:val="single" w:color="auto" w:sz="4" w:space="0"/>
                    <w:right w:val="single" w:color="auto" w:sz="4" w:space="0"/>
                  </w:tcBorders>
                  <w:vAlign w:val="center"/>
                </w:tcPr>
                <w:p w14:paraId="32312CF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vAlign w:val="center"/>
                </w:tcPr>
                <w:p w14:paraId="367ADC5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烃稳定剂</w:t>
                  </w:r>
                </w:p>
              </w:tc>
              <w:tc>
                <w:tcPr>
                  <w:tcW w:w="1506" w:type="dxa"/>
                  <w:tcBorders>
                    <w:top w:val="single" w:color="auto" w:sz="4" w:space="0"/>
                    <w:left w:val="single" w:color="auto" w:sz="4" w:space="0"/>
                    <w:bottom w:val="single" w:color="auto" w:sz="4" w:space="0"/>
                    <w:right w:val="single" w:color="auto" w:sz="4" w:space="0"/>
                  </w:tcBorders>
                  <w:vAlign w:val="center"/>
                </w:tcPr>
                <w:p w14:paraId="256614F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125C4DF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726B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tcBorders>
                    <w:left w:val="single" w:color="auto" w:sz="4" w:space="0"/>
                    <w:right w:val="single" w:color="auto" w:sz="4" w:space="0"/>
                  </w:tcBorders>
                  <w:vAlign w:val="center"/>
                </w:tcPr>
                <w:p w14:paraId="2833CDE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机油</w:t>
                  </w:r>
                </w:p>
              </w:tc>
              <w:tc>
                <w:tcPr>
                  <w:tcW w:w="813" w:type="pct"/>
                  <w:tcBorders>
                    <w:left w:val="single" w:color="auto" w:sz="4" w:space="0"/>
                    <w:right w:val="single" w:color="auto" w:sz="4" w:space="0"/>
                  </w:tcBorders>
                  <w:vAlign w:val="center"/>
                </w:tcPr>
                <w:p w14:paraId="08B571B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p>
              </w:tc>
              <w:tc>
                <w:tcPr>
                  <w:tcW w:w="1246" w:type="pct"/>
                  <w:tcBorders>
                    <w:top w:val="single" w:color="auto" w:sz="4" w:space="0"/>
                    <w:left w:val="single" w:color="auto" w:sz="4" w:space="0"/>
                    <w:bottom w:val="single" w:color="auto" w:sz="4" w:space="0"/>
                    <w:right w:val="single" w:color="auto" w:sz="4" w:space="0"/>
                  </w:tcBorders>
                  <w:vAlign w:val="center"/>
                </w:tcPr>
                <w:p w14:paraId="5A8ADF3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506" w:type="dxa"/>
                  <w:tcBorders>
                    <w:top w:val="single" w:color="auto" w:sz="4" w:space="0"/>
                    <w:left w:val="single" w:color="auto" w:sz="4" w:space="0"/>
                    <w:bottom w:val="single" w:color="auto" w:sz="4" w:space="0"/>
                    <w:right w:val="single" w:color="auto" w:sz="4" w:space="0"/>
                  </w:tcBorders>
                  <w:vAlign w:val="center"/>
                </w:tcPr>
                <w:p w14:paraId="525C2FC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129832D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50F4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1" w:type="pct"/>
                  <w:tcBorders>
                    <w:left w:val="single" w:color="auto" w:sz="4" w:space="0"/>
                    <w:bottom w:val="single" w:color="auto" w:sz="4" w:space="0"/>
                    <w:right w:val="single" w:color="auto" w:sz="4" w:space="0"/>
                  </w:tcBorders>
                  <w:vAlign w:val="center"/>
                </w:tcPr>
                <w:p w14:paraId="54F962F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废机油</w:t>
                  </w:r>
                </w:p>
              </w:tc>
              <w:tc>
                <w:tcPr>
                  <w:tcW w:w="813" w:type="pct"/>
                  <w:tcBorders>
                    <w:left w:val="single" w:color="auto" w:sz="4" w:space="0"/>
                    <w:bottom w:val="single" w:color="auto" w:sz="4" w:space="0"/>
                    <w:right w:val="single" w:color="auto" w:sz="4" w:space="0"/>
                  </w:tcBorders>
                  <w:vAlign w:val="center"/>
                </w:tcPr>
                <w:p w14:paraId="7781F0E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p>
              </w:tc>
              <w:tc>
                <w:tcPr>
                  <w:tcW w:w="1246" w:type="pct"/>
                  <w:tcBorders>
                    <w:top w:val="single" w:color="auto" w:sz="4" w:space="0"/>
                    <w:left w:val="single" w:color="auto" w:sz="4" w:space="0"/>
                    <w:bottom w:val="single" w:color="auto" w:sz="4" w:space="0"/>
                    <w:right w:val="single" w:color="auto" w:sz="4" w:space="0"/>
                  </w:tcBorders>
                  <w:vAlign w:val="center"/>
                </w:tcPr>
                <w:p w14:paraId="7A6A6AA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506" w:type="dxa"/>
                  <w:tcBorders>
                    <w:top w:val="single" w:color="auto" w:sz="4" w:space="0"/>
                    <w:left w:val="single" w:color="auto" w:sz="4" w:space="0"/>
                    <w:bottom w:val="single" w:color="auto" w:sz="4" w:space="0"/>
                    <w:right w:val="single" w:color="auto" w:sz="4" w:space="0"/>
                  </w:tcBorders>
                  <w:vAlign w:val="center"/>
                </w:tcPr>
                <w:p w14:paraId="5C9E1F8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34" w:type="pct"/>
                  <w:tcBorders>
                    <w:top w:val="single" w:color="auto" w:sz="4" w:space="0"/>
                    <w:left w:val="single" w:color="auto" w:sz="4" w:space="0"/>
                    <w:bottom w:val="single" w:color="auto" w:sz="4" w:space="0"/>
                    <w:right w:val="single" w:color="auto" w:sz="4" w:space="0"/>
                  </w:tcBorders>
                  <w:vAlign w:val="center"/>
                </w:tcPr>
                <w:p w14:paraId="3469CE5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bl>
          <w:p w14:paraId="16336187">
            <w:pPr>
              <w:keepNext w:val="0"/>
              <w:keepLines w:val="0"/>
              <w:pageBreakBefore w:val="0"/>
              <w:widowControl w:val="0"/>
              <w:kinsoku/>
              <w:wordWrap w:val="0"/>
              <w:overflowPunct/>
              <w:topLinePunct/>
              <w:autoSpaceDE/>
              <w:autoSpaceDN/>
              <w:bidi w:val="0"/>
              <w:adjustRightInd/>
              <w:spacing w:line="360" w:lineRule="auto"/>
              <w:ind w:firstLine="422" w:firstLineChars="200"/>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4"/>
                <w:sz w:val="21"/>
                <w:szCs w:val="21"/>
                <w:lang w:val="en-US" w:eastAsia="zh-CN"/>
                <w14:textFill>
                  <w14:solidFill>
                    <w14:schemeClr w14:val="tx1"/>
                  </w14:solidFill>
                </w14:textFill>
              </w:rPr>
              <w:t>备注：</w:t>
            </w:r>
            <w:r>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t>本项目油墨用量7.679t/a，稀释剂用量0.7679t/a，胶粘剂用量2.122t/a。油墨清洗剂用量0.5t。</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根据企业提供资料，约每个月采购配置油墨、胶水和稀释剂等，预计约每季度采购1次，即年采购4次，即油墨每次采购量为1.92t，无溶剂聚氨酯胶粘剂每次采购量为0.5305t，稀释剂每次采购量为0.192t，油墨清洗机0.125t。</w:t>
            </w:r>
          </w:p>
          <w:p w14:paraId="01AB4D87">
            <w:pPr>
              <w:keepNext w:val="0"/>
              <w:keepLines w:val="0"/>
              <w:pageBreakBefore w:val="0"/>
              <w:widowControl w:val="0"/>
              <w:kinsoku/>
              <w:wordWrap w:val="0"/>
              <w:overflowPunct/>
              <w:topLinePunct/>
              <w:autoSpaceDE/>
              <w:autoSpaceDN/>
              <w:bidi w:val="0"/>
              <w:adjustRightInd/>
              <w:spacing w:line="360" w:lineRule="auto"/>
              <w:ind w:firstLine="420" w:firstLineChars="20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天然气由天然气管道通入项目区内使用，</w:t>
            </w:r>
            <w:r>
              <w:rPr>
                <w:rFonts w:hint="eastAsia" w:ascii="Times New Roman" w:hAnsi="Times New Roman" w:cs="Times New Roman"/>
                <w:color w:val="000000" w:themeColor="text1"/>
                <w:kern w:val="24"/>
                <w:sz w:val="21"/>
                <w:szCs w:val="21"/>
                <w:lang w:val="en-US" w:eastAsia="zh-CN"/>
                <w14:textFill>
                  <w14:solidFill>
                    <w14:schemeClr w14:val="tx1"/>
                  </w14:solidFill>
                </w14:textFill>
              </w:rPr>
              <w:t>同时</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建设单位考虑生产成本等情况，将定期外购天然气瓶使用</w:t>
            </w:r>
            <w:r>
              <w:rPr>
                <w:rFonts w:hint="eastAsia" w:ascii="Times New Roman" w:hAnsi="Times New Roman" w:cs="Times New Roman"/>
                <w:color w:val="000000" w:themeColor="text1"/>
                <w:kern w:val="24"/>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本项目使用时天然气通过管道接入，项目区内天然气管道约</w:t>
            </w:r>
            <w:r>
              <w:rPr>
                <w:rFonts w:hint="eastAsia" w:ascii="Times New Roman" w:hAnsi="Times New Roman" w:cs="Times New Roman"/>
                <w:color w:val="000000" w:themeColor="text1"/>
                <w:kern w:val="24"/>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00m，管径约为DN100，即本项目厂区天然在线量为</w:t>
            </w:r>
            <w:r>
              <w:rPr>
                <w:rFonts w:hint="eastAsia" w:ascii="Times New Roman" w:hAnsi="Times New Roman" w:cs="Times New Roman"/>
                <w:color w:val="000000" w:themeColor="text1"/>
                <w:kern w:val="24"/>
                <w:sz w:val="21"/>
                <w:szCs w:val="21"/>
                <w:lang w:val="en-US" w:eastAsia="zh-CN"/>
                <w14:textFill>
                  <w14:solidFill>
                    <w14:schemeClr w14:val="tx1"/>
                  </w14:solidFill>
                </w14:textFill>
              </w:rPr>
              <w:t>1.57</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kern w:val="24"/>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，1方天然气为0.71kg，则本项目管道天然气在线量为0.00</w:t>
            </w:r>
            <w:r>
              <w:rPr>
                <w:rFonts w:hint="eastAsia" w:ascii="Times New Roman" w:hAnsi="Times New Roman" w:cs="Times New Roman"/>
                <w:color w:val="000000" w:themeColor="text1"/>
                <w:kern w:val="24"/>
                <w:sz w:val="21"/>
                <w:szCs w:val="21"/>
                <w:lang w:val="en-US" w:eastAsia="zh-CN"/>
                <w14:textFill>
                  <w14:solidFill>
                    <w14:schemeClr w14:val="tx1"/>
                  </w14:solidFill>
                </w14:textFill>
              </w:rPr>
              <w:t>11147</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t。定期外购天然气瓶使用，单次最大外购量约</w:t>
            </w:r>
            <w:r>
              <w:rPr>
                <w:rFonts w:hint="eastAsia" w:ascii="Times New Roman" w:hAnsi="Times New Roman" w:cs="Times New Roman"/>
                <w:color w:val="000000" w:themeColor="text1"/>
                <w:kern w:val="24"/>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瓶，根据资料液化天气1方约430kg，每瓶天然气瓶约50L，即天然气量为0.</w:t>
            </w:r>
            <w:r>
              <w:rPr>
                <w:rFonts w:hint="eastAsia" w:ascii="Times New Roman" w:hAnsi="Times New Roman" w:cs="Times New Roman"/>
                <w:color w:val="000000" w:themeColor="text1"/>
                <w:kern w:val="24"/>
                <w:sz w:val="21"/>
                <w:szCs w:val="21"/>
                <w:lang w:val="en-US" w:eastAsia="zh-CN"/>
                <w14:textFill>
                  <w14:solidFill>
                    <w14:schemeClr w14:val="tx1"/>
                  </w14:solidFill>
                </w14:textFill>
              </w:rPr>
              <w:t>215</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t。即厂区天然气总在线量为0.2161147t。</w:t>
            </w:r>
          </w:p>
          <w:p w14:paraId="5A5CA785">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（2）环境风险设施</w:t>
            </w:r>
          </w:p>
          <w:p w14:paraId="209DAA30">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根据本项目工艺特点和主要存在的环境风险物质，识别出本项目主要环境风险设施主要为</w:t>
            </w:r>
            <w:r>
              <w:rPr>
                <w:rFonts w:hint="default" w:ascii="Times New Roman" w:hAnsi="Times New Roman" w:eastAsia="宋体" w:cs="Times New Roman"/>
                <w:color w:val="000000" w:themeColor="text1"/>
                <w:sz w:val="24"/>
                <w:lang w:eastAsia="zh-CN"/>
                <w14:textFill>
                  <w14:solidFill>
                    <w14:schemeClr w14:val="tx1"/>
                  </w14:solidFill>
                </w14:textFill>
              </w:rPr>
              <w:t>溶剂间、</w:t>
            </w:r>
            <w:r>
              <w:rPr>
                <w:rFonts w:hint="default" w:ascii="Times New Roman" w:hAnsi="Times New Roman" w:eastAsia="宋体" w:cs="Times New Roman"/>
                <w:color w:val="000000" w:themeColor="text1"/>
                <w:sz w:val="24"/>
                <w14:textFill>
                  <w14:solidFill>
                    <w14:schemeClr w14:val="tx1"/>
                  </w14:solidFill>
                </w14:textFill>
              </w:rPr>
              <w:t>危废暂存间。</w:t>
            </w:r>
          </w:p>
          <w:p w14:paraId="179676EB">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（3）风险潜势初判</w:t>
            </w:r>
          </w:p>
          <w:p w14:paraId="1104AB76">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eastAsia="zh-CN"/>
                <w14:textFill>
                  <w14:solidFill>
                    <w14:schemeClr w14:val="tx1"/>
                  </w14:solidFill>
                </w14:textFill>
              </w:rPr>
              <w:t>）风险潜势</w:t>
            </w:r>
          </w:p>
          <w:p w14:paraId="1F5030EE">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建设项目环境风险评价技术导则》（HJ169－2018），环境风险评价工作等级见表。</w:t>
            </w:r>
          </w:p>
          <w:p w14:paraId="065E271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27</w:t>
            </w:r>
            <w:r>
              <w:rPr>
                <w:rFonts w:hint="default" w:ascii="Times New Roman" w:hAnsi="Times New Roman" w:eastAsia="宋体" w:cs="Times New Roman"/>
                <w:b/>
                <w:bCs/>
                <w:color w:val="000000" w:themeColor="text1"/>
                <w:sz w:val="21"/>
                <w:szCs w:val="21"/>
                <w14:textFill>
                  <w14:solidFill>
                    <w14:schemeClr w14:val="tx1"/>
                  </w14:solidFill>
                </w14:textFill>
              </w:rPr>
              <w:t>评价工作等级划分</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1583"/>
              <w:gridCol w:w="1080"/>
              <w:gridCol w:w="1619"/>
              <w:gridCol w:w="1753"/>
            </w:tblGrid>
            <w:tr w14:paraId="17D0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7" w:type="pct"/>
                  <w:tcBorders>
                    <w:top w:val="single" w:color="auto" w:sz="4" w:space="0"/>
                    <w:left w:val="single" w:color="auto" w:sz="4" w:space="0"/>
                    <w:bottom w:val="single" w:color="auto" w:sz="4" w:space="0"/>
                    <w:right w:val="single" w:color="auto" w:sz="4" w:space="0"/>
                  </w:tcBorders>
                  <w:vAlign w:val="center"/>
                </w:tcPr>
                <w:p w14:paraId="2ABBDBC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环境风险潜势</w:t>
                  </w:r>
                </w:p>
              </w:tc>
              <w:tc>
                <w:tcPr>
                  <w:tcW w:w="982" w:type="pct"/>
                  <w:tcBorders>
                    <w:top w:val="single" w:color="auto" w:sz="4" w:space="0"/>
                    <w:left w:val="single" w:color="auto" w:sz="4" w:space="0"/>
                    <w:bottom w:val="single" w:color="auto" w:sz="4" w:space="0"/>
                    <w:right w:val="single" w:color="auto" w:sz="4" w:space="0"/>
                  </w:tcBorders>
                  <w:vAlign w:val="center"/>
                </w:tcPr>
                <w:p w14:paraId="3E3D170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Ⅳ、Ⅳ+</w:t>
                  </w:r>
                </w:p>
              </w:tc>
              <w:tc>
                <w:tcPr>
                  <w:tcW w:w="670" w:type="pct"/>
                  <w:tcBorders>
                    <w:top w:val="single" w:color="auto" w:sz="4" w:space="0"/>
                    <w:left w:val="single" w:color="auto" w:sz="4" w:space="0"/>
                    <w:bottom w:val="single" w:color="auto" w:sz="4" w:space="0"/>
                    <w:right w:val="single" w:color="auto" w:sz="4" w:space="0"/>
                  </w:tcBorders>
                  <w:vAlign w:val="center"/>
                </w:tcPr>
                <w:p w14:paraId="4D5DCF4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Ⅲ</w:t>
                  </w:r>
                </w:p>
              </w:tc>
              <w:tc>
                <w:tcPr>
                  <w:tcW w:w="1004" w:type="pct"/>
                  <w:tcBorders>
                    <w:top w:val="single" w:color="auto" w:sz="4" w:space="0"/>
                    <w:left w:val="single" w:color="auto" w:sz="4" w:space="0"/>
                    <w:bottom w:val="single" w:color="auto" w:sz="4" w:space="0"/>
                    <w:right w:val="single" w:color="auto" w:sz="4" w:space="0"/>
                  </w:tcBorders>
                  <w:vAlign w:val="center"/>
                </w:tcPr>
                <w:p w14:paraId="4FB8233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Ⅱ</w:t>
                  </w:r>
                </w:p>
              </w:tc>
              <w:tc>
                <w:tcPr>
                  <w:tcW w:w="1085" w:type="pct"/>
                  <w:tcBorders>
                    <w:top w:val="single" w:color="auto" w:sz="4" w:space="0"/>
                    <w:left w:val="single" w:color="auto" w:sz="4" w:space="0"/>
                    <w:bottom w:val="single" w:color="auto" w:sz="4" w:space="0"/>
                    <w:right w:val="single" w:color="auto" w:sz="4" w:space="0"/>
                  </w:tcBorders>
                  <w:vAlign w:val="center"/>
                </w:tcPr>
                <w:p w14:paraId="5A704A4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Ⅰ</w:t>
                  </w:r>
                </w:p>
              </w:tc>
            </w:tr>
            <w:tr w14:paraId="6E18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7" w:type="pct"/>
                  <w:tcBorders>
                    <w:top w:val="single" w:color="auto" w:sz="4" w:space="0"/>
                    <w:left w:val="single" w:color="auto" w:sz="4" w:space="0"/>
                    <w:bottom w:val="single" w:color="auto" w:sz="4" w:space="0"/>
                    <w:right w:val="single" w:color="auto" w:sz="4" w:space="0"/>
                  </w:tcBorders>
                  <w:vAlign w:val="center"/>
                </w:tcPr>
                <w:p w14:paraId="25D9420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评价工作等级</w:t>
                  </w:r>
                </w:p>
              </w:tc>
              <w:tc>
                <w:tcPr>
                  <w:tcW w:w="982" w:type="pct"/>
                  <w:tcBorders>
                    <w:top w:val="single" w:color="auto" w:sz="4" w:space="0"/>
                    <w:left w:val="single" w:color="auto" w:sz="4" w:space="0"/>
                    <w:bottom w:val="single" w:color="auto" w:sz="4" w:space="0"/>
                    <w:right w:val="single" w:color="auto" w:sz="4" w:space="0"/>
                  </w:tcBorders>
                  <w:vAlign w:val="center"/>
                </w:tcPr>
                <w:p w14:paraId="7923FC0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一</w:t>
                  </w:r>
                </w:p>
              </w:tc>
              <w:tc>
                <w:tcPr>
                  <w:tcW w:w="670" w:type="pct"/>
                  <w:tcBorders>
                    <w:top w:val="single" w:color="auto" w:sz="4" w:space="0"/>
                    <w:left w:val="single" w:color="auto" w:sz="4" w:space="0"/>
                    <w:bottom w:val="single" w:color="auto" w:sz="4" w:space="0"/>
                    <w:right w:val="single" w:color="auto" w:sz="4" w:space="0"/>
                  </w:tcBorders>
                  <w:vAlign w:val="center"/>
                </w:tcPr>
                <w:p w14:paraId="19CEBD8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二</w:t>
                  </w:r>
                </w:p>
              </w:tc>
              <w:tc>
                <w:tcPr>
                  <w:tcW w:w="1004" w:type="pct"/>
                  <w:tcBorders>
                    <w:top w:val="single" w:color="auto" w:sz="4" w:space="0"/>
                    <w:left w:val="single" w:color="auto" w:sz="4" w:space="0"/>
                    <w:bottom w:val="single" w:color="auto" w:sz="4" w:space="0"/>
                    <w:right w:val="single" w:color="auto" w:sz="4" w:space="0"/>
                  </w:tcBorders>
                  <w:vAlign w:val="center"/>
                </w:tcPr>
                <w:p w14:paraId="029BF02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三</w:t>
                  </w:r>
                </w:p>
              </w:tc>
              <w:tc>
                <w:tcPr>
                  <w:tcW w:w="1085" w:type="pct"/>
                  <w:tcBorders>
                    <w:top w:val="single" w:color="auto" w:sz="4" w:space="0"/>
                    <w:left w:val="single" w:color="auto" w:sz="4" w:space="0"/>
                    <w:bottom w:val="single" w:color="auto" w:sz="4" w:space="0"/>
                    <w:right w:val="single" w:color="auto" w:sz="4" w:space="0"/>
                  </w:tcBorders>
                  <w:vAlign w:val="center"/>
                </w:tcPr>
                <w:p w14:paraId="38AFFA9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简单分析a</w:t>
                  </w:r>
                </w:p>
              </w:tc>
            </w:tr>
            <w:tr w14:paraId="1688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single" w:color="auto" w:sz="4" w:space="0"/>
                    <w:bottom w:val="single" w:color="auto" w:sz="4" w:space="0"/>
                    <w:right w:val="single" w:color="auto" w:sz="4" w:space="0"/>
                  </w:tcBorders>
                </w:tcPr>
                <w:p w14:paraId="0EAF23C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a是相对于详细评价工作内容而言，在描述危险物质、环境影响途径、环境危害后果、风险防范措施等方面给出定性的说明</w:t>
                  </w:r>
                </w:p>
              </w:tc>
            </w:tr>
          </w:tbl>
          <w:p w14:paraId="5E09DDB7">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项目所涉及的每种危险物质在厂界内的最大存在总量与对应临界量的比值为Q，当只涉及一种危险物质时，计算该物质的总量与其临界量比值，当存在多种危险物质时，按下列公式计算Q值：</w:t>
            </w:r>
          </w:p>
          <w:p w14:paraId="678036EC">
            <w:pPr>
              <w:keepNext w:val="0"/>
              <w:keepLines w:val="0"/>
              <w:pageBreakBefore w:val="0"/>
              <w:widowControl w:val="0"/>
              <w:kinsoku/>
              <w:wordWrap w:val="0"/>
              <w:overflowPunct/>
              <w:topLinePunct/>
              <w:autoSpaceDE/>
              <w:autoSpaceDN/>
              <w:bidi w:val="0"/>
              <w:adjustRightInd/>
              <w:ind w:firstLine="56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position w:val="-16"/>
                <w:sz w:val="28"/>
                <w14:textFill>
                  <w14:solidFill>
                    <w14:schemeClr w14:val="tx1"/>
                  </w14:solidFill>
                </w14:textFill>
              </w:rPr>
              <w:object>
                <v:shape id="_x0000_i1030" o:spt="75" type="#_x0000_t75" style="height:34.65pt;width:104.75pt;" o:ole="t" filled="f" o:preferrelative="t" stroked="f" coordsize="21600,21600">
                  <v:path/>
                  <v:fill on="f" focussize="0,0"/>
                  <v:stroke on="f" joinstyle="miter"/>
                  <v:imagedata r:id="rId41" o:title=""/>
                  <o:lock v:ext="edit" aspectratio="t"/>
                  <w10:wrap type="none"/>
                  <w10:anchorlock/>
                </v:shape>
                <o:OLEObject Type="Embed" ProgID="Equation.KSEE3" ShapeID="_x0000_i1030" DrawAspect="Content" ObjectID="_1468075730" r:id="rId40">
                  <o:LockedField>false</o:LockedField>
                </o:OLEObject>
              </w:object>
            </w:r>
          </w:p>
          <w:p w14:paraId="019355DD">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式中：q1，q2，…qn—每种危险物质的最大存在总量，t；</w:t>
            </w:r>
          </w:p>
          <w:p w14:paraId="7A335D45">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Q1，Q2，…Qn—每种物质的临界量，t。可在HJ169-2018中附录B中查询。</w:t>
            </w:r>
          </w:p>
          <w:p w14:paraId="54F6B423">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当Q＜1时，该项目环境风险潜势为Ⅰ。</w:t>
            </w:r>
          </w:p>
          <w:p w14:paraId="74CF6BC0">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当Q≥1时，将Q值划分为：（1）1≤Q＜10；（2）10≤Q＜100；（3）Q≥100。</w:t>
            </w:r>
          </w:p>
          <w:p w14:paraId="0AFF1D8E">
            <w:pPr>
              <w:keepNext w:val="0"/>
              <w:keepLines w:val="0"/>
              <w:pageBreakBefore w:val="0"/>
              <w:widowControl w:val="0"/>
              <w:kinsoku/>
              <w:wordWrap w:val="0"/>
              <w:overflowPunct/>
              <w:topLinePunct/>
              <w:autoSpaceDE/>
              <w:autoSpaceDN/>
              <w:bidi w:val="0"/>
              <w:adjustRightInd/>
              <w:spacing w:line="360" w:lineRule="auto"/>
              <w:ind w:firstLine="512" w:firstLineChars="200"/>
              <w:rPr>
                <w:rFonts w:hint="default" w:ascii="Times New Roman" w:hAnsi="Times New Roman" w:eastAsia="宋体" w:cs="Times New Roman"/>
                <w:color w:val="000000" w:themeColor="text1"/>
                <w:spacing w:val="8"/>
                <w:sz w:val="24"/>
                <w14:textFill>
                  <w14:solidFill>
                    <w14:schemeClr w14:val="tx1"/>
                  </w14:solidFill>
                </w14:textFill>
              </w:rPr>
            </w:pPr>
            <w:r>
              <w:rPr>
                <w:rFonts w:hint="default" w:ascii="Times New Roman" w:hAnsi="Times New Roman" w:eastAsia="宋体" w:cs="Times New Roman"/>
                <w:color w:val="000000" w:themeColor="text1"/>
                <w:spacing w:val="8"/>
                <w:sz w:val="24"/>
                <w14:textFill>
                  <w14:solidFill>
                    <w14:schemeClr w14:val="tx1"/>
                  </w14:solidFill>
                </w14:textFill>
              </w:rPr>
              <w:t>经向建设单位核实，项目涉及危险物质最大存放量与临界量比值结果见下表。</w:t>
            </w:r>
          </w:p>
          <w:p w14:paraId="779151F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28</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项目危险物质总量与临界量比值（Q）结果</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1"/>
              <w:gridCol w:w="1456"/>
              <w:gridCol w:w="1611"/>
              <w:gridCol w:w="1203"/>
              <w:gridCol w:w="1551"/>
            </w:tblGrid>
            <w:tr w14:paraId="7054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1CD699D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物质名称</w:t>
                  </w:r>
                </w:p>
              </w:tc>
              <w:tc>
                <w:tcPr>
                  <w:tcW w:w="903" w:type="pct"/>
                  <w:tcBorders>
                    <w:top w:val="single" w:color="auto" w:sz="4" w:space="0"/>
                    <w:left w:val="single" w:color="auto" w:sz="4" w:space="0"/>
                    <w:bottom w:val="single" w:color="auto" w:sz="4" w:space="0"/>
                    <w:right w:val="single" w:color="auto" w:sz="4" w:space="0"/>
                  </w:tcBorders>
                  <w:vAlign w:val="center"/>
                </w:tcPr>
                <w:p w14:paraId="082E7E7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CAS号</w:t>
                  </w:r>
                </w:p>
              </w:tc>
              <w:tc>
                <w:tcPr>
                  <w:tcW w:w="999" w:type="pct"/>
                  <w:tcBorders>
                    <w:top w:val="single" w:color="auto" w:sz="4" w:space="0"/>
                    <w:left w:val="single" w:color="auto" w:sz="4" w:space="0"/>
                    <w:bottom w:val="single" w:color="auto" w:sz="4" w:space="0"/>
                    <w:right w:val="single" w:color="auto" w:sz="4" w:space="0"/>
                  </w:tcBorders>
                  <w:vAlign w:val="center"/>
                </w:tcPr>
                <w:p w14:paraId="766A8B6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最大存在量</w:t>
                  </w:r>
                </w:p>
              </w:tc>
              <w:tc>
                <w:tcPr>
                  <w:tcW w:w="746" w:type="pct"/>
                  <w:tcBorders>
                    <w:top w:val="single" w:color="auto" w:sz="4" w:space="0"/>
                    <w:left w:val="single" w:color="auto" w:sz="4" w:space="0"/>
                    <w:bottom w:val="single" w:color="auto" w:sz="4" w:space="0"/>
                    <w:right w:val="single" w:color="auto" w:sz="4" w:space="0"/>
                  </w:tcBorders>
                  <w:vAlign w:val="center"/>
                </w:tcPr>
                <w:p w14:paraId="608AAED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临界量</w:t>
                  </w:r>
                </w:p>
              </w:tc>
              <w:tc>
                <w:tcPr>
                  <w:tcW w:w="961" w:type="pct"/>
                  <w:tcBorders>
                    <w:top w:val="single" w:color="auto" w:sz="4" w:space="0"/>
                    <w:left w:val="single" w:color="auto" w:sz="4" w:space="0"/>
                    <w:bottom w:val="single" w:color="auto" w:sz="4" w:space="0"/>
                    <w:right w:val="single" w:color="auto" w:sz="4" w:space="0"/>
                  </w:tcBorders>
                  <w:vAlign w:val="center"/>
                </w:tcPr>
                <w:p w14:paraId="79C6897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Qi</w:t>
                  </w:r>
                </w:p>
              </w:tc>
            </w:tr>
            <w:tr w14:paraId="78A8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0260D29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天然气</w:t>
                  </w:r>
                </w:p>
              </w:tc>
              <w:tc>
                <w:tcPr>
                  <w:tcW w:w="903" w:type="pct"/>
                  <w:tcBorders>
                    <w:top w:val="single" w:color="auto" w:sz="4" w:space="0"/>
                    <w:left w:val="single" w:color="auto" w:sz="4" w:space="0"/>
                    <w:bottom w:val="single" w:color="auto" w:sz="4" w:space="0"/>
                    <w:right w:val="single" w:color="auto" w:sz="4" w:space="0"/>
                  </w:tcBorders>
                  <w:vAlign w:val="center"/>
                </w:tcPr>
                <w:p w14:paraId="6278C6F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8006-14-2</w:t>
                  </w:r>
                </w:p>
              </w:tc>
              <w:tc>
                <w:tcPr>
                  <w:tcW w:w="999" w:type="pct"/>
                  <w:tcBorders>
                    <w:top w:val="single" w:color="auto" w:sz="4" w:space="0"/>
                    <w:left w:val="single" w:color="auto" w:sz="4" w:space="0"/>
                    <w:bottom w:val="single" w:color="auto" w:sz="4" w:space="0"/>
                    <w:right w:val="single" w:color="auto" w:sz="4" w:space="0"/>
                  </w:tcBorders>
                  <w:vAlign w:val="center"/>
                </w:tcPr>
                <w:p w14:paraId="098CC73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0.2161147</w:t>
                  </w:r>
                </w:p>
              </w:tc>
              <w:tc>
                <w:tcPr>
                  <w:tcW w:w="746" w:type="pct"/>
                  <w:tcBorders>
                    <w:top w:val="single" w:color="auto" w:sz="4" w:space="0"/>
                    <w:left w:val="single" w:color="auto" w:sz="4" w:space="0"/>
                    <w:bottom w:val="single" w:color="auto" w:sz="4" w:space="0"/>
                    <w:right w:val="single" w:color="auto" w:sz="4" w:space="0"/>
                  </w:tcBorders>
                  <w:vAlign w:val="center"/>
                </w:tcPr>
                <w:p w14:paraId="7DE8D49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961" w:type="pct"/>
                  <w:tcBorders>
                    <w:top w:val="single" w:color="auto" w:sz="4" w:space="0"/>
                    <w:left w:val="single" w:color="auto" w:sz="4" w:space="0"/>
                    <w:bottom w:val="single" w:color="auto" w:sz="4" w:space="0"/>
                    <w:right w:val="single" w:color="auto" w:sz="4" w:space="0"/>
                  </w:tcBorders>
                  <w:vAlign w:val="center"/>
                </w:tcPr>
                <w:p w14:paraId="2F537E6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2161147</w:t>
                  </w:r>
                </w:p>
              </w:tc>
            </w:tr>
            <w:tr w14:paraId="537C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42066D9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甲基环乙烷</w:t>
                  </w:r>
                </w:p>
              </w:tc>
              <w:tc>
                <w:tcPr>
                  <w:tcW w:w="903" w:type="pct"/>
                  <w:tcBorders>
                    <w:top w:val="single" w:color="auto" w:sz="4" w:space="0"/>
                    <w:left w:val="single" w:color="auto" w:sz="4" w:space="0"/>
                    <w:bottom w:val="single" w:color="auto" w:sz="4" w:space="0"/>
                    <w:right w:val="single" w:color="auto" w:sz="4" w:space="0"/>
                  </w:tcBorders>
                  <w:vAlign w:val="center"/>
                </w:tcPr>
                <w:p w14:paraId="547B68A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108-87-2</w:t>
                  </w:r>
                </w:p>
              </w:tc>
              <w:tc>
                <w:tcPr>
                  <w:tcW w:w="999" w:type="pct"/>
                  <w:tcBorders>
                    <w:top w:val="single" w:color="auto" w:sz="4" w:space="0"/>
                    <w:left w:val="single" w:color="auto" w:sz="4" w:space="0"/>
                    <w:bottom w:val="single" w:color="auto" w:sz="4" w:space="0"/>
                    <w:right w:val="single" w:color="auto" w:sz="4" w:space="0"/>
                  </w:tcBorders>
                  <w:vAlign w:val="center"/>
                </w:tcPr>
                <w:p w14:paraId="2B29861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0.384</w:t>
                  </w:r>
                </w:p>
              </w:tc>
              <w:tc>
                <w:tcPr>
                  <w:tcW w:w="746" w:type="pct"/>
                  <w:tcBorders>
                    <w:top w:val="single" w:color="auto" w:sz="4" w:space="0"/>
                    <w:left w:val="single" w:color="auto" w:sz="4" w:space="0"/>
                    <w:bottom w:val="single" w:color="auto" w:sz="4" w:space="0"/>
                    <w:right w:val="single" w:color="auto" w:sz="4" w:space="0"/>
                  </w:tcBorders>
                  <w:vAlign w:val="center"/>
                </w:tcPr>
                <w:p w14:paraId="59DA1A0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961" w:type="pct"/>
                  <w:tcBorders>
                    <w:top w:val="single" w:color="auto" w:sz="4" w:space="0"/>
                    <w:left w:val="single" w:color="auto" w:sz="4" w:space="0"/>
                    <w:bottom w:val="single" w:color="auto" w:sz="4" w:space="0"/>
                    <w:right w:val="single" w:color="auto" w:sz="4" w:space="0"/>
                  </w:tcBorders>
                  <w:vAlign w:val="center"/>
                </w:tcPr>
                <w:p w14:paraId="3BF6928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0.00768</w:t>
                  </w:r>
                </w:p>
              </w:tc>
            </w:tr>
            <w:tr w14:paraId="25C0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135E956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乙酸丙酯</w:t>
                  </w:r>
                </w:p>
              </w:tc>
              <w:tc>
                <w:tcPr>
                  <w:tcW w:w="903" w:type="pct"/>
                  <w:tcBorders>
                    <w:top w:val="single" w:color="auto" w:sz="4" w:space="0"/>
                    <w:left w:val="single" w:color="auto" w:sz="4" w:space="0"/>
                    <w:bottom w:val="single" w:color="auto" w:sz="4" w:space="0"/>
                    <w:right w:val="single" w:color="auto" w:sz="4" w:space="0"/>
                  </w:tcBorders>
                  <w:vAlign w:val="center"/>
                </w:tcPr>
                <w:p w14:paraId="222A32D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108-94-1</w:t>
                  </w:r>
                </w:p>
              </w:tc>
              <w:tc>
                <w:tcPr>
                  <w:tcW w:w="999" w:type="pct"/>
                  <w:tcBorders>
                    <w:top w:val="single" w:color="auto" w:sz="4" w:space="0"/>
                    <w:left w:val="single" w:color="auto" w:sz="4" w:space="0"/>
                    <w:bottom w:val="single" w:color="auto" w:sz="4" w:space="0"/>
                    <w:right w:val="single" w:color="auto" w:sz="4" w:space="0"/>
                  </w:tcBorders>
                  <w:vAlign w:val="center"/>
                </w:tcPr>
                <w:p w14:paraId="0441405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0.384</w:t>
                  </w:r>
                </w:p>
              </w:tc>
              <w:tc>
                <w:tcPr>
                  <w:tcW w:w="746" w:type="pct"/>
                  <w:tcBorders>
                    <w:top w:val="single" w:color="auto" w:sz="4" w:space="0"/>
                    <w:left w:val="single" w:color="auto" w:sz="4" w:space="0"/>
                    <w:bottom w:val="single" w:color="auto" w:sz="4" w:space="0"/>
                    <w:right w:val="single" w:color="auto" w:sz="4" w:space="0"/>
                  </w:tcBorders>
                  <w:vAlign w:val="center"/>
                </w:tcPr>
                <w:p w14:paraId="3B4EDF2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961" w:type="pct"/>
                  <w:tcBorders>
                    <w:top w:val="single" w:color="auto" w:sz="4" w:space="0"/>
                    <w:left w:val="single" w:color="auto" w:sz="4" w:space="0"/>
                    <w:bottom w:val="single" w:color="auto" w:sz="4" w:space="0"/>
                    <w:right w:val="single" w:color="auto" w:sz="4" w:space="0"/>
                  </w:tcBorders>
                  <w:vAlign w:val="center"/>
                </w:tcPr>
                <w:p w14:paraId="499CD7E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0.00768</w:t>
                  </w:r>
                </w:p>
              </w:tc>
            </w:tr>
            <w:tr w14:paraId="24ED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3A276C8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异丙醇</w:t>
                  </w:r>
                </w:p>
              </w:tc>
              <w:tc>
                <w:tcPr>
                  <w:tcW w:w="903" w:type="pct"/>
                  <w:tcBorders>
                    <w:top w:val="single" w:color="auto" w:sz="4" w:space="0"/>
                    <w:left w:val="single" w:color="auto" w:sz="4" w:space="0"/>
                    <w:bottom w:val="single" w:color="auto" w:sz="4" w:space="0"/>
                    <w:right w:val="single" w:color="auto" w:sz="4" w:space="0"/>
                  </w:tcBorders>
                  <w:vAlign w:val="center"/>
                </w:tcPr>
                <w:p w14:paraId="3A8F18E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67-63-0</w:t>
                  </w:r>
                </w:p>
              </w:tc>
              <w:tc>
                <w:tcPr>
                  <w:tcW w:w="999" w:type="pct"/>
                  <w:tcBorders>
                    <w:top w:val="single" w:color="auto" w:sz="4" w:space="0"/>
                    <w:left w:val="single" w:color="auto" w:sz="4" w:space="0"/>
                    <w:bottom w:val="single" w:color="auto" w:sz="4" w:space="0"/>
                    <w:right w:val="single" w:color="auto" w:sz="4" w:space="0"/>
                  </w:tcBorders>
                  <w:vAlign w:val="center"/>
                </w:tcPr>
                <w:p w14:paraId="648BC6F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0.0384</w:t>
                  </w:r>
                </w:p>
              </w:tc>
              <w:tc>
                <w:tcPr>
                  <w:tcW w:w="746" w:type="pct"/>
                  <w:tcBorders>
                    <w:top w:val="single" w:color="auto" w:sz="4" w:space="0"/>
                    <w:left w:val="single" w:color="auto" w:sz="4" w:space="0"/>
                    <w:bottom w:val="single" w:color="auto" w:sz="4" w:space="0"/>
                    <w:right w:val="single" w:color="auto" w:sz="4" w:space="0"/>
                  </w:tcBorders>
                  <w:vAlign w:val="center"/>
                </w:tcPr>
                <w:p w14:paraId="1BA890D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961" w:type="pct"/>
                  <w:tcBorders>
                    <w:top w:val="single" w:color="auto" w:sz="4" w:space="0"/>
                    <w:left w:val="single" w:color="auto" w:sz="4" w:space="0"/>
                    <w:bottom w:val="single" w:color="auto" w:sz="4" w:space="0"/>
                    <w:right w:val="single" w:color="auto" w:sz="4" w:space="0"/>
                  </w:tcBorders>
                  <w:vAlign w:val="center"/>
                </w:tcPr>
                <w:p w14:paraId="54D09AF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0.00384</w:t>
                  </w:r>
                </w:p>
              </w:tc>
            </w:tr>
            <w:tr w14:paraId="30F3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0E3A750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乙酸乙酯</w:t>
                  </w:r>
                </w:p>
              </w:tc>
              <w:tc>
                <w:tcPr>
                  <w:tcW w:w="903" w:type="pct"/>
                  <w:tcBorders>
                    <w:top w:val="single" w:color="auto" w:sz="4" w:space="0"/>
                    <w:left w:val="single" w:color="auto" w:sz="4" w:space="0"/>
                    <w:bottom w:val="single" w:color="auto" w:sz="4" w:space="0"/>
                    <w:right w:val="single" w:color="auto" w:sz="4" w:space="0"/>
                  </w:tcBorders>
                  <w:vAlign w:val="center"/>
                </w:tcPr>
                <w:p w14:paraId="33E78C6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141-78-6</w:t>
                  </w:r>
                </w:p>
              </w:tc>
              <w:tc>
                <w:tcPr>
                  <w:tcW w:w="999" w:type="pct"/>
                  <w:tcBorders>
                    <w:top w:val="single" w:color="auto" w:sz="4" w:space="0"/>
                    <w:left w:val="single" w:color="auto" w:sz="4" w:space="0"/>
                    <w:bottom w:val="single" w:color="auto" w:sz="4" w:space="0"/>
                    <w:right w:val="single" w:color="auto" w:sz="4" w:space="0"/>
                  </w:tcBorders>
                  <w:vAlign w:val="center"/>
                </w:tcPr>
                <w:p w14:paraId="63A0ED5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0.48</w:t>
                  </w:r>
                </w:p>
              </w:tc>
              <w:tc>
                <w:tcPr>
                  <w:tcW w:w="746" w:type="pct"/>
                  <w:tcBorders>
                    <w:top w:val="single" w:color="auto" w:sz="4" w:space="0"/>
                    <w:left w:val="single" w:color="auto" w:sz="4" w:space="0"/>
                    <w:bottom w:val="single" w:color="auto" w:sz="4" w:space="0"/>
                    <w:right w:val="single" w:color="auto" w:sz="4" w:space="0"/>
                  </w:tcBorders>
                  <w:vAlign w:val="center"/>
                </w:tcPr>
                <w:p w14:paraId="32D5653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961" w:type="pct"/>
                  <w:tcBorders>
                    <w:top w:val="single" w:color="auto" w:sz="4" w:space="0"/>
                    <w:left w:val="single" w:color="auto" w:sz="4" w:space="0"/>
                    <w:bottom w:val="single" w:color="auto" w:sz="4" w:space="0"/>
                    <w:right w:val="single" w:color="auto" w:sz="4" w:space="0"/>
                  </w:tcBorders>
                  <w:vAlign w:val="center"/>
                </w:tcPr>
                <w:p w14:paraId="310ADF8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0.048</w:t>
                  </w:r>
                </w:p>
              </w:tc>
            </w:tr>
            <w:tr w14:paraId="7128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31931EC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乙酸丁酯</w:t>
                  </w:r>
                </w:p>
              </w:tc>
              <w:tc>
                <w:tcPr>
                  <w:tcW w:w="903" w:type="pct"/>
                  <w:tcBorders>
                    <w:top w:val="single" w:color="auto" w:sz="4" w:space="0"/>
                    <w:left w:val="single" w:color="auto" w:sz="4" w:space="0"/>
                    <w:bottom w:val="single" w:color="auto" w:sz="4" w:space="0"/>
                    <w:right w:val="single" w:color="auto" w:sz="4" w:space="0"/>
                  </w:tcBorders>
                  <w:vAlign w:val="center"/>
                </w:tcPr>
                <w:p w14:paraId="28B1563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123-86-4</w:t>
                  </w:r>
                </w:p>
              </w:tc>
              <w:tc>
                <w:tcPr>
                  <w:tcW w:w="999" w:type="pct"/>
                  <w:tcBorders>
                    <w:top w:val="single" w:color="auto" w:sz="4" w:space="0"/>
                    <w:left w:val="single" w:color="auto" w:sz="4" w:space="0"/>
                    <w:bottom w:val="single" w:color="auto" w:sz="4" w:space="0"/>
                    <w:right w:val="single" w:color="auto" w:sz="4" w:space="0"/>
                  </w:tcBorders>
                  <w:vAlign w:val="center"/>
                </w:tcPr>
                <w:p w14:paraId="3DA5DAD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0.096</w:t>
                  </w:r>
                </w:p>
              </w:tc>
              <w:tc>
                <w:tcPr>
                  <w:tcW w:w="746" w:type="pct"/>
                  <w:tcBorders>
                    <w:top w:val="single" w:color="auto" w:sz="4" w:space="0"/>
                    <w:left w:val="single" w:color="auto" w:sz="4" w:space="0"/>
                    <w:bottom w:val="single" w:color="auto" w:sz="4" w:space="0"/>
                    <w:right w:val="single" w:color="auto" w:sz="4" w:space="0"/>
                  </w:tcBorders>
                  <w:vAlign w:val="center"/>
                </w:tcPr>
                <w:p w14:paraId="1CD8A0B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961" w:type="pct"/>
                  <w:tcBorders>
                    <w:top w:val="single" w:color="auto" w:sz="4" w:space="0"/>
                    <w:left w:val="single" w:color="auto" w:sz="4" w:space="0"/>
                    <w:bottom w:val="single" w:color="auto" w:sz="4" w:space="0"/>
                    <w:right w:val="single" w:color="auto" w:sz="4" w:space="0"/>
                  </w:tcBorders>
                  <w:vAlign w:val="center"/>
                </w:tcPr>
                <w:p w14:paraId="61E2B54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0.00192</w:t>
                  </w:r>
                </w:p>
              </w:tc>
            </w:tr>
            <w:tr w14:paraId="0A6A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26213B1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正丁醇</w:t>
                  </w:r>
                </w:p>
              </w:tc>
              <w:tc>
                <w:tcPr>
                  <w:tcW w:w="903" w:type="pct"/>
                  <w:tcBorders>
                    <w:top w:val="single" w:color="auto" w:sz="4" w:space="0"/>
                    <w:left w:val="single" w:color="auto" w:sz="4" w:space="0"/>
                    <w:bottom w:val="single" w:color="auto" w:sz="4" w:space="0"/>
                    <w:right w:val="single" w:color="auto" w:sz="4" w:space="0"/>
                  </w:tcBorders>
                  <w:vAlign w:val="center"/>
                </w:tcPr>
                <w:p w14:paraId="0743887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71-36-3</w:t>
                  </w:r>
                </w:p>
              </w:tc>
              <w:tc>
                <w:tcPr>
                  <w:tcW w:w="999" w:type="pct"/>
                  <w:tcBorders>
                    <w:top w:val="single" w:color="auto" w:sz="4" w:space="0"/>
                    <w:left w:val="single" w:color="auto" w:sz="4" w:space="0"/>
                    <w:bottom w:val="single" w:color="auto" w:sz="4" w:space="0"/>
                    <w:right w:val="single" w:color="auto" w:sz="4" w:space="0"/>
                  </w:tcBorders>
                  <w:vAlign w:val="center"/>
                </w:tcPr>
                <w:p w14:paraId="4F551D7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0.0192</w:t>
                  </w:r>
                </w:p>
              </w:tc>
              <w:tc>
                <w:tcPr>
                  <w:tcW w:w="746" w:type="pct"/>
                  <w:tcBorders>
                    <w:top w:val="single" w:color="auto" w:sz="4" w:space="0"/>
                    <w:left w:val="single" w:color="auto" w:sz="4" w:space="0"/>
                    <w:bottom w:val="single" w:color="auto" w:sz="4" w:space="0"/>
                    <w:right w:val="single" w:color="auto" w:sz="4" w:space="0"/>
                  </w:tcBorders>
                  <w:vAlign w:val="center"/>
                </w:tcPr>
                <w:p w14:paraId="330B0D4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961" w:type="pct"/>
                  <w:tcBorders>
                    <w:top w:val="single" w:color="auto" w:sz="4" w:space="0"/>
                    <w:left w:val="single" w:color="auto" w:sz="4" w:space="0"/>
                    <w:bottom w:val="single" w:color="auto" w:sz="4" w:space="0"/>
                    <w:right w:val="single" w:color="auto" w:sz="4" w:space="0"/>
                  </w:tcBorders>
                  <w:vAlign w:val="center"/>
                </w:tcPr>
                <w:p w14:paraId="75E8DDA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0.00192</w:t>
                  </w:r>
                </w:p>
              </w:tc>
            </w:tr>
            <w:tr w14:paraId="3DD5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0A5D6C2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无溶剂聚氨酯胶粘剂</w:t>
                  </w:r>
                </w:p>
              </w:tc>
              <w:tc>
                <w:tcPr>
                  <w:tcW w:w="903" w:type="pct"/>
                  <w:tcBorders>
                    <w:top w:val="single" w:color="auto" w:sz="4" w:space="0"/>
                    <w:left w:val="single" w:color="auto" w:sz="4" w:space="0"/>
                    <w:bottom w:val="single" w:color="auto" w:sz="4" w:space="0"/>
                    <w:right w:val="single" w:color="auto" w:sz="4" w:space="0"/>
                  </w:tcBorders>
                  <w:vAlign w:val="center"/>
                </w:tcPr>
                <w:p w14:paraId="6201586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999" w:type="pct"/>
                  <w:tcBorders>
                    <w:top w:val="single" w:color="auto" w:sz="4" w:space="0"/>
                    <w:left w:val="single" w:color="auto" w:sz="4" w:space="0"/>
                    <w:bottom w:val="single" w:color="auto" w:sz="4" w:space="0"/>
                    <w:right w:val="single" w:color="auto" w:sz="4" w:space="0"/>
                  </w:tcBorders>
                  <w:vAlign w:val="center"/>
                </w:tcPr>
                <w:p w14:paraId="51F63B1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0.5305</w:t>
                  </w:r>
                </w:p>
              </w:tc>
              <w:tc>
                <w:tcPr>
                  <w:tcW w:w="746" w:type="pct"/>
                  <w:tcBorders>
                    <w:top w:val="single" w:color="auto" w:sz="4" w:space="0"/>
                    <w:left w:val="single" w:color="auto" w:sz="4" w:space="0"/>
                    <w:bottom w:val="single" w:color="auto" w:sz="4" w:space="0"/>
                    <w:right w:val="single" w:color="auto" w:sz="4" w:space="0"/>
                  </w:tcBorders>
                  <w:vAlign w:val="center"/>
                </w:tcPr>
                <w:p w14:paraId="0FD1F4C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961" w:type="pct"/>
                  <w:tcBorders>
                    <w:top w:val="single" w:color="auto" w:sz="4" w:space="0"/>
                    <w:left w:val="single" w:color="auto" w:sz="4" w:space="0"/>
                    <w:bottom w:val="single" w:color="auto" w:sz="4" w:space="0"/>
                    <w:right w:val="single" w:color="auto" w:sz="4" w:space="0"/>
                  </w:tcBorders>
                  <w:vAlign w:val="center"/>
                </w:tcPr>
                <w:p w14:paraId="5C3D647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0.01061</w:t>
                  </w:r>
                </w:p>
              </w:tc>
            </w:tr>
            <w:tr w14:paraId="5CFF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2497992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油墨清洗剂</w:t>
                  </w:r>
                </w:p>
              </w:tc>
              <w:tc>
                <w:tcPr>
                  <w:tcW w:w="903" w:type="pct"/>
                  <w:tcBorders>
                    <w:top w:val="single" w:color="auto" w:sz="4" w:space="0"/>
                    <w:left w:val="single" w:color="auto" w:sz="4" w:space="0"/>
                    <w:bottom w:val="single" w:color="auto" w:sz="4" w:space="0"/>
                    <w:right w:val="single" w:color="auto" w:sz="4" w:space="0"/>
                  </w:tcBorders>
                  <w:vAlign w:val="center"/>
                </w:tcPr>
                <w:p w14:paraId="072287A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999" w:type="pct"/>
                  <w:tcBorders>
                    <w:top w:val="single" w:color="auto" w:sz="4" w:space="0"/>
                    <w:left w:val="single" w:color="auto" w:sz="4" w:space="0"/>
                    <w:bottom w:val="single" w:color="auto" w:sz="4" w:space="0"/>
                    <w:right w:val="single" w:color="auto" w:sz="4" w:space="0"/>
                  </w:tcBorders>
                  <w:vAlign w:val="center"/>
                </w:tcPr>
                <w:p w14:paraId="20B2A43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0.125</w:t>
                  </w:r>
                </w:p>
              </w:tc>
              <w:tc>
                <w:tcPr>
                  <w:tcW w:w="746" w:type="pct"/>
                  <w:tcBorders>
                    <w:top w:val="single" w:color="auto" w:sz="4" w:space="0"/>
                    <w:left w:val="single" w:color="auto" w:sz="4" w:space="0"/>
                    <w:bottom w:val="single" w:color="auto" w:sz="4" w:space="0"/>
                    <w:right w:val="single" w:color="auto" w:sz="4" w:space="0"/>
                  </w:tcBorders>
                  <w:vAlign w:val="center"/>
                </w:tcPr>
                <w:p w14:paraId="6B7570E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961" w:type="pct"/>
                  <w:tcBorders>
                    <w:top w:val="single" w:color="auto" w:sz="4" w:space="0"/>
                    <w:left w:val="single" w:color="auto" w:sz="4" w:space="0"/>
                    <w:bottom w:val="single" w:color="auto" w:sz="4" w:space="0"/>
                    <w:right w:val="single" w:color="auto" w:sz="4" w:space="0"/>
                  </w:tcBorders>
                  <w:vAlign w:val="center"/>
                </w:tcPr>
                <w:p w14:paraId="72A4B50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0.0025</w:t>
                  </w:r>
                </w:p>
              </w:tc>
            </w:tr>
            <w:tr w14:paraId="2EF2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49F6ECD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机油</w:t>
                  </w:r>
                </w:p>
              </w:tc>
              <w:tc>
                <w:tcPr>
                  <w:tcW w:w="903" w:type="pct"/>
                  <w:tcBorders>
                    <w:top w:val="single" w:color="auto" w:sz="4" w:space="0"/>
                    <w:left w:val="single" w:color="auto" w:sz="4" w:space="0"/>
                    <w:bottom w:val="single" w:color="auto" w:sz="4" w:space="0"/>
                    <w:right w:val="single" w:color="auto" w:sz="4" w:space="0"/>
                  </w:tcBorders>
                  <w:vAlign w:val="center"/>
                </w:tcPr>
                <w:p w14:paraId="24075B9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999" w:type="pct"/>
                  <w:tcBorders>
                    <w:top w:val="single" w:color="auto" w:sz="4" w:space="0"/>
                    <w:left w:val="single" w:color="auto" w:sz="4" w:space="0"/>
                    <w:bottom w:val="single" w:color="auto" w:sz="4" w:space="0"/>
                    <w:right w:val="single" w:color="auto" w:sz="4" w:space="0"/>
                  </w:tcBorders>
                  <w:vAlign w:val="center"/>
                </w:tcPr>
                <w:p w14:paraId="6DA5EBB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w:t>
                  </w:r>
                </w:p>
              </w:tc>
              <w:tc>
                <w:tcPr>
                  <w:tcW w:w="746" w:type="pct"/>
                  <w:tcBorders>
                    <w:top w:val="single" w:color="auto" w:sz="4" w:space="0"/>
                    <w:left w:val="single" w:color="auto" w:sz="4" w:space="0"/>
                    <w:bottom w:val="single" w:color="auto" w:sz="4" w:space="0"/>
                    <w:right w:val="single" w:color="auto" w:sz="4" w:space="0"/>
                  </w:tcBorders>
                  <w:vAlign w:val="center"/>
                </w:tcPr>
                <w:p w14:paraId="1166920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2500</w:t>
                  </w:r>
                </w:p>
              </w:tc>
              <w:tc>
                <w:tcPr>
                  <w:tcW w:w="961" w:type="pct"/>
                  <w:tcBorders>
                    <w:top w:val="single" w:color="auto" w:sz="4" w:space="0"/>
                    <w:left w:val="single" w:color="auto" w:sz="4" w:space="0"/>
                    <w:bottom w:val="single" w:color="auto" w:sz="4" w:space="0"/>
                    <w:right w:val="single" w:color="auto" w:sz="4" w:space="0"/>
                  </w:tcBorders>
                  <w:vAlign w:val="center"/>
                </w:tcPr>
                <w:p w14:paraId="6D2F689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0.00004</w:t>
                  </w:r>
                </w:p>
              </w:tc>
            </w:tr>
            <w:tr w14:paraId="6546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45CB566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废机油</w:t>
                  </w:r>
                </w:p>
              </w:tc>
              <w:tc>
                <w:tcPr>
                  <w:tcW w:w="903" w:type="pct"/>
                  <w:tcBorders>
                    <w:top w:val="single" w:color="auto" w:sz="4" w:space="0"/>
                    <w:left w:val="single" w:color="auto" w:sz="4" w:space="0"/>
                    <w:bottom w:val="single" w:color="auto" w:sz="4" w:space="0"/>
                    <w:right w:val="single" w:color="auto" w:sz="4" w:space="0"/>
                  </w:tcBorders>
                  <w:vAlign w:val="center"/>
                </w:tcPr>
                <w:p w14:paraId="2E94255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999" w:type="pct"/>
                  <w:tcBorders>
                    <w:top w:val="single" w:color="auto" w:sz="4" w:space="0"/>
                    <w:left w:val="single" w:color="auto" w:sz="4" w:space="0"/>
                    <w:bottom w:val="single" w:color="auto" w:sz="4" w:space="0"/>
                    <w:right w:val="single" w:color="auto" w:sz="4" w:space="0"/>
                  </w:tcBorders>
                  <w:vAlign w:val="center"/>
                </w:tcPr>
                <w:p w14:paraId="0724F52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w:t>
                  </w:r>
                </w:p>
              </w:tc>
              <w:tc>
                <w:tcPr>
                  <w:tcW w:w="746" w:type="pct"/>
                  <w:tcBorders>
                    <w:top w:val="single" w:color="auto" w:sz="4" w:space="0"/>
                    <w:left w:val="single" w:color="auto" w:sz="4" w:space="0"/>
                    <w:bottom w:val="single" w:color="auto" w:sz="4" w:space="0"/>
                    <w:right w:val="single" w:color="auto" w:sz="4" w:space="0"/>
                  </w:tcBorders>
                  <w:vAlign w:val="center"/>
                </w:tcPr>
                <w:p w14:paraId="56539BB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2500</w:t>
                  </w:r>
                </w:p>
              </w:tc>
              <w:tc>
                <w:tcPr>
                  <w:tcW w:w="961" w:type="pct"/>
                  <w:tcBorders>
                    <w:top w:val="single" w:color="auto" w:sz="4" w:space="0"/>
                    <w:left w:val="single" w:color="auto" w:sz="4" w:space="0"/>
                    <w:bottom w:val="single" w:color="auto" w:sz="4" w:space="0"/>
                    <w:right w:val="single" w:color="auto" w:sz="4" w:space="0"/>
                  </w:tcBorders>
                  <w:vAlign w:val="center"/>
                </w:tcPr>
                <w:p w14:paraId="43368EC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0.00004</w:t>
                  </w:r>
                </w:p>
              </w:tc>
            </w:tr>
            <w:tr w14:paraId="2D9A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0" w:type="pct"/>
                  <w:tcBorders>
                    <w:top w:val="single" w:color="auto" w:sz="4" w:space="0"/>
                    <w:left w:val="single" w:color="auto" w:sz="4" w:space="0"/>
                    <w:bottom w:val="single" w:color="auto" w:sz="4" w:space="0"/>
                    <w:right w:val="single" w:color="auto" w:sz="4" w:space="0"/>
                  </w:tcBorders>
                  <w:vAlign w:val="center"/>
                </w:tcPr>
                <w:p w14:paraId="3475928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合计</w:t>
                  </w:r>
                </w:p>
              </w:tc>
              <w:tc>
                <w:tcPr>
                  <w:tcW w:w="903" w:type="pct"/>
                  <w:tcBorders>
                    <w:top w:val="single" w:color="auto" w:sz="4" w:space="0"/>
                    <w:left w:val="single" w:color="auto" w:sz="4" w:space="0"/>
                    <w:bottom w:val="single" w:color="auto" w:sz="4" w:space="0"/>
                    <w:right w:val="single" w:color="auto" w:sz="4" w:space="0"/>
                  </w:tcBorders>
                  <w:vAlign w:val="center"/>
                </w:tcPr>
                <w:p w14:paraId="5528A01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999" w:type="pct"/>
                  <w:tcBorders>
                    <w:top w:val="single" w:color="auto" w:sz="4" w:space="0"/>
                    <w:left w:val="single" w:color="auto" w:sz="4" w:space="0"/>
                    <w:bottom w:val="single" w:color="auto" w:sz="4" w:space="0"/>
                    <w:right w:val="single" w:color="auto" w:sz="4" w:space="0"/>
                  </w:tcBorders>
                  <w:vAlign w:val="center"/>
                </w:tcPr>
                <w:p w14:paraId="72D6FA9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746" w:type="pct"/>
                  <w:tcBorders>
                    <w:top w:val="single" w:color="auto" w:sz="4" w:space="0"/>
                    <w:left w:val="single" w:color="auto" w:sz="4" w:space="0"/>
                    <w:bottom w:val="single" w:color="auto" w:sz="4" w:space="0"/>
                    <w:right w:val="single" w:color="auto" w:sz="4" w:space="0"/>
                  </w:tcBorders>
                  <w:vAlign w:val="center"/>
                </w:tcPr>
                <w:p w14:paraId="0936205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327975E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0.10584147</w:t>
                  </w:r>
                </w:p>
              </w:tc>
            </w:tr>
            <w:tr w14:paraId="2D0D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33FB0F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备注：未列举部分物质参照，临界量参照《建设项目环境风险评价技术导则》（HJ169-2018）</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表 B.2 其他危险物质临界量推荐值</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p>
              </w:tc>
            </w:tr>
          </w:tbl>
          <w:p w14:paraId="648DA16D">
            <w:pPr>
              <w:keepNext w:val="0"/>
              <w:keepLines w:val="0"/>
              <w:pageBreakBefore w:val="0"/>
              <w:widowControl w:val="0"/>
              <w:kinsoku/>
              <w:wordWrap w:val="0"/>
              <w:overflowPunct/>
              <w:topLinePunct/>
              <w:autoSpaceDE/>
              <w:autoSpaceDN/>
              <w:bidi w:val="0"/>
              <w:adjustRightInd/>
              <w:spacing w:line="360" w:lineRule="auto"/>
              <w:ind w:firstLine="512" w:firstLineChars="200"/>
              <w:rPr>
                <w:rFonts w:hint="default" w:ascii="Times New Roman" w:hAnsi="Times New Roman" w:eastAsia="宋体" w:cs="Times New Roman"/>
                <w:color w:val="000000" w:themeColor="text1"/>
                <w:spacing w:val="8"/>
                <w:sz w:val="24"/>
                <w:szCs w:val="24"/>
                <w14:textFill>
                  <w14:solidFill>
                    <w14:schemeClr w14:val="tx1"/>
                  </w14:solidFill>
                </w14:textFill>
              </w:rPr>
            </w:pPr>
            <w:r>
              <w:rPr>
                <w:rFonts w:hint="default" w:ascii="Times New Roman" w:hAnsi="Times New Roman" w:eastAsia="宋体" w:cs="Times New Roman"/>
                <w:color w:val="000000" w:themeColor="text1"/>
                <w:spacing w:val="8"/>
                <w:sz w:val="24"/>
                <w:szCs w:val="24"/>
                <w14:textFill>
                  <w14:solidFill>
                    <w14:schemeClr w14:val="tx1"/>
                  </w14:solidFill>
                </w14:textFill>
              </w:rPr>
              <w:t>根据以上分析可知，Q=</w:t>
            </w:r>
            <w:r>
              <w:rPr>
                <w:rFonts w:hint="eastAsia" w:cs="Times New Roman"/>
                <w:color w:val="000000" w:themeColor="text1"/>
                <w:spacing w:val="8"/>
                <w:sz w:val="24"/>
                <w:szCs w:val="24"/>
                <w:lang w:val="en-US" w:eastAsia="zh-CN"/>
                <w14:textFill>
                  <w14:solidFill>
                    <w14:schemeClr w14:val="tx1"/>
                  </w14:solidFill>
                </w14:textFill>
              </w:rPr>
              <w:t>0.10584147</w:t>
            </w:r>
            <w:r>
              <w:rPr>
                <w:rFonts w:hint="default" w:ascii="Times New Roman" w:hAnsi="Times New Roman" w:eastAsia="宋体" w:cs="Times New Roman"/>
                <w:color w:val="000000" w:themeColor="text1"/>
                <w:spacing w:val="8"/>
                <w:sz w:val="24"/>
                <w:szCs w:val="24"/>
                <w14:textFill>
                  <w14:solidFill>
                    <w14:schemeClr w14:val="tx1"/>
                  </w14:solidFill>
                </w14:textFill>
              </w:rPr>
              <w:t>＜1，可直接判断本项目环境风险潜势为</w:t>
            </w:r>
            <w:r>
              <w:rPr>
                <w:rFonts w:hint="default" w:ascii="Times New Roman" w:hAnsi="Times New Roman" w:eastAsia="宋体" w:cs="Times New Roman"/>
                <w:color w:val="000000" w:themeColor="text1"/>
                <w:spacing w:val="8"/>
                <w:sz w:val="24"/>
                <w:szCs w:val="24"/>
                <w14:textFill>
                  <w14:solidFill>
                    <w14:schemeClr w14:val="tx1"/>
                  </w14:solidFill>
                </w14:textFill>
              </w:rPr>
              <w:fldChar w:fldCharType="begin"/>
            </w:r>
            <w:r>
              <w:rPr>
                <w:rFonts w:hint="default" w:ascii="Times New Roman" w:hAnsi="Times New Roman" w:eastAsia="宋体" w:cs="Times New Roman"/>
                <w:color w:val="000000" w:themeColor="text1"/>
                <w:spacing w:val="8"/>
                <w:sz w:val="24"/>
                <w:szCs w:val="24"/>
                <w14:textFill>
                  <w14:solidFill>
                    <w14:schemeClr w14:val="tx1"/>
                  </w14:solidFill>
                </w14:textFill>
              </w:rPr>
              <w:instrText xml:space="preserve"> = 1 \* ROMAN </w:instrText>
            </w:r>
            <w:r>
              <w:rPr>
                <w:rFonts w:hint="default" w:ascii="Times New Roman" w:hAnsi="Times New Roman" w:eastAsia="宋体" w:cs="Times New Roman"/>
                <w:color w:val="000000" w:themeColor="text1"/>
                <w:spacing w:val="8"/>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pacing w:val="8"/>
                <w:sz w:val="24"/>
                <w:szCs w:val="24"/>
                <w14:textFill>
                  <w14:solidFill>
                    <w14:schemeClr w14:val="tx1"/>
                  </w14:solidFill>
                </w14:textFill>
              </w:rPr>
              <w:t>I</w:t>
            </w:r>
            <w:r>
              <w:rPr>
                <w:rFonts w:hint="default" w:ascii="Times New Roman" w:hAnsi="Times New Roman" w:eastAsia="宋体" w:cs="Times New Roman"/>
                <w:color w:val="000000" w:themeColor="text1"/>
                <w:spacing w:val="8"/>
                <w:sz w:val="24"/>
                <w:szCs w:val="24"/>
                <w14:textFill>
                  <w14:solidFill>
                    <w14:schemeClr w14:val="tx1"/>
                  </w14:solidFill>
                </w14:textFill>
              </w:rPr>
              <w:fldChar w:fldCharType="end"/>
            </w:r>
            <w:r>
              <w:rPr>
                <w:rFonts w:hint="default" w:ascii="Times New Roman" w:hAnsi="Times New Roman" w:eastAsia="宋体" w:cs="Times New Roman"/>
                <w:color w:val="000000" w:themeColor="text1"/>
                <w:spacing w:val="8"/>
                <w:sz w:val="24"/>
                <w:szCs w:val="24"/>
                <w14:textFill>
                  <w14:solidFill>
                    <w14:schemeClr w14:val="tx1"/>
                  </w14:solidFill>
                </w14:textFill>
              </w:rPr>
              <w:t>。根据</w:t>
            </w:r>
            <w:r>
              <w:rPr>
                <w:rFonts w:hint="default" w:ascii="Times New Roman" w:hAnsi="Times New Roman" w:eastAsia="宋体" w:cs="Times New Roman"/>
                <w:color w:val="000000" w:themeColor="text1"/>
                <w:spacing w:val="8"/>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8"/>
                <w:sz w:val="24"/>
                <w:szCs w:val="24"/>
                <w14:textFill>
                  <w14:solidFill>
                    <w14:schemeClr w14:val="tx1"/>
                  </w14:solidFill>
                </w14:textFill>
              </w:rPr>
              <w:t>建设项目环境风险评价技术导则》（HJ169-2018）附录C，当Q＜1时，项目环境风险潜势为Ⅰ。因此，本项目环境风险不设评价等级，仅进行简单分析。</w:t>
            </w:r>
          </w:p>
          <w:p w14:paraId="20B8A655">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kern w:val="24"/>
                <w:sz w:val="24"/>
                <w:lang w:eastAsia="zh-CN"/>
                <w14:textFill>
                  <w14:solidFill>
                    <w14:schemeClr w14:val="tx1"/>
                  </w14:solidFill>
                </w14:textFill>
              </w:rPr>
            </w:pPr>
            <w:r>
              <w:rPr>
                <w:rFonts w:hint="default" w:ascii="Times New Roman" w:hAnsi="Times New Roman" w:eastAsia="宋体" w:cs="Times New Roman"/>
                <w:b/>
                <w:bCs/>
                <w:color w:val="000000" w:themeColor="text1"/>
                <w:kern w:val="24"/>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24"/>
                <w:sz w:val="24"/>
                <w:lang w:eastAsia="zh-CN"/>
                <w14:textFill>
                  <w14:solidFill>
                    <w14:schemeClr w14:val="tx1"/>
                  </w14:solidFill>
                </w14:textFill>
              </w:rPr>
              <w:t>）重大危险源辨识</w:t>
            </w:r>
          </w:p>
          <w:p w14:paraId="5C1C009A">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kern w:val="24"/>
                <w:sz w:val="24"/>
                <w14:textFill>
                  <w14:solidFill>
                    <w14:schemeClr w14:val="tx1"/>
                  </w14:solidFill>
                </w14:textFill>
              </w:rPr>
            </w:pPr>
            <w:r>
              <w:rPr>
                <w:rFonts w:hint="default" w:ascii="Times New Roman" w:hAnsi="Times New Roman" w:eastAsia="宋体" w:cs="Times New Roman"/>
                <w:color w:val="000000" w:themeColor="text1"/>
                <w:kern w:val="24"/>
                <w:sz w:val="24"/>
                <w14:textFill>
                  <w14:solidFill>
                    <w14:schemeClr w14:val="tx1"/>
                  </w14:solidFill>
                </w14:textFill>
              </w:rPr>
              <w:t>对照</w:t>
            </w:r>
            <w:r>
              <w:rPr>
                <w:rFonts w:hint="default" w:ascii="Times New Roman" w:hAnsi="Times New Roman" w:eastAsia="宋体" w:cs="Times New Roman"/>
                <w:color w:val="000000" w:themeColor="text1"/>
                <w:kern w:val="24"/>
                <w:sz w:val="24"/>
                <w:lang w:eastAsia="zh-CN"/>
                <w14:textFill>
                  <w14:solidFill>
                    <w14:schemeClr w14:val="tx1"/>
                  </w14:solidFill>
                </w14:textFill>
              </w:rPr>
              <w:t>《</w:t>
            </w:r>
            <w:r>
              <w:rPr>
                <w:rFonts w:hint="default" w:ascii="Times New Roman" w:hAnsi="Times New Roman" w:eastAsia="宋体" w:cs="Times New Roman"/>
                <w:color w:val="000000" w:themeColor="text1"/>
                <w:kern w:val="24"/>
                <w:sz w:val="24"/>
                <w14:textFill>
                  <w14:solidFill>
                    <w14:schemeClr w14:val="tx1"/>
                  </w14:solidFill>
                </w14:textFill>
              </w:rPr>
              <w:t>危险化学品重大危险源辨识》（GB18218-2018），</w:t>
            </w:r>
            <w:r>
              <w:rPr>
                <w:rFonts w:hint="default" w:ascii="Times New Roman" w:hAnsi="Times New Roman" w:eastAsia="宋体" w:cs="Times New Roman"/>
                <w:color w:val="000000" w:themeColor="text1"/>
                <w:kern w:val="24"/>
                <w:sz w:val="24"/>
                <w:lang w:val="en-US" w:eastAsia="zh-CN"/>
                <w14:textFill>
                  <w14:solidFill>
                    <w14:schemeClr w14:val="tx1"/>
                  </w14:solidFill>
                </w14:textFill>
              </w:rPr>
              <w:t>在单元内达到和超过《危险化学品重大危险源辨识》（GB18218-2018）标准中的临界量时，将作为事故重大危险源。</w:t>
            </w:r>
          </w:p>
          <w:p w14:paraId="4384B6E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29</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重大危险源辨识</w:t>
            </w:r>
            <w:r>
              <w:rPr>
                <w:rFonts w:hint="default" w:ascii="Times New Roman" w:hAnsi="Times New Roman" w:eastAsia="宋体" w:cs="Times New Roman"/>
                <w:b/>
                <w:bCs/>
                <w:color w:val="000000" w:themeColor="text1"/>
                <w:sz w:val="21"/>
                <w:szCs w:val="21"/>
                <w14:textFill>
                  <w14:solidFill>
                    <w14:schemeClr w14:val="tx1"/>
                  </w14:solidFill>
                </w14:textFill>
              </w:rPr>
              <w:t>识别表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1773"/>
              <w:gridCol w:w="1458"/>
              <w:gridCol w:w="1179"/>
              <w:gridCol w:w="1479"/>
            </w:tblGrid>
            <w:tr w14:paraId="4FF6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2F42A5F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物质名称</w:t>
                  </w:r>
                </w:p>
              </w:tc>
              <w:tc>
                <w:tcPr>
                  <w:tcW w:w="1100" w:type="pct"/>
                  <w:tcBorders>
                    <w:top w:val="single" w:color="auto" w:sz="4" w:space="0"/>
                    <w:left w:val="single" w:color="auto" w:sz="4" w:space="0"/>
                    <w:bottom w:val="single" w:color="auto" w:sz="4" w:space="0"/>
                    <w:right w:val="single" w:color="auto" w:sz="4" w:space="0"/>
                  </w:tcBorders>
                  <w:vAlign w:val="center"/>
                </w:tcPr>
                <w:p w14:paraId="7CB638F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CAS号</w:t>
                  </w:r>
                </w:p>
              </w:tc>
              <w:tc>
                <w:tcPr>
                  <w:tcW w:w="904" w:type="pct"/>
                  <w:tcBorders>
                    <w:top w:val="single" w:color="auto" w:sz="4" w:space="0"/>
                    <w:left w:val="single" w:color="auto" w:sz="4" w:space="0"/>
                    <w:bottom w:val="single" w:color="auto" w:sz="4" w:space="0"/>
                    <w:right w:val="single" w:color="auto" w:sz="4" w:space="0"/>
                  </w:tcBorders>
                  <w:vAlign w:val="center"/>
                </w:tcPr>
                <w:p w14:paraId="4442398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最大存在量</w:t>
                  </w:r>
                </w:p>
              </w:tc>
              <w:tc>
                <w:tcPr>
                  <w:tcW w:w="731" w:type="pct"/>
                  <w:tcBorders>
                    <w:top w:val="single" w:color="auto" w:sz="4" w:space="0"/>
                    <w:left w:val="single" w:color="auto" w:sz="4" w:space="0"/>
                    <w:bottom w:val="single" w:color="auto" w:sz="4" w:space="0"/>
                    <w:right w:val="single" w:color="auto" w:sz="4" w:space="0"/>
                  </w:tcBorders>
                  <w:vAlign w:val="center"/>
                </w:tcPr>
                <w:p w14:paraId="5742748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临界量</w:t>
                  </w:r>
                </w:p>
              </w:tc>
              <w:tc>
                <w:tcPr>
                  <w:tcW w:w="916" w:type="pct"/>
                  <w:tcBorders>
                    <w:top w:val="single" w:color="auto" w:sz="4" w:space="0"/>
                    <w:left w:val="single" w:color="auto" w:sz="4" w:space="0"/>
                    <w:bottom w:val="single" w:color="auto" w:sz="4" w:space="0"/>
                    <w:right w:val="single" w:color="auto" w:sz="4" w:space="0"/>
                  </w:tcBorders>
                  <w:vAlign w:val="center"/>
                </w:tcPr>
                <w:p w14:paraId="71EA3DD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Si</w:t>
                  </w:r>
                </w:p>
              </w:tc>
            </w:tr>
            <w:tr w14:paraId="5E49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2CA00B2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天然气</w:t>
                  </w:r>
                </w:p>
              </w:tc>
              <w:tc>
                <w:tcPr>
                  <w:tcW w:w="1100" w:type="pct"/>
                  <w:tcBorders>
                    <w:top w:val="single" w:color="auto" w:sz="4" w:space="0"/>
                    <w:left w:val="single" w:color="auto" w:sz="4" w:space="0"/>
                    <w:bottom w:val="single" w:color="auto" w:sz="4" w:space="0"/>
                    <w:right w:val="single" w:color="auto" w:sz="4" w:space="0"/>
                  </w:tcBorders>
                  <w:vAlign w:val="center"/>
                </w:tcPr>
                <w:p w14:paraId="7C4BFFC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8006-14-2</w:t>
                  </w:r>
                </w:p>
              </w:tc>
              <w:tc>
                <w:tcPr>
                  <w:tcW w:w="904" w:type="pct"/>
                  <w:tcBorders>
                    <w:top w:val="single" w:color="auto" w:sz="4" w:space="0"/>
                    <w:left w:val="single" w:color="auto" w:sz="4" w:space="0"/>
                    <w:bottom w:val="single" w:color="auto" w:sz="4" w:space="0"/>
                    <w:right w:val="single" w:color="auto" w:sz="4" w:space="0"/>
                  </w:tcBorders>
                  <w:vAlign w:val="center"/>
                </w:tcPr>
                <w:p w14:paraId="5C34FA4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0.2161147</w:t>
                  </w:r>
                </w:p>
              </w:tc>
              <w:tc>
                <w:tcPr>
                  <w:tcW w:w="731" w:type="pct"/>
                  <w:tcBorders>
                    <w:top w:val="single" w:color="auto" w:sz="4" w:space="0"/>
                    <w:left w:val="single" w:color="auto" w:sz="4" w:space="0"/>
                    <w:bottom w:val="single" w:color="auto" w:sz="4" w:space="0"/>
                    <w:right w:val="single" w:color="auto" w:sz="4" w:space="0"/>
                  </w:tcBorders>
                  <w:vAlign w:val="center"/>
                </w:tcPr>
                <w:p w14:paraId="6DB5F80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916" w:type="pct"/>
                  <w:tcBorders>
                    <w:top w:val="single" w:color="auto" w:sz="4" w:space="0"/>
                    <w:left w:val="single" w:color="auto" w:sz="4" w:space="0"/>
                    <w:bottom w:val="single" w:color="auto" w:sz="4" w:space="0"/>
                    <w:right w:val="single" w:color="auto" w:sz="4" w:space="0"/>
                  </w:tcBorders>
                  <w:vAlign w:val="center"/>
                </w:tcPr>
                <w:p w14:paraId="41F0CA6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0.004322294</w:t>
                  </w:r>
                </w:p>
              </w:tc>
            </w:tr>
            <w:tr w14:paraId="3B48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33B445F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甲基环乙烷</w:t>
                  </w:r>
                </w:p>
              </w:tc>
              <w:tc>
                <w:tcPr>
                  <w:tcW w:w="1100" w:type="pct"/>
                  <w:tcBorders>
                    <w:top w:val="single" w:color="auto" w:sz="4" w:space="0"/>
                    <w:left w:val="single" w:color="auto" w:sz="4" w:space="0"/>
                    <w:bottom w:val="single" w:color="auto" w:sz="4" w:space="0"/>
                    <w:right w:val="single" w:color="auto" w:sz="4" w:space="0"/>
                  </w:tcBorders>
                  <w:vAlign w:val="center"/>
                </w:tcPr>
                <w:p w14:paraId="25B0C67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108-87-2</w:t>
                  </w:r>
                </w:p>
              </w:tc>
              <w:tc>
                <w:tcPr>
                  <w:tcW w:w="904" w:type="pct"/>
                  <w:tcBorders>
                    <w:top w:val="single" w:color="auto" w:sz="4" w:space="0"/>
                    <w:left w:val="single" w:color="auto" w:sz="4" w:space="0"/>
                    <w:bottom w:val="single" w:color="auto" w:sz="4" w:space="0"/>
                    <w:right w:val="single" w:color="auto" w:sz="4" w:space="0"/>
                  </w:tcBorders>
                  <w:vAlign w:val="center"/>
                </w:tcPr>
                <w:p w14:paraId="02D25BD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0.384</w:t>
                  </w:r>
                </w:p>
              </w:tc>
              <w:tc>
                <w:tcPr>
                  <w:tcW w:w="731" w:type="pct"/>
                  <w:tcBorders>
                    <w:top w:val="single" w:color="auto" w:sz="4" w:space="0"/>
                    <w:left w:val="single" w:color="auto" w:sz="4" w:space="0"/>
                    <w:bottom w:val="single" w:color="auto" w:sz="4" w:space="0"/>
                    <w:right w:val="single" w:color="auto" w:sz="4" w:space="0"/>
                  </w:tcBorders>
                  <w:vAlign w:val="center"/>
                </w:tcPr>
                <w:p w14:paraId="4A5F916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916" w:type="pct"/>
                  <w:tcBorders>
                    <w:top w:val="single" w:color="auto" w:sz="4" w:space="0"/>
                    <w:left w:val="single" w:color="auto" w:sz="4" w:space="0"/>
                    <w:bottom w:val="single" w:color="auto" w:sz="4" w:space="0"/>
                    <w:right w:val="single" w:color="auto" w:sz="4" w:space="0"/>
                  </w:tcBorders>
                  <w:vAlign w:val="center"/>
                </w:tcPr>
                <w:p w14:paraId="59CA7D7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0.00768</w:t>
                  </w:r>
                </w:p>
              </w:tc>
            </w:tr>
            <w:tr w14:paraId="5DD3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5CF77BA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乙酸丙酯</w:t>
                  </w:r>
                </w:p>
              </w:tc>
              <w:tc>
                <w:tcPr>
                  <w:tcW w:w="1100" w:type="pct"/>
                  <w:tcBorders>
                    <w:top w:val="single" w:color="auto" w:sz="4" w:space="0"/>
                    <w:left w:val="single" w:color="auto" w:sz="4" w:space="0"/>
                    <w:bottom w:val="single" w:color="auto" w:sz="4" w:space="0"/>
                    <w:right w:val="single" w:color="auto" w:sz="4" w:space="0"/>
                  </w:tcBorders>
                  <w:vAlign w:val="center"/>
                </w:tcPr>
                <w:p w14:paraId="010A790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108-94-1</w:t>
                  </w:r>
                </w:p>
              </w:tc>
              <w:tc>
                <w:tcPr>
                  <w:tcW w:w="904" w:type="pct"/>
                  <w:tcBorders>
                    <w:top w:val="single" w:color="auto" w:sz="4" w:space="0"/>
                    <w:left w:val="single" w:color="auto" w:sz="4" w:space="0"/>
                    <w:bottom w:val="single" w:color="auto" w:sz="4" w:space="0"/>
                    <w:right w:val="single" w:color="auto" w:sz="4" w:space="0"/>
                  </w:tcBorders>
                  <w:vAlign w:val="center"/>
                </w:tcPr>
                <w:p w14:paraId="5608F45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0.384</w:t>
                  </w:r>
                </w:p>
              </w:tc>
              <w:tc>
                <w:tcPr>
                  <w:tcW w:w="731" w:type="pct"/>
                  <w:tcBorders>
                    <w:top w:val="single" w:color="auto" w:sz="4" w:space="0"/>
                    <w:left w:val="single" w:color="auto" w:sz="4" w:space="0"/>
                    <w:bottom w:val="single" w:color="auto" w:sz="4" w:space="0"/>
                    <w:right w:val="single" w:color="auto" w:sz="4" w:space="0"/>
                  </w:tcBorders>
                  <w:vAlign w:val="center"/>
                </w:tcPr>
                <w:p w14:paraId="6AB74FB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916" w:type="pct"/>
                  <w:tcBorders>
                    <w:top w:val="single" w:color="auto" w:sz="4" w:space="0"/>
                    <w:left w:val="single" w:color="auto" w:sz="4" w:space="0"/>
                    <w:bottom w:val="single" w:color="auto" w:sz="4" w:space="0"/>
                    <w:right w:val="single" w:color="auto" w:sz="4" w:space="0"/>
                  </w:tcBorders>
                  <w:vAlign w:val="center"/>
                </w:tcPr>
                <w:p w14:paraId="07C4321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0.00768</w:t>
                  </w:r>
                </w:p>
              </w:tc>
            </w:tr>
            <w:tr w14:paraId="76A2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0B1C566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异丙醇</w:t>
                  </w:r>
                </w:p>
              </w:tc>
              <w:tc>
                <w:tcPr>
                  <w:tcW w:w="1100" w:type="pct"/>
                  <w:tcBorders>
                    <w:top w:val="single" w:color="auto" w:sz="4" w:space="0"/>
                    <w:left w:val="single" w:color="auto" w:sz="4" w:space="0"/>
                    <w:bottom w:val="single" w:color="auto" w:sz="4" w:space="0"/>
                    <w:right w:val="single" w:color="auto" w:sz="4" w:space="0"/>
                  </w:tcBorders>
                  <w:vAlign w:val="center"/>
                </w:tcPr>
                <w:p w14:paraId="79D8BE5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67-63-0</w:t>
                  </w:r>
                </w:p>
              </w:tc>
              <w:tc>
                <w:tcPr>
                  <w:tcW w:w="904" w:type="pct"/>
                  <w:tcBorders>
                    <w:top w:val="single" w:color="auto" w:sz="4" w:space="0"/>
                    <w:left w:val="single" w:color="auto" w:sz="4" w:space="0"/>
                    <w:bottom w:val="single" w:color="auto" w:sz="4" w:space="0"/>
                    <w:right w:val="single" w:color="auto" w:sz="4" w:space="0"/>
                  </w:tcBorders>
                  <w:vAlign w:val="center"/>
                </w:tcPr>
                <w:p w14:paraId="3DEFC39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0.0384</w:t>
                  </w:r>
                </w:p>
              </w:tc>
              <w:tc>
                <w:tcPr>
                  <w:tcW w:w="731" w:type="pct"/>
                  <w:tcBorders>
                    <w:top w:val="single" w:color="auto" w:sz="4" w:space="0"/>
                    <w:left w:val="single" w:color="auto" w:sz="4" w:space="0"/>
                    <w:bottom w:val="single" w:color="auto" w:sz="4" w:space="0"/>
                    <w:right w:val="single" w:color="auto" w:sz="4" w:space="0"/>
                  </w:tcBorders>
                  <w:vAlign w:val="center"/>
                </w:tcPr>
                <w:p w14:paraId="0439054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916" w:type="pct"/>
                  <w:tcBorders>
                    <w:top w:val="single" w:color="auto" w:sz="4" w:space="0"/>
                    <w:left w:val="single" w:color="auto" w:sz="4" w:space="0"/>
                    <w:bottom w:val="single" w:color="auto" w:sz="4" w:space="0"/>
                    <w:right w:val="single" w:color="auto" w:sz="4" w:space="0"/>
                  </w:tcBorders>
                  <w:vAlign w:val="center"/>
                </w:tcPr>
                <w:p w14:paraId="2B73527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0.000768</w:t>
                  </w:r>
                </w:p>
              </w:tc>
            </w:tr>
            <w:tr w14:paraId="14B8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1556F4D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乙酸乙酯</w:t>
                  </w:r>
                </w:p>
              </w:tc>
              <w:tc>
                <w:tcPr>
                  <w:tcW w:w="1100" w:type="pct"/>
                  <w:tcBorders>
                    <w:top w:val="single" w:color="auto" w:sz="4" w:space="0"/>
                    <w:left w:val="single" w:color="auto" w:sz="4" w:space="0"/>
                    <w:bottom w:val="single" w:color="auto" w:sz="4" w:space="0"/>
                    <w:right w:val="single" w:color="auto" w:sz="4" w:space="0"/>
                  </w:tcBorders>
                  <w:vAlign w:val="center"/>
                </w:tcPr>
                <w:p w14:paraId="216B826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141-78-6</w:t>
                  </w:r>
                </w:p>
              </w:tc>
              <w:tc>
                <w:tcPr>
                  <w:tcW w:w="904" w:type="pct"/>
                  <w:tcBorders>
                    <w:top w:val="single" w:color="auto" w:sz="4" w:space="0"/>
                    <w:left w:val="single" w:color="auto" w:sz="4" w:space="0"/>
                    <w:bottom w:val="single" w:color="auto" w:sz="4" w:space="0"/>
                    <w:right w:val="single" w:color="auto" w:sz="4" w:space="0"/>
                  </w:tcBorders>
                  <w:vAlign w:val="center"/>
                </w:tcPr>
                <w:p w14:paraId="6CB3713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0.48</w:t>
                  </w:r>
                </w:p>
              </w:tc>
              <w:tc>
                <w:tcPr>
                  <w:tcW w:w="731" w:type="pct"/>
                  <w:tcBorders>
                    <w:top w:val="single" w:color="auto" w:sz="4" w:space="0"/>
                    <w:left w:val="single" w:color="auto" w:sz="4" w:space="0"/>
                    <w:bottom w:val="single" w:color="auto" w:sz="4" w:space="0"/>
                    <w:right w:val="single" w:color="auto" w:sz="4" w:space="0"/>
                  </w:tcBorders>
                  <w:vAlign w:val="center"/>
                </w:tcPr>
                <w:p w14:paraId="6C2E280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500</w:t>
                  </w:r>
                </w:p>
              </w:tc>
              <w:tc>
                <w:tcPr>
                  <w:tcW w:w="916" w:type="pct"/>
                  <w:tcBorders>
                    <w:top w:val="single" w:color="auto" w:sz="4" w:space="0"/>
                    <w:left w:val="single" w:color="auto" w:sz="4" w:space="0"/>
                    <w:bottom w:val="single" w:color="auto" w:sz="4" w:space="0"/>
                    <w:right w:val="single" w:color="auto" w:sz="4" w:space="0"/>
                  </w:tcBorders>
                  <w:vAlign w:val="center"/>
                </w:tcPr>
                <w:p w14:paraId="4F20A4E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0.00096</w:t>
                  </w:r>
                </w:p>
              </w:tc>
            </w:tr>
            <w:tr w14:paraId="5D00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721358F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乙酸丁酯</w:t>
                  </w:r>
                </w:p>
              </w:tc>
              <w:tc>
                <w:tcPr>
                  <w:tcW w:w="1100" w:type="pct"/>
                  <w:tcBorders>
                    <w:top w:val="single" w:color="auto" w:sz="4" w:space="0"/>
                    <w:left w:val="single" w:color="auto" w:sz="4" w:space="0"/>
                    <w:bottom w:val="single" w:color="auto" w:sz="4" w:space="0"/>
                    <w:right w:val="single" w:color="auto" w:sz="4" w:space="0"/>
                  </w:tcBorders>
                  <w:vAlign w:val="center"/>
                </w:tcPr>
                <w:p w14:paraId="3FBC9FF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123-86-4</w:t>
                  </w:r>
                </w:p>
              </w:tc>
              <w:tc>
                <w:tcPr>
                  <w:tcW w:w="904" w:type="pct"/>
                  <w:tcBorders>
                    <w:top w:val="single" w:color="auto" w:sz="4" w:space="0"/>
                    <w:left w:val="single" w:color="auto" w:sz="4" w:space="0"/>
                    <w:bottom w:val="single" w:color="auto" w:sz="4" w:space="0"/>
                    <w:right w:val="single" w:color="auto" w:sz="4" w:space="0"/>
                  </w:tcBorders>
                  <w:vAlign w:val="center"/>
                </w:tcPr>
                <w:p w14:paraId="146DE4B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0.096</w:t>
                  </w:r>
                </w:p>
              </w:tc>
              <w:tc>
                <w:tcPr>
                  <w:tcW w:w="731" w:type="pct"/>
                  <w:tcBorders>
                    <w:top w:val="single" w:color="auto" w:sz="4" w:space="0"/>
                    <w:left w:val="single" w:color="auto" w:sz="4" w:space="0"/>
                    <w:bottom w:val="single" w:color="auto" w:sz="4" w:space="0"/>
                    <w:right w:val="single" w:color="auto" w:sz="4" w:space="0"/>
                  </w:tcBorders>
                  <w:vAlign w:val="center"/>
                </w:tcPr>
                <w:p w14:paraId="6CC8B50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916" w:type="pct"/>
                  <w:tcBorders>
                    <w:top w:val="single" w:color="auto" w:sz="4" w:space="0"/>
                    <w:left w:val="single" w:color="auto" w:sz="4" w:space="0"/>
                    <w:bottom w:val="single" w:color="auto" w:sz="4" w:space="0"/>
                    <w:right w:val="single" w:color="auto" w:sz="4" w:space="0"/>
                  </w:tcBorders>
                  <w:vAlign w:val="center"/>
                </w:tcPr>
                <w:p w14:paraId="124749F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0.00192</w:t>
                  </w:r>
                </w:p>
              </w:tc>
            </w:tr>
            <w:tr w14:paraId="5135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3A79A30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正丁醇</w:t>
                  </w:r>
                </w:p>
              </w:tc>
              <w:tc>
                <w:tcPr>
                  <w:tcW w:w="1100" w:type="pct"/>
                  <w:tcBorders>
                    <w:top w:val="single" w:color="auto" w:sz="4" w:space="0"/>
                    <w:left w:val="single" w:color="auto" w:sz="4" w:space="0"/>
                    <w:bottom w:val="single" w:color="auto" w:sz="4" w:space="0"/>
                    <w:right w:val="single" w:color="auto" w:sz="4" w:space="0"/>
                  </w:tcBorders>
                  <w:vAlign w:val="center"/>
                </w:tcPr>
                <w:p w14:paraId="732776E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71-36-3</w:t>
                  </w:r>
                </w:p>
              </w:tc>
              <w:tc>
                <w:tcPr>
                  <w:tcW w:w="904" w:type="pct"/>
                  <w:tcBorders>
                    <w:top w:val="single" w:color="auto" w:sz="4" w:space="0"/>
                    <w:left w:val="single" w:color="auto" w:sz="4" w:space="0"/>
                    <w:bottom w:val="single" w:color="auto" w:sz="4" w:space="0"/>
                    <w:right w:val="single" w:color="auto" w:sz="4" w:space="0"/>
                  </w:tcBorders>
                  <w:vAlign w:val="center"/>
                </w:tcPr>
                <w:p w14:paraId="1E3C3FB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0.0192</w:t>
                  </w:r>
                </w:p>
              </w:tc>
              <w:tc>
                <w:tcPr>
                  <w:tcW w:w="731" w:type="pct"/>
                  <w:tcBorders>
                    <w:top w:val="single" w:color="auto" w:sz="4" w:space="0"/>
                    <w:left w:val="single" w:color="auto" w:sz="4" w:space="0"/>
                    <w:bottom w:val="single" w:color="auto" w:sz="4" w:space="0"/>
                    <w:right w:val="single" w:color="auto" w:sz="4" w:space="0"/>
                  </w:tcBorders>
                  <w:vAlign w:val="center"/>
                </w:tcPr>
                <w:p w14:paraId="113F55F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916" w:type="pct"/>
                  <w:tcBorders>
                    <w:top w:val="single" w:color="auto" w:sz="4" w:space="0"/>
                    <w:left w:val="single" w:color="auto" w:sz="4" w:space="0"/>
                    <w:bottom w:val="single" w:color="auto" w:sz="4" w:space="0"/>
                    <w:right w:val="single" w:color="auto" w:sz="4" w:space="0"/>
                  </w:tcBorders>
                  <w:vAlign w:val="center"/>
                </w:tcPr>
                <w:p w14:paraId="7748C77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0.000384</w:t>
                  </w:r>
                </w:p>
              </w:tc>
            </w:tr>
            <w:tr w14:paraId="6F2B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527D709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无溶剂聚氨酯胶粘剂</w:t>
                  </w:r>
                </w:p>
              </w:tc>
              <w:tc>
                <w:tcPr>
                  <w:tcW w:w="1100" w:type="pct"/>
                  <w:tcBorders>
                    <w:top w:val="single" w:color="auto" w:sz="4" w:space="0"/>
                    <w:left w:val="single" w:color="auto" w:sz="4" w:space="0"/>
                    <w:bottom w:val="single" w:color="auto" w:sz="4" w:space="0"/>
                    <w:right w:val="single" w:color="auto" w:sz="4" w:space="0"/>
                  </w:tcBorders>
                  <w:vAlign w:val="center"/>
                </w:tcPr>
                <w:p w14:paraId="16AB90D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904" w:type="pct"/>
                  <w:tcBorders>
                    <w:top w:val="single" w:color="auto" w:sz="4" w:space="0"/>
                    <w:left w:val="single" w:color="auto" w:sz="4" w:space="0"/>
                    <w:bottom w:val="single" w:color="auto" w:sz="4" w:space="0"/>
                    <w:right w:val="single" w:color="auto" w:sz="4" w:space="0"/>
                  </w:tcBorders>
                  <w:vAlign w:val="center"/>
                </w:tcPr>
                <w:p w14:paraId="1E113AC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0.5305</w:t>
                  </w:r>
                </w:p>
              </w:tc>
              <w:tc>
                <w:tcPr>
                  <w:tcW w:w="731" w:type="pct"/>
                  <w:tcBorders>
                    <w:top w:val="single" w:color="auto" w:sz="4" w:space="0"/>
                    <w:left w:val="single" w:color="auto" w:sz="4" w:space="0"/>
                    <w:bottom w:val="single" w:color="auto" w:sz="4" w:space="0"/>
                    <w:right w:val="single" w:color="auto" w:sz="4" w:space="0"/>
                  </w:tcBorders>
                  <w:vAlign w:val="center"/>
                </w:tcPr>
                <w:p w14:paraId="1490262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916" w:type="pct"/>
                  <w:tcBorders>
                    <w:top w:val="single" w:color="auto" w:sz="4" w:space="0"/>
                    <w:left w:val="single" w:color="auto" w:sz="4" w:space="0"/>
                    <w:bottom w:val="single" w:color="auto" w:sz="4" w:space="0"/>
                    <w:right w:val="single" w:color="auto" w:sz="4" w:space="0"/>
                  </w:tcBorders>
                  <w:vAlign w:val="center"/>
                </w:tcPr>
                <w:p w14:paraId="19BFEDA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0.01061</w:t>
                  </w:r>
                </w:p>
              </w:tc>
            </w:tr>
            <w:tr w14:paraId="0BFE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64A5693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油墨清洗剂</w:t>
                  </w:r>
                </w:p>
              </w:tc>
              <w:tc>
                <w:tcPr>
                  <w:tcW w:w="1100" w:type="pct"/>
                  <w:tcBorders>
                    <w:top w:val="single" w:color="auto" w:sz="4" w:space="0"/>
                    <w:left w:val="single" w:color="auto" w:sz="4" w:space="0"/>
                    <w:bottom w:val="single" w:color="auto" w:sz="4" w:space="0"/>
                    <w:right w:val="single" w:color="auto" w:sz="4" w:space="0"/>
                  </w:tcBorders>
                  <w:vAlign w:val="center"/>
                </w:tcPr>
                <w:p w14:paraId="7ED82DE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904" w:type="pct"/>
                  <w:tcBorders>
                    <w:top w:val="single" w:color="auto" w:sz="4" w:space="0"/>
                    <w:left w:val="single" w:color="auto" w:sz="4" w:space="0"/>
                    <w:bottom w:val="single" w:color="auto" w:sz="4" w:space="0"/>
                    <w:right w:val="single" w:color="auto" w:sz="4" w:space="0"/>
                  </w:tcBorders>
                  <w:vAlign w:val="center"/>
                </w:tcPr>
                <w:p w14:paraId="3B51719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0.25</w:t>
                  </w:r>
                </w:p>
              </w:tc>
              <w:tc>
                <w:tcPr>
                  <w:tcW w:w="731" w:type="pct"/>
                  <w:tcBorders>
                    <w:top w:val="single" w:color="auto" w:sz="4" w:space="0"/>
                    <w:left w:val="single" w:color="auto" w:sz="4" w:space="0"/>
                    <w:bottom w:val="single" w:color="auto" w:sz="4" w:space="0"/>
                    <w:right w:val="single" w:color="auto" w:sz="4" w:space="0"/>
                  </w:tcBorders>
                  <w:vAlign w:val="center"/>
                </w:tcPr>
                <w:p w14:paraId="6AEBEFE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916" w:type="pct"/>
                  <w:tcBorders>
                    <w:top w:val="single" w:color="auto" w:sz="4" w:space="0"/>
                    <w:left w:val="single" w:color="auto" w:sz="4" w:space="0"/>
                    <w:bottom w:val="single" w:color="auto" w:sz="4" w:space="0"/>
                    <w:right w:val="single" w:color="auto" w:sz="4" w:space="0"/>
                  </w:tcBorders>
                  <w:vAlign w:val="center"/>
                </w:tcPr>
                <w:p w14:paraId="6334F39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0.0025</w:t>
                  </w:r>
                </w:p>
              </w:tc>
            </w:tr>
            <w:tr w14:paraId="434C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5B286D1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机油</w:t>
                  </w:r>
                </w:p>
              </w:tc>
              <w:tc>
                <w:tcPr>
                  <w:tcW w:w="1100" w:type="pct"/>
                  <w:tcBorders>
                    <w:top w:val="single" w:color="auto" w:sz="4" w:space="0"/>
                    <w:left w:val="single" w:color="auto" w:sz="4" w:space="0"/>
                    <w:bottom w:val="single" w:color="auto" w:sz="4" w:space="0"/>
                    <w:right w:val="single" w:color="auto" w:sz="4" w:space="0"/>
                  </w:tcBorders>
                  <w:vAlign w:val="center"/>
                </w:tcPr>
                <w:p w14:paraId="1ABA786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904" w:type="pct"/>
                  <w:tcBorders>
                    <w:top w:val="single" w:color="auto" w:sz="4" w:space="0"/>
                    <w:left w:val="single" w:color="auto" w:sz="4" w:space="0"/>
                    <w:bottom w:val="single" w:color="auto" w:sz="4" w:space="0"/>
                    <w:right w:val="single" w:color="auto" w:sz="4" w:space="0"/>
                  </w:tcBorders>
                  <w:vAlign w:val="center"/>
                </w:tcPr>
                <w:p w14:paraId="1E95166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p>
              </w:tc>
              <w:tc>
                <w:tcPr>
                  <w:tcW w:w="731" w:type="pct"/>
                  <w:tcBorders>
                    <w:top w:val="single" w:color="auto" w:sz="4" w:space="0"/>
                    <w:left w:val="single" w:color="auto" w:sz="4" w:space="0"/>
                    <w:bottom w:val="single" w:color="auto" w:sz="4" w:space="0"/>
                    <w:right w:val="single" w:color="auto" w:sz="4" w:space="0"/>
                  </w:tcBorders>
                  <w:vAlign w:val="center"/>
                </w:tcPr>
                <w:p w14:paraId="6102E47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5000</w:t>
                  </w:r>
                </w:p>
              </w:tc>
              <w:tc>
                <w:tcPr>
                  <w:tcW w:w="916" w:type="pct"/>
                  <w:tcBorders>
                    <w:top w:val="single" w:color="auto" w:sz="4" w:space="0"/>
                    <w:left w:val="single" w:color="auto" w:sz="4" w:space="0"/>
                    <w:bottom w:val="single" w:color="auto" w:sz="4" w:space="0"/>
                    <w:right w:val="single" w:color="auto" w:sz="4" w:space="0"/>
                  </w:tcBorders>
                  <w:vAlign w:val="center"/>
                </w:tcPr>
                <w:p w14:paraId="364DC53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0.00002</w:t>
                  </w:r>
                </w:p>
              </w:tc>
            </w:tr>
            <w:tr w14:paraId="5CB5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2D5D427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废机油</w:t>
                  </w:r>
                </w:p>
              </w:tc>
              <w:tc>
                <w:tcPr>
                  <w:tcW w:w="1100" w:type="pct"/>
                  <w:tcBorders>
                    <w:top w:val="single" w:color="auto" w:sz="4" w:space="0"/>
                    <w:left w:val="single" w:color="auto" w:sz="4" w:space="0"/>
                    <w:bottom w:val="single" w:color="auto" w:sz="4" w:space="0"/>
                    <w:right w:val="single" w:color="auto" w:sz="4" w:space="0"/>
                  </w:tcBorders>
                  <w:vAlign w:val="center"/>
                </w:tcPr>
                <w:p w14:paraId="5B946C9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904" w:type="pct"/>
                  <w:tcBorders>
                    <w:top w:val="single" w:color="auto" w:sz="4" w:space="0"/>
                    <w:left w:val="single" w:color="auto" w:sz="4" w:space="0"/>
                    <w:bottom w:val="single" w:color="auto" w:sz="4" w:space="0"/>
                    <w:right w:val="single" w:color="auto" w:sz="4" w:space="0"/>
                  </w:tcBorders>
                  <w:vAlign w:val="center"/>
                </w:tcPr>
                <w:p w14:paraId="6C95A67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p>
              </w:tc>
              <w:tc>
                <w:tcPr>
                  <w:tcW w:w="731" w:type="pct"/>
                  <w:tcBorders>
                    <w:top w:val="single" w:color="auto" w:sz="4" w:space="0"/>
                    <w:left w:val="single" w:color="auto" w:sz="4" w:space="0"/>
                    <w:bottom w:val="single" w:color="auto" w:sz="4" w:space="0"/>
                    <w:right w:val="single" w:color="auto" w:sz="4" w:space="0"/>
                  </w:tcBorders>
                  <w:vAlign w:val="center"/>
                </w:tcPr>
                <w:p w14:paraId="1A72FAE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5000</w:t>
                  </w:r>
                </w:p>
              </w:tc>
              <w:tc>
                <w:tcPr>
                  <w:tcW w:w="916" w:type="pct"/>
                  <w:tcBorders>
                    <w:top w:val="single" w:color="auto" w:sz="4" w:space="0"/>
                    <w:left w:val="single" w:color="auto" w:sz="4" w:space="0"/>
                    <w:bottom w:val="single" w:color="auto" w:sz="4" w:space="0"/>
                    <w:right w:val="single" w:color="auto" w:sz="4" w:space="0"/>
                  </w:tcBorders>
                  <w:vAlign w:val="center"/>
                </w:tcPr>
                <w:p w14:paraId="26A534A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0.00002</w:t>
                  </w:r>
                </w:p>
              </w:tc>
            </w:tr>
            <w:tr w14:paraId="4338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8" w:type="pct"/>
                  <w:tcBorders>
                    <w:top w:val="single" w:color="auto" w:sz="4" w:space="0"/>
                    <w:left w:val="single" w:color="auto" w:sz="4" w:space="0"/>
                    <w:bottom w:val="single" w:color="auto" w:sz="4" w:space="0"/>
                    <w:right w:val="single" w:color="auto" w:sz="4" w:space="0"/>
                  </w:tcBorders>
                  <w:vAlign w:val="center"/>
                </w:tcPr>
                <w:p w14:paraId="5821559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合计</w:t>
                  </w:r>
                </w:p>
              </w:tc>
              <w:tc>
                <w:tcPr>
                  <w:tcW w:w="1100" w:type="pct"/>
                  <w:tcBorders>
                    <w:top w:val="single" w:color="auto" w:sz="4" w:space="0"/>
                    <w:left w:val="single" w:color="auto" w:sz="4" w:space="0"/>
                    <w:bottom w:val="single" w:color="auto" w:sz="4" w:space="0"/>
                    <w:right w:val="single" w:color="auto" w:sz="4" w:space="0"/>
                  </w:tcBorders>
                  <w:vAlign w:val="center"/>
                </w:tcPr>
                <w:p w14:paraId="5437193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904" w:type="pct"/>
                  <w:tcBorders>
                    <w:top w:val="single" w:color="auto" w:sz="4" w:space="0"/>
                    <w:left w:val="single" w:color="auto" w:sz="4" w:space="0"/>
                    <w:bottom w:val="single" w:color="auto" w:sz="4" w:space="0"/>
                    <w:right w:val="single" w:color="auto" w:sz="4" w:space="0"/>
                  </w:tcBorders>
                  <w:vAlign w:val="center"/>
                </w:tcPr>
                <w:p w14:paraId="72E45DE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731" w:type="pct"/>
                  <w:tcBorders>
                    <w:top w:val="single" w:color="auto" w:sz="4" w:space="0"/>
                    <w:left w:val="single" w:color="auto" w:sz="4" w:space="0"/>
                    <w:bottom w:val="single" w:color="auto" w:sz="4" w:space="0"/>
                    <w:right w:val="single" w:color="auto" w:sz="4" w:space="0"/>
                  </w:tcBorders>
                  <w:vAlign w:val="center"/>
                </w:tcPr>
                <w:p w14:paraId="5E19C56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14:paraId="7B5A948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0.036864294</w:t>
                  </w:r>
                </w:p>
              </w:tc>
            </w:tr>
            <w:tr w14:paraId="4D4B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236A61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备注：</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未列举部分物质参照，临界量参照《危险化学品重大危险源辨识》（GB18218-2018）中</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未在表1中列举的危险化学品类别及其临界量</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r>
          </w:tbl>
          <w:p w14:paraId="25FDD324">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危险化学品重大危险源辨识》（G</w:t>
            </w:r>
            <w:r>
              <w:rPr>
                <w:rFonts w:hint="default" w:ascii="Times New Roman" w:hAnsi="Times New Roman" w:eastAsia="宋体" w:cs="Times New Roman"/>
                <w:color w:val="000000" w:themeColor="text1"/>
                <w:sz w:val="24"/>
                <w:lang w:val="en-US" w:eastAsia="zh-CN"/>
                <w14:textFill>
                  <w14:solidFill>
                    <w14:schemeClr w14:val="tx1"/>
                  </w14:solidFill>
                </w14:textFill>
              </w:rPr>
              <w:t>B18218-2018），s1/S1+s2/S2+......sn/Sn≥1则定为重大风险源，经计算本项目S值=</w:t>
            </w:r>
            <w:r>
              <w:rPr>
                <w:rFonts w:hint="eastAsia" w:cs="Times New Roman"/>
                <w:color w:val="000000" w:themeColor="text1"/>
                <w:sz w:val="24"/>
                <w:lang w:val="en-US" w:eastAsia="zh-CN"/>
                <w14:textFill>
                  <w14:solidFill>
                    <w14:schemeClr w14:val="tx1"/>
                  </w14:solidFill>
                </w14:textFill>
              </w:rPr>
              <w:t>0.036864294</w:t>
            </w:r>
            <w:r>
              <w:rPr>
                <w:rFonts w:hint="default" w:ascii="Times New Roman" w:hAnsi="Times New Roman" w:eastAsia="宋体" w:cs="Times New Roman"/>
                <w:color w:val="000000" w:themeColor="text1"/>
                <w:sz w:val="24"/>
                <w:lang w:val="en-US" w:eastAsia="zh-CN"/>
                <w14:textFill>
                  <w14:solidFill>
                    <w14:schemeClr w14:val="tx1"/>
                  </w14:solidFill>
                </w14:textFill>
              </w:rPr>
              <w:t>＜1。</w:t>
            </w:r>
          </w:p>
          <w:p w14:paraId="428E325B">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因此，本</w:t>
            </w:r>
            <w:r>
              <w:rPr>
                <w:rFonts w:hint="default" w:ascii="Times New Roman" w:hAnsi="Times New Roman" w:eastAsia="宋体" w:cs="Times New Roman"/>
                <w:color w:val="000000" w:themeColor="text1"/>
                <w:sz w:val="24"/>
                <w:lang w:eastAsia="zh-CN"/>
                <w14:textFill>
                  <w14:solidFill>
                    <w14:schemeClr w14:val="tx1"/>
                  </w14:solidFill>
                </w14:textFill>
              </w:rPr>
              <w:t>项目</w:t>
            </w:r>
            <w:r>
              <w:rPr>
                <w:rFonts w:hint="default" w:ascii="Times New Roman" w:hAnsi="Times New Roman" w:eastAsia="宋体" w:cs="Times New Roman"/>
                <w:color w:val="000000" w:themeColor="text1"/>
                <w:sz w:val="24"/>
                <w14:textFill>
                  <w14:solidFill>
                    <w14:schemeClr w14:val="tx1"/>
                  </w14:solidFill>
                </w14:textFill>
              </w:rPr>
              <w:t>不涉及重大危险源</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46995537">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（4）风险事故影响分析</w:t>
            </w:r>
          </w:p>
          <w:p w14:paraId="4B4EBB9C">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1）泄漏事故影响分析</w:t>
            </w:r>
          </w:p>
          <w:p w14:paraId="1E1D3345">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若油墨、胶水、稀释剂、危险废物发生泄漏，</w:t>
            </w:r>
            <w:r>
              <w:rPr>
                <w:rFonts w:hint="default" w:ascii="Times New Roman" w:hAnsi="Times New Roman" w:eastAsia="宋体" w:cs="Times New Roman"/>
                <w:color w:val="000000" w:themeColor="text1"/>
                <w:sz w:val="24"/>
                <w:lang w:eastAsia="zh-CN"/>
                <w14:textFill>
                  <w14:solidFill>
                    <w14:schemeClr w14:val="tx1"/>
                  </w14:solidFill>
                </w14:textFill>
              </w:rPr>
              <w:t>泄漏后在河道内难以降解，产生严重的刺鼻气味，且由于有机烃类物质难溶于水，大部分上浮在水层表面，形成一层油膜使空气与水隔离，造成水中溶解氧浓度降低，逐渐形成死水，致使水中生物死亡，对地表水、水生态环境造成极大影响，对生态环境造成严重不利的影响。</w:t>
            </w:r>
          </w:p>
          <w:p w14:paraId="0BA7389C">
            <w:pPr>
              <w:keepNext w:val="0"/>
              <w:keepLines w:val="0"/>
              <w:pageBreakBefore w:val="0"/>
              <w:widowControl w:val="0"/>
              <w:kinsoku/>
              <w:wordWrap w:val="0"/>
              <w:overflowPunct/>
              <w:topLinePunct/>
              <w:autoSpaceDE/>
              <w:autoSpaceDN/>
              <w:bidi w:val="0"/>
              <w:adjustRightInd/>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天然气为易燃物质，考虑最不利情况，厂区天然气泄漏遇明火发生火灾事故，致使可燃物燃烧从而导致火灾事故，严重时可能产生爆炸事故，火灾产生的燃烧废气会对周边大气环境造成影响。</w:t>
            </w:r>
          </w:p>
          <w:p w14:paraId="44744BFC">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公司溶剂间、危废暂存间内地面硬化，地面涂刷环氧树脂进行防渗处理，设置有专用的密闭收集容器收集，加挂门锁，安排专人管理，并粘贴标识标牌，泄漏后及时收集，泄漏发生在可控制范围内；</w:t>
            </w:r>
            <w:r>
              <w:rPr>
                <w:rFonts w:hint="default" w:ascii="Times New Roman" w:hAnsi="Times New Roman" w:eastAsia="宋体" w:cs="Times New Roman"/>
                <w:color w:val="000000" w:themeColor="text1"/>
                <w:sz w:val="24"/>
                <w14:textFill>
                  <w14:solidFill>
                    <w14:schemeClr w14:val="tx1"/>
                  </w14:solidFill>
                </w14:textFill>
              </w:rPr>
              <w:t>由于</w:t>
            </w:r>
            <w:r>
              <w:rPr>
                <w:rFonts w:hint="default" w:ascii="Times New Roman" w:hAnsi="Times New Roman" w:eastAsia="宋体" w:cs="Times New Roman"/>
                <w:color w:val="000000" w:themeColor="text1"/>
                <w:sz w:val="24"/>
                <w:lang w:eastAsia="zh-CN"/>
                <w14:textFill>
                  <w14:solidFill>
                    <w14:schemeClr w14:val="tx1"/>
                  </w14:solidFill>
                </w14:textFill>
              </w:rPr>
              <w:t>溶剂、危险废物均</w:t>
            </w:r>
            <w:r>
              <w:rPr>
                <w:rFonts w:hint="default" w:ascii="Times New Roman" w:hAnsi="Times New Roman" w:eastAsia="宋体" w:cs="Times New Roman"/>
                <w:color w:val="000000" w:themeColor="text1"/>
                <w:sz w:val="24"/>
                <w14:textFill>
                  <w14:solidFill>
                    <w14:schemeClr w14:val="tx1"/>
                  </w14:solidFill>
                </w14:textFill>
              </w:rPr>
              <w:t>储存量较小，厂内设有规范的收集设施，均可做到安全运行，泄漏的可能性较小。</w:t>
            </w:r>
            <w:r>
              <w:rPr>
                <w:rFonts w:hint="default" w:ascii="Times New Roman" w:hAnsi="Times New Roman" w:eastAsia="宋体" w:cs="Times New Roman"/>
                <w:color w:val="000000" w:themeColor="text1"/>
                <w:sz w:val="24"/>
                <w:lang w:val="en-US" w:eastAsia="zh-CN"/>
                <w14:textFill>
                  <w14:solidFill>
                    <w14:schemeClr w14:val="tx1"/>
                  </w14:solidFill>
                </w14:textFill>
              </w:rPr>
              <w:t>故不会造成较大突发环境事件。</w:t>
            </w:r>
          </w:p>
          <w:p w14:paraId="1CD7CA2A">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2）火灾事故二次污染影响分析</w:t>
            </w:r>
          </w:p>
          <w:p w14:paraId="57D99F61">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eastAsia="zh-CN"/>
                <w14:textFill>
                  <w14:solidFill>
                    <w14:schemeClr w14:val="tx1"/>
                  </w14:solidFill>
                </w14:textFill>
              </w:rPr>
              <w:t>厂区</w:t>
            </w:r>
            <w:r>
              <w:rPr>
                <w:rFonts w:hint="default" w:ascii="Times New Roman" w:hAnsi="Times New Roman" w:eastAsia="宋体" w:cs="Times New Roman"/>
                <w:color w:val="000000" w:themeColor="text1"/>
                <w:sz w:val="24"/>
                <w14:textFill>
                  <w14:solidFill>
                    <w14:schemeClr w14:val="tx1"/>
                  </w14:solidFill>
                </w14:textFill>
              </w:rPr>
              <w:t>可燃物质，遇火后造成火灾，首先会对周围人群、建筑物及财产造成一定影响；其次，一旦发生火灾事故，完全燃烧的产物是CO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和H</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O，不完全燃烧的产物有一氧化碳等气体，CO有毒性，将对环境空气造成伴生污染；堵漏过程中可能使用的大量拦截、堵漏材料，掺杂一定的物料，若事故排放后随意丢弃、排放，将对环境产生二次污染。</w:t>
            </w:r>
          </w:p>
          <w:p w14:paraId="3FAC9C4A">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3）废气处理设施失效、事故燃爆的影响分析</w:t>
            </w:r>
          </w:p>
          <w:p w14:paraId="3A357AA5">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废气事故排放主要为企业突然停电、管理操作人员的疏忽和失职等原因导致废气处理设置停止工作，导致大气污染物为无组织排放。另外，项目废气处理设施出现故障完全失效，但抽气系统可以正常运行，废气通过排气筒直接向外环境排放。污染物排放速率和排放浓度会超过排放标准值。事故排放对周边大气环境影响较大。</w:t>
            </w:r>
          </w:p>
          <w:p w14:paraId="2F77CA7B">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RTO蓄热燃烧设备如果出现运行异常或控制系统失效，可能导致燃烧反应失控，产生高温、爆炸等不安全情况。事故状态下未完全燃烧的危险物质在高温下迅速挥发释放至大气，燃烧物质燃烧过程中则同时产生伴生和次生物质，如CO。将造成次生环境污染，影响周边敏感目标。</w:t>
            </w:r>
          </w:p>
          <w:p w14:paraId="091719BD">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（5）风险防范措施</w:t>
            </w:r>
          </w:p>
          <w:p w14:paraId="3073D6B1">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把风险事故的发生和影响降到最低限度，针对项目的生产特点，特别应注意以下几点：加强职工安全环保教育，增强操作工人的责任心，防止和减少因人为因素造成的事故，同时也要加强防火安全教育；应配备必需的消防设施，落实安全管理责任。</w:t>
            </w:r>
          </w:p>
          <w:p w14:paraId="1F5DF978">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w:t>
            </w:r>
            <w:r>
              <w:rPr>
                <w:rFonts w:hint="default" w:ascii="Times New Roman" w:hAnsi="Times New Roman" w:eastAsia="宋体" w:cs="Times New Roman"/>
                <w:b/>
                <w:bCs/>
                <w:color w:val="000000" w:themeColor="text1"/>
                <w:kern w:val="0"/>
                <w:sz w:val="24"/>
                <w14:textFill>
                  <w14:solidFill>
                    <w14:schemeClr w14:val="tx1"/>
                  </w14:solidFill>
                </w14:textFill>
              </w:rPr>
              <w:t>泄漏事故风险防范措施</w:t>
            </w:r>
          </w:p>
          <w:p w14:paraId="520CF889">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lang w:eastAsia="zh-CN"/>
                <w14:textFill>
                  <w14:solidFill>
                    <w14:schemeClr w14:val="tx1"/>
                  </w14:solidFill>
                </w14:textFill>
              </w:rPr>
              <w:t>建设</w:t>
            </w:r>
            <w:r>
              <w:rPr>
                <w:rFonts w:hint="default" w:ascii="Times New Roman" w:hAnsi="Times New Roman" w:eastAsia="宋体" w:cs="Times New Roman"/>
                <w:color w:val="000000" w:themeColor="text1"/>
                <w:sz w:val="24"/>
                <w14:textFill>
                  <w14:solidFill>
                    <w14:schemeClr w14:val="tx1"/>
                  </w14:solidFill>
                </w14:textFill>
              </w:rPr>
              <w:t>1间面积为</w:t>
            </w:r>
            <w:r>
              <w:rPr>
                <w:rFonts w:hint="default" w:ascii="Times New Roman" w:hAnsi="Times New Roman" w:eastAsia="宋体" w:cs="Times New Roman"/>
                <w:color w:val="000000" w:themeColor="text1"/>
                <w:kern w:val="0"/>
                <w:sz w:val="24"/>
                <w:lang w:bidi="ar"/>
                <w14:textFill>
                  <w14:solidFill>
                    <w14:schemeClr w14:val="tx1"/>
                  </w14:solidFill>
                </w14:textFill>
              </w:rPr>
              <w:t>5m</w:t>
            </w:r>
            <w:r>
              <w:rPr>
                <w:rFonts w:hint="default"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hint="default" w:ascii="Times New Roman" w:hAnsi="Times New Roman" w:eastAsia="宋体" w:cs="Times New Roman"/>
                <w:color w:val="000000" w:themeColor="text1"/>
                <w:kern w:val="0"/>
                <w:sz w:val="24"/>
                <w:lang w:bidi="ar"/>
                <w14:textFill>
                  <w14:solidFill>
                    <w14:schemeClr w14:val="tx1"/>
                  </w14:solidFill>
                </w14:textFill>
              </w:rPr>
              <w:t>危废暂存间，该危废暂存间设置密闭收集容器，</w:t>
            </w:r>
            <w:r>
              <w:rPr>
                <w:rFonts w:hint="default" w:ascii="Times New Roman" w:hAnsi="Times New Roman" w:eastAsia="宋体" w:cs="Times New Roman"/>
                <w:color w:val="000000" w:themeColor="text1"/>
                <w:sz w:val="24"/>
                <w14:textFill>
                  <w14:solidFill>
                    <w14:schemeClr w14:val="tx1"/>
                  </w14:solidFill>
                </w14:textFill>
              </w:rPr>
              <w:t>并采取了必要的</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三防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等措施，并按</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危险废物贮存污染控制标准》（GB18597-2023）的相关要求建设，危险废物经分类收集后统一暂存于危废暂存间，</w:t>
            </w:r>
            <w:r>
              <w:rPr>
                <w:rFonts w:hint="default" w:ascii="Times New Roman" w:hAnsi="Times New Roman" w:eastAsia="宋体" w:cs="Times New Roman"/>
                <w:bCs/>
                <w:color w:val="000000" w:themeColor="text1"/>
                <w:sz w:val="24"/>
                <w14:textFill>
                  <w14:solidFill>
                    <w14:schemeClr w14:val="tx1"/>
                  </w14:solidFill>
                </w14:textFill>
              </w:rPr>
              <w:t>严禁随意堆放、处置。</w:t>
            </w:r>
            <w:r>
              <w:rPr>
                <w:rFonts w:hint="default" w:ascii="Times New Roman" w:hAnsi="Times New Roman" w:eastAsia="宋体" w:cs="Times New Roman"/>
                <w:color w:val="000000" w:themeColor="text1"/>
                <w:sz w:val="24"/>
                <w14:textFill>
                  <w14:solidFill>
                    <w14:schemeClr w14:val="tx1"/>
                  </w14:solidFill>
                </w14:textFill>
              </w:rPr>
              <w:t>危险废物及时交由有资质的公司进行回收处置，禁止在项目内大量堆存。</w:t>
            </w:r>
          </w:p>
          <w:p w14:paraId="1024F3BB">
            <w:pPr>
              <w:keepNext w:val="0"/>
              <w:keepLines w:val="0"/>
              <w:pageBreakBefore w:val="0"/>
              <w:widowControl w:val="0"/>
              <w:tabs>
                <w:tab w:val="left" w:pos="900"/>
              </w:tabs>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fldChar w:fldCharType="begin"/>
            </w:r>
            <w:r>
              <w:rPr>
                <w:rFonts w:hint="default" w:ascii="Times New Roman" w:hAnsi="Times New Roman" w:eastAsia="宋体" w:cs="Times New Roman"/>
                <w:bCs/>
                <w:color w:val="000000" w:themeColor="text1"/>
                <w:sz w:val="24"/>
                <w14:textFill>
                  <w14:solidFill>
                    <w14:schemeClr w14:val="tx1"/>
                  </w14:solidFill>
                </w14:textFill>
              </w:rPr>
              <w:instrText xml:space="preserve"> = 2 \* GB3 </w:instrText>
            </w:r>
            <w:r>
              <w:rPr>
                <w:rFonts w:hint="default" w:ascii="Times New Roman" w:hAnsi="Times New Roman" w:eastAsia="宋体" w:cs="Times New Roman"/>
                <w:bCs/>
                <w:color w:val="000000" w:themeColor="text1"/>
                <w:sz w:val="24"/>
                <w14:textFill>
                  <w14:solidFill>
                    <w14:schemeClr w14:val="tx1"/>
                  </w14:solidFill>
                </w14:textFill>
              </w:rPr>
              <w:fldChar w:fldCharType="separate"/>
            </w:r>
            <w:r>
              <w:rPr>
                <w:rFonts w:hint="default" w:ascii="Times New Roman" w:hAnsi="Times New Roman" w:eastAsia="宋体" w:cs="Times New Roman"/>
                <w:bCs/>
                <w:color w:val="000000" w:themeColor="text1"/>
                <w:sz w:val="24"/>
                <w14:textFill>
                  <w14:solidFill>
                    <w14:schemeClr w14:val="tx1"/>
                  </w14:solidFill>
                </w14:textFill>
              </w:rPr>
              <w:t>②</w:t>
            </w:r>
            <w:r>
              <w:rPr>
                <w:rFonts w:hint="default" w:ascii="Times New Roman" w:hAnsi="Times New Roman" w:eastAsia="宋体" w:cs="Times New Roman"/>
                <w:bCs/>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设置相关运行管理台账，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五年。</w:t>
            </w:r>
          </w:p>
          <w:p w14:paraId="5C7286FC">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③</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bCs/>
                <w:color w:val="000000" w:themeColor="text1"/>
                <w:sz w:val="24"/>
                <w:lang w:eastAsia="zh-CN"/>
                <w14:textFill>
                  <w14:solidFill>
                    <w14:schemeClr w14:val="tx1"/>
                  </w14:solidFill>
                </w14:textFill>
              </w:rPr>
              <w:t>定</w:t>
            </w:r>
            <w:r>
              <w:rPr>
                <w:rFonts w:hint="default" w:ascii="Times New Roman" w:hAnsi="Times New Roman" w:eastAsia="宋体" w:cs="Times New Roman"/>
                <w:color w:val="000000" w:themeColor="text1"/>
                <w:sz w:val="24"/>
                <w14:textFill>
                  <w14:solidFill>
                    <w14:schemeClr w14:val="tx1"/>
                  </w14:solidFill>
                </w14:textFill>
              </w:rPr>
              <w:t>期对</w:t>
            </w:r>
            <w:r>
              <w:rPr>
                <w:rFonts w:hint="default" w:ascii="Times New Roman" w:hAnsi="Times New Roman" w:eastAsia="宋体" w:cs="Times New Roman"/>
                <w:color w:val="000000" w:themeColor="text1"/>
                <w:sz w:val="24"/>
                <w:lang w:eastAsia="zh-CN"/>
                <w14:textFill>
                  <w14:solidFill>
                    <w14:schemeClr w14:val="tx1"/>
                  </w14:solidFill>
                </w14:textFill>
              </w:rPr>
              <w:t>原辅料</w:t>
            </w:r>
            <w:r>
              <w:rPr>
                <w:rFonts w:hint="default" w:ascii="Times New Roman" w:hAnsi="Times New Roman" w:eastAsia="宋体" w:cs="Times New Roman"/>
                <w:color w:val="000000" w:themeColor="text1"/>
                <w:sz w:val="24"/>
                <w14:textFill>
                  <w14:solidFill>
                    <w14:schemeClr w14:val="tx1"/>
                  </w14:solidFill>
                </w14:textFill>
              </w:rPr>
              <w:t>所贮存的</w:t>
            </w:r>
            <w:r>
              <w:rPr>
                <w:rFonts w:hint="default" w:ascii="Times New Roman" w:hAnsi="Times New Roman" w:eastAsia="宋体" w:cs="Times New Roman"/>
                <w:bCs/>
                <w:color w:val="000000" w:themeColor="text1"/>
                <w:sz w:val="24"/>
                <w:lang w:eastAsia="zh-CN"/>
                <w14:textFill>
                  <w14:solidFill>
                    <w14:schemeClr w14:val="tx1"/>
                  </w14:solidFill>
                </w14:textFill>
              </w:rPr>
              <w:t>溶剂间进行</w:t>
            </w:r>
            <w:r>
              <w:rPr>
                <w:rFonts w:hint="default" w:ascii="Times New Roman" w:hAnsi="Times New Roman" w:eastAsia="宋体" w:cs="Times New Roman"/>
                <w:color w:val="000000" w:themeColor="text1"/>
                <w:sz w:val="24"/>
                <w14:textFill>
                  <w14:solidFill>
                    <w14:schemeClr w14:val="tx1"/>
                  </w14:solidFill>
                </w14:textFill>
              </w:rPr>
              <w:t>检查，发现破损，应及时采取措施清理更换。同时</w:t>
            </w:r>
            <w:r>
              <w:rPr>
                <w:rFonts w:hint="default" w:ascii="Times New Roman" w:hAnsi="Times New Roman" w:eastAsia="宋体" w:cs="Times New Roman"/>
                <w:bCs/>
                <w:color w:val="000000" w:themeColor="text1"/>
                <w:sz w:val="24"/>
                <w14:textFill>
                  <w14:solidFill>
                    <w14:schemeClr w14:val="tx1"/>
                  </w14:solidFill>
                </w14:textFill>
              </w:rPr>
              <w:t>检查</w:t>
            </w:r>
            <w:r>
              <w:rPr>
                <w:rFonts w:hint="default" w:ascii="Times New Roman" w:hAnsi="Times New Roman" w:eastAsia="宋体" w:cs="Times New Roman"/>
                <w:bCs/>
                <w:color w:val="000000" w:themeColor="text1"/>
                <w:sz w:val="24"/>
                <w:lang w:eastAsia="zh-CN"/>
                <w14:textFill>
                  <w14:solidFill>
                    <w14:schemeClr w14:val="tx1"/>
                  </w14:solidFill>
                </w14:textFill>
              </w:rPr>
              <w:t>溶剂间</w:t>
            </w:r>
            <w:r>
              <w:rPr>
                <w:rFonts w:hint="default" w:ascii="Times New Roman" w:hAnsi="Times New Roman" w:eastAsia="宋体" w:cs="Times New Roman"/>
                <w:bCs/>
                <w:color w:val="000000" w:themeColor="text1"/>
                <w:sz w:val="24"/>
                <w14:textFill>
                  <w14:solidFill>
                    <w14:schemeClr w14:val="tx1"/>
                  </w14:solidFill>
                </w14:textFill>
              </w:rPr>
              <w:t>所有无泄漏、雨水浸泡等问题，及时处理。</w:t>
            </w:r>
          </w:p>
          <w:p w14:paraId="3B21D940">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火灾事故风险防范措施</w:t>
            </w:r>
          </w:p>
          <w:p w14:paraId="50E6B84E">
            <w:pPr>
              <w:keepNext w:val="0"/>
              <w:keepLines w:val="0"/>
              <w:pageBreakBefore w:val="0"/>
              <w:widowControl w:val="0"/>
              <w:kinsoku/>
              <w:wordWrap w:val="0"/>
              <w:overflowPunct/>
              <w:topLinePunct/>
              <w:autoSpaceDE/>
              <w:autoSpaceDN/>
              <w:bidi w:val="0"/>
              <w:adjustRightInd/>
              <w:spacing w:line="360" w:lineRule="auto"/>
              <w:ind w:firstLine="480" w:firstLineChars="200"/>
              <w:rPr>
                <w:rFonts w:hint="eastAsia"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①</w:t>
            </w:r>
            <w:r>
              <w:rPr>
                <w:rFonts w:hint="eastAsia" w:ascii="Times New Roman" w:hAnsi="Times New Roman" w:eastAsia="宋体" w:cs="Times New Roman"/>
                <w:bCs/>
                <w:color w:val="000000" w:themeColor="text1"/>
                <w:sz w:val="24"/>
                <w:lang w:eastAsia="zh-CN"/>
                <w14:textFill>
                  <w14:solidFill>
                    <w14:schemeClr w14:val="tx1"/>
                  </w14:solidFill>
                </w14:textFill>
              </w:rPr>
              <w:t>建立消防安全管理制度，严格遵守安全规章制度，严禁违章作业，不得超温、超压、超负荷生产，规范运行人员日常行为；提高管理水平，定期对员工进行消防应急培训演练，做到有备无患。</w:t>
            </w:r>
          </w:p>
          <w:p w14:paraId="58D5DC38">
            <w:pPr>
              <w:pStyle w:val="149"/>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eastAsia" w:ascii="Times New Roman" w:hAnsi="Times New Roman" w:eastAsia="宋体" w:cs="Times New Roman"/>
                <w:bCs/>
                <w:color w:val="000000" w:themeColor="text1"/>
                <w:sz w:val="24"/>
                <w:lang w:eastAsia="zh-CN"/>
                <w14:textFill>
                  <w14:solidFill>
                    <w14:schemeClr w14:val="tx1"/>
                  </w14:solidFill>
                </w14:textFill>
              </w:rPr>
              <w:t>②建立严格的消防巡检制度，</w:t>
            </w:r>
            <w:r>
              <w:rPr>
                <w:rFonts w:hint="eastAsia" w:ascii="Times New Roman" w:hAnsi="Times New Roman" w:eastAsia="宋体" w:cs="Times New Roman"/>
                <w:color w:val="000000" w:themeColor="text1"/>
                <w:sz w:val="24"/>
                <w:lang w:eastAsia="zh-CN"/>
                <w14:textFill>
                  <w14:solidFill>
                    <w14:schemeClr w14:val="tx1"/>
                  </w14:solidFill>
                </w14:textFill>
              </w:rPr>
              <w:t>对天然气管道、危废暂存间</w:t>
            </w:r>
            <w:r>
              <w:rPr>
                <w:rFonts w:hint="eastAsia" w:cs="Times New Roman"/>
                <w:color w:val="000000" w:themeColor="text1"/>
                <w:sz w:val="24"/>
                <w:lang w:eastAsia="zh-CN"/>
                <w14:textFill>
                  <w14:solidFill>
                    <w14:schemeClr w14:val="tx1"/>
                  </w14:solidFill>
                </w14:textFill>
              </w:rPr>
              <w:t>、溶剂间</w:t>
            </w:r>
            <w:r>
              <w:rPr>
                <w:rFonts w:hint="eastAsia" w:ascii="Times New Roman" w:hAnsi="Times New Roman" w:eastAsia="宋体" w:cs="Times New Roman"/>
                <w:color w:val="000000" w:themeColor="text1"/>
                <w:sz w:val="24"/>
                <w:lang w:eastAsia="zh-CN"/>
                <w14:textFill>
                  <w14:solidFill>
                    <w14:schemeClr w14:val="tx1"/>
                  </w14:solidFill>
                </w14:textFill>
              </w:rPr>
              <w:t>等存放有易燃物质的场所、区域</w:t>
            </w:r>
            <w:r>
              <w:rPr>
                <w:rFonts w:hint="eastAsia" w:ascii="Times New Roman" w:hAnsi="Times New Roman" w:eastAsia="宋体" w:cs="Times New Roman"/>
                <w:bCs/>
                <w:color w:val="000000" w:themeColor="text1"/>
                <w:sz w:val="24"/>
                <w:lang w:eastAsia="zh-CN"/>
                <w14:textFill>
                  <w14:solidFill>
                    <w14:schemeClr w14:val="tx1"/>
                  </w14:solidFill>
                </w14:textFill>
              </w:rPr>
              <w:t>每日安排专人巡检，发现安全隐患，应立即上报并整改，将隐患扼杀在萌芽状态</w:t>
            </w:r>
            <w:r>
              <w:rPr>
                <w:rFonts w:hint="default" w:ascii="Times New Roman" w:hAnsi="Times New Roman" w:eastAsia="宋体" w:cs="Times New Roman"/>
                <w:bCs/>
                <w:color w:val="000000" w:themeColor="text1"/>
                <w:sz w:val="24"/>
                <w:lang w:eastAsia="zh-CN"/>
                <w14:textFill>
                  <w14:solidFill>
                    <w14:schemeClr w14:val="tx1"/>
                  </w14:solidFill>
                </w14:textFill>
              </w:rPr>
              <w:t>。</w:t>
            </w:r>
          </w:p>
          <w:p w14:paraId="0A52E633">
            <w:pPr>
              <w:pStyle w:val="149"/>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③制定灭火和应急疏散预案，同时设置安全疏散通道。灭火器应布置在明显便于取用的地方，并定期维护检查，确保能正常使用。</w:t>
            </w:r>
          </w:p>
          <w:p w14:paraId="51AF5897">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④本次要求建设单位，雨水排口需要设置闸阀，事故状态下切断闸阀，防止事故废水、消防废水外流。</w:t>
            </w:r>
          </w:p>
          <w:p w14:paraId="73F58A29">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lang w:eastAsia="zh-CN"/>
                <w14:textFill>
                  <w14:solidFill>
                    <w14:schemeClr w14:val="tx1"/>
                  </w14:solidFill>
                </w14:textFill>
              </w:rPr>
              <w:t>废气治理设施非正常运行事故风险防范措施</w:t>
            </w:r>
          </w:p>
          <w:p w14:paraId="51CF0EF7">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加强</w:t>
            </w:r>
            <w:r>
              <w:rPr>
                <w:rFonts w:hint="eastAsia" w:cs="Times New Roman"/>
                <w:b w:val="0"/>
                <w:bCs w:val="0"/>
                <w:color w:val="000000" w:themeColor="text1"/>
                <w:kern w:val="0"/>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RTO蓄热燃烧</w:t>
            </w:r>
            <w:r>
              <w:rPr>
                <w:rFonts w:hint="eastAsia" w:cs="Times New Roman"/>
                <w:b w:val="0"/>
                <w:bCs w:val="0"/>
                <w:color w:val="000000" w:themeColor="text1"/>
                <w:kern w:val="0"/>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废气治理设施的维护管理，应定期维护，保证废气治理设施稳定高效运行，确保废气经处理后做到稳定达标排放。</w:t>
            </w:r>
          </w:p>
          <w:p w14:paraId="3F6A45E3">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w:t>
            </w: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制定车间巡查制度，每天安排专人对厂房生产线各生产设施进行至少一次的巡查并做好巡查记录。巡检人员巡查中发现问题时，及时向应急救援办公室报告并做好记录。</w:t>
            </w:r>
          </w:p>
          <w:p w14:paraId="34758C09">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w:t>
            </w: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提高管理水平，建立严格的管理制度，经常维护和保养废气治理设施，确保其稳定正常运行。</w:t>
            </w:r>
          </w:p>
          <w:p w14:paraId="71003A40">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（6）应急处理措施</w:t>
            </w:r>
          </w:p>
          <w:p w14:paraId="41362D42">
            <w:pPr>
              <w:pStyle w:val="149"/>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严格落实环境风险防范措施，根据</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关于印发〈突发环境事件应急预案管理暂行办法〉的通知》（环发〔2015〕4号）要求，待项目建设完成后，及时进行</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突发环境事件应急预案》</w:t>
            </w:r>
            <w:r>
              <w:rPr>
                <w:rFonts w:hint="default" w:ascii="Times New Roman" w:hAnsi="Times New Roman" w:eastAsia="宋体" w:cs="Times New Roman"/>
                <w:color w:val="000000" w:themeColor="text1"/>
                <w:sz w:val="24"/>
                <w:lang w:eastAsia="zh-CN"/>
                <w14:textFill>
                  <w14:solidFill>
                    <w14:schemeClr w14:val="tx1"/>
                  </w14:solidFill>
                </w14:textFill>
              </w:rPr>
              <w:t>编制</w:t>
            </w:r>
            <w:r>
              <w:rPr>
                <w:rFonts w:hint="default" w:ascii="Times New Roman" w:hAnsi="Times New Roman" w:eastAsia="宋体" w:cs="Times New Roman"/>
                <w:color w:val="000000" w:themeColor="text1"/>
                <w:sz w:val="24"/>
                <w14:textFill>
                  <w14:solidFill>
                    <w14:schemeClr w14:val="tx1"/>
                  </w14:solidFill>
                </w14:textFill>
              </w:rPr>
              <w:t>工作并于玉溪市生态环境局</w:t>
            </w:r>
            <w:r>
              <w:rPr>
                <w:rFonts w:hint="default" w:ascii="Times New Roman" w:hAnsi="Times New Roman" w:eastAsia="宋体" w:cs="Times New Roman"/>
                <w:color w:val="000000" w:themeColor="text1"/>
                <w:sz w:val="24"/>
                <w:lang w:eastAsia="zh-CN"/>
                <w14:textFill>
                  <w14:solidFill>
                    <w14:schemeClr w14:val="tx1"/>
                  </w14:solidFill>
                </w14:textFill>
              </w:rPr>
              <w:t>江川</w:t>
            </w:r>
            <w:r>
              <w:rPr>
                <w:rFonts w:hint="default" w:ascii="Times New Roman" w:hAnsi="Times New Roman" w:eastAsia="宋体" w:cs="Times New Roman"/>
                <w:color w:val="000000" w:themeColor="text1"/>
                <w:sz w:val="24"/>
                <w14:textFill>
                  <w14:solidFill>
                    <w14:schemeClr w14:val="tx1"/>
                  </w14:solidFill>
                </w14:textFill>
              </w:rPr>
              <w:t>分局备案；加强应急演练，建立完善应急报告制度，落实应急物资和经费。切实做好环保设施的日常维护和管理，落实环境风险防范措施，杜绝事故性排放。</w:t>
            </w:r>
          </w:p>
          <w:p w14:paraId="42EF1F8E">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1）油品泄漏应急处理</w:t>
            </w:r>
          </w:p>
          <w:p w14:paraId="11E4F75F">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bCs/>
                <w:color w:val="000000" w:themeColor="text1"/>
                <w:sz w:val="24"/>
                <w14:textFill>
                  <w14:solidFill>
                    <w14:schemeClr w14:val="tx1"/>
                  </w14:solidFill>
                </w14:textFill>
              </w:rPr>
              <w:t>发现泄漏后生产人员立即将泄漏的</w:t>
            </w:r>
            <w:r>
              <w:rPr>
                <w:rFonts w:hint="default" w:ascii="Times New Roman" w:hAnsi="Times New Roman" w:eastAsia="宋体" w:cs="Times New Roman"/>
                <w:bCs/>
                <w:color w:val="000000" w:themeColor="text1"/>
                <w:sz w:val="24"/>
                <w:lang w:eastAsia="zh-CN"/>
                <w14:textFill>
                  <w14:solidFill>
                    <w14:schemeClr w14:val="tx1"/>
                  </w14:solidFill>
                </w14:textFill>
              </w:rPr>
              <w:t>物质</w:t>
            </w:r>
            <w:r>
              <w:rPr>
                <w:rFonts w:hint="default" w:ascii="Times New Roman" w:hAnsi="Times New Roman" w:eastAsia="宋体" w:cs="Times New Roman"/>
                <w:bCs/>
                <w:color w:val="000000" w:themeColor="text1"/>
                <w:sz w:val="24"/>
                <w14:textFill>
                  <w14:solidFill>
                    <w14:schemeClr w14:val="tx1"/>
                  </w14:solidFill>
                </w14:textFill>
              </w:rPr>
              <w:t>用妥善收集到专门的容器内，放置于危废暂存间内，及时交由</w:t>
            </w:r>
            <w:r>
              <w:rPr>
                <w:rFonts w:hint="default" w:ascii="Times New Roman" w:hAnsi="Times New Roman" w:eastAsia="宋体" w:cs="Times New Roman"/>
                <w:color w:val="000000" w:themeColor="text1"/>
                <w:sz w:val="24"/>
                <w14:textFill>
                  <w14:solidFill>
                    <w14:schemeClr w14:val="tx1"/>
                  </w14:solidFill>
                </w14:textFill>
              </w:rPr>
              <w:t>有资质的单位</w:t>
            </w:r>
            <w:r>
              <w:rPr>
                <w:rFonts w:hint="default" w:ascii="Times New Roman" w:hAnsi="Times New Roman" w:eastAsia="宋体" w:cs="Times New Roman"/>
                <w:bCs/>
                <w:color w:val="000000" w:themeColor="text1"/>
                <w:sz w:val="24"/>
                <w14:textFill>
                  <w14:solidFill>
                    <w14:schemeClr w14:val="tx1"/>
                  </w14:solidFill>
                </w14:textFill>
              </w:rPr>
              <w:t>处置，防止造成新的污染。</w:t>
            </w:r>
          </w:p>
          <w:p w14:paraId="578A6761">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bCs/>
                <w:color w:val="000000" w:themeColor="text1"/>
                <w:sz w:val="24"/>
                <w14:textFill>
                  <w14:solidFill>
                    <w14:schemeClr w14:val="tx1"/>
                  </w14:solidFill>
                </w14:textFill>
              </w:rPr>
              <w:t>收集完毕之后将受影响的土壤清理干净。</w:t>
            </w:r>
          </w:p>
          <w:p w14:paraId="4B17BD6F">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2）火灾应急处理</w:t>
            </w:r>
          </w:p>
          <w:p w14:paraId="73EB46E3">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①迅速撤离火灾污染区人员至上风处，并立即进行隔离。应急处理人员戴自给正压式呼吸器，穿防毒服。尽可能切断泄漏源。</w:t>
            </w:r>
          </w:p>
          <w:p w14:paraId="006D08DA">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应急处理人员戴自给正压式呼吸器，穿防毒服，用灭火器紧急处理，及时报告，根据情况向厂内应急中心求救或拨打119。</w:t>
            </w:r>
          </w:p>
          <w:p w14:paraId="0A7F9D1B">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③</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切断火势蔓延的途径，冷却和疏散受火势威胁的密闭容器和可燃物，控制燃烧范围，并积极抢救受伤和被困人员。合理通风，加速扩散。</w:t>
            </w:r>
          </w:p>
          <w:p w14:paraId="1D87FA1B">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④当人体吸入有毒气体引起中毒，须迅速脱离现场至空气新鲜处；情节严重的要立即就医。</w:t>
            </w:r>
          </w:p>
          <w:p w14:paraId="1FB58219">
            <w:pPr>
              <w:keepNext w:val="0"/>
              <w:keepLines w:val="0"/>
              <w:pageBreakBefore w:val="0"/>
              <w:widowControl w:val="0"/>
              <w:kinsoku/>
              <w:wordWrap w:val="0"/>
              <w:overflowPunct/>
              <w:topLinePunct/>
              <w:autoSpaceDE/>
              <w:autoSpaceDN/>
              <w:bidi w:val="0"/>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kern w:val="0"/>
                <w:sz w:val="24"/>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kern w:val="0"/>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eastAsia="zh-CN"/>
                <w14:textFill>
                  <w14:solidFill>
                    <w14:schemeClr w14:val="tx1"/>
                  </w14:solidFill>
                </w14:textFill>
              </w:rPr>
              <w:t>次生污染物 CO 的环境影响分析</w:t>
            </w:r>
          </w:p>
          <w:p w14:paraId="210DFCE1">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本项目最大可行事故为厂区可燃物质发生的火灾事故。</w:t>
            </w:r>
          </w:p>
          <w:p w14:paraId="38F399AD">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根据《建设项目环境风险评价技术导则》（征求意见稿）附录 B，本项目发生火灾伴生/次生中CO的产生量按以下公示计算：</w:t>
            </w:r>
          </w:p>
          <w:p w14:paraId="46587A6B">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G</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CO</w:t>
            </w:r>
            <w:r>
              <w:rPr>
                <w:rFonts w:hint="default" w:ascii="Times New Roman" w:hAnsi="Times New Roman" w:eastAsia="宋体" w:cs="Times New Roman"/>
                <w:b w:val="0"/>
                <w:bCs w:val="0"/>
                <w:color w:val="000000" w:themeColor="text1"/>
                <w:sz w:val="24"/>
                <w14:textFill>
                  <w14:solidFill>
                    <w14:schemeClr w14:val="tx1"/>
                  </w14:solidFill>
                </w14:textFill>
              </w:rPr>
              <w:t>=2330qC</w:t>
            </w:r>
          </w:p>
          <w:p w14:paraId="4F448D3D">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式中：G</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CO</w:t>
            </w:r>
            <w:r>
              <w:rPr>
                <w:rFonts w:hint="default" w:ascii="Times New Roman" w:hAnsi="Times New Roman" w:eastAsia="宋体" w:cs="Times New Roman"/>
                <w:b w:val="0"/>
                <w:bCs w:val="0"/>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CO</w:t>
            </w:r>
            <w:r>
              <w:rPr>
                <w:rFonts w:hint="default" w:ascii="Times New Roman" w:hAnsi="Times New Roman" w:eastAsia="宋体" w:cs="Times New Roman"/>
                <w:b w:val="0"/>
                <w:bCs w:val="0"/>
                <w:color w:val="000000" w:themeColor="text1"/>
                <w:sz w:val="24"/>
                <w14:textFill>
                  <w14:solidFill>
                    <w14:schemeClr w14:val="tx1"/>
                  </w14:solidFill>
                </w14:textFill>
              </w:rPr>
              <w:t>的产生量，g/kg；</w:t>
            </w:r>
          </w:p>
          <w:p w14:paraId="5362F4BF">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C——物质中碳的质量百分比含量，%.，本项目取</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80</w:t>
            </w:r>
            <w:r>
              <w:rPr>
                <w:rFonts w:hint="default" w:ascii="Times New Roman" w:hAnsi="Times New Roman" w:eastAsia="宋体" w:cs="Times New Roman"/>
                <w:b w:val="0"/>
                <w:bCs w:val="0"/>
                <w:color w:val="000000" w:themeColor="text1"/>
                <w:sz w:val="24"/>
                <w14:textFill>
                  <w14:solidFill>
                    <w14:schemeClr w14:val="tx1"/>
                  </w14:solidFill>
                </w14:textFill>
              </w:rPr>
              <w:t>%；</w:t>
            </w:r>
          </w:p>
          <w:p w14:paraId="22ED85C6">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q——化学不完全燃烧值，%，一般取5%-20%，本项目按10%计；</w:t>
            </w:r>
          </w:p>
          <w:p w14:paraId="69BB1DDD">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则本项目火灾伴生/次生中</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CO</w:t>
            </w:r>
            <w:r>
              <w:rPr>
                <w:rFonts w:hint="default" w:ascii="Times New Roman" w:hAnsi="Times New Roman" w:eastAsia="宋体" w:cs="Times New Roman"/>
                <w:b w:val="0"/>
                <w:bCs w:val="0"/>
                <w:color w:val="000000" w:themeColor="text1"/>
                <w:sz w:val="24"/>
                <w14:textFill>
                  <w14:solidFill>
                    <w14:schemeClr w14:val="tx1"/>
                  </w14:solidFill>
                </w14:textFill>
              </w:rPr>
              <w:t>的产生量G</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CO</w:t>
            </w:r>
            <w:r>
              <w:rPr>
                <w:rFonts w:hint="default" w:ascii="Times New Roman" w:hAnsi="Times New Roman" w:eastAsia="宋体" w:cs="Times New Roman"/>
                <w:b w:val="0"/>
                <w:bCs w:val="0"/>
                <w:color w:val="000000" w:themeColor="text1"/>
                <w:sz w:val="24"/>
                <w14:textFill>
                  <w14:solidFill>
                    <w14:schemeClr w14:val="tx1"/>
                  </w14:solidFill>
                </w14:textFill>
              </w:rPr>
              <w:t>=186.4g/kg。</w:t>
            </w:r>
          </w:p>
          <w:p w14:paraId="76066B6F">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假设发生火灾事故，</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min内所有泄漏的物料燃烧，短时间内参与火灾的物料量约为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3.076t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，CO 的产生速率为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0.956</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kg/s。</w:t>
            </w:r>
          </w:p>
          <w:p w14:paraId="73F30916">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根据</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建设项目环境风险评价技术导则》，本评价采用</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多</w:t>
            </w:r>
            <w:r>
              <w:rPr>
                <w:rFonts w:hint="default" w:ascii="Times New Roman" w:hAnsi="Times New Roman" w:eastAsia="宋体" w:cs="Times New Roman"/>
                <w:b w:val="0"/>
                <w:bCs w:val="0"/>
                <w:color w:val="000000" w:themeColor="text1"/>
                <w:sz w:val="24"/>
                <w14:textFill>
                  <w14:solidFill>
                    <w14:schemeClr w14:val="tx1"/>
                  </w14:solidFill>
                </w14:textFill>
              </w:rPr>
              <w:t>烟团模式</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。本次使用环境风险评价系统（RiskSystem）进行预测。</w:t>
            </w:r>
          </w:p>
          <w:p w14:paraId="330813B1">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项目均布设于生产厂房内，考虑事故影响程度，故本次预测面源面积以</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厂房占地</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面积</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4000m</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，面源高度以项目使用厂房（1层、2层）高度11.4m，进行预测</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。预测结果间下表。</w:t>
            </w:r>
          </w:p>
          <w:p w14:paraId="72891F6A">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4-30 火灾事故次生污染物CO对环境的影响</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011"/>
              <w:gridCol w:w="1152"/>
              <w:gridCol w:w="1244"/>
              <w:gridCol w:w="1068"/>
              <w:gridCol w:w="1152"/>
              <w:gridCol w:w="1157"/>
            </w:tblGrid>
            <w:tr w14:paraId="2867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pct"/>
                  <w:vAlign w:val="center"/>
                </w:tcPr>
                <w:p w14:paraId="374954C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预测时刻</w:t>
                  </w:r>
                </w:p>
              </w:tc>
              <w:tc>
                <w:tcPr>
                  <w:tcW w:w="2112" w:type="pct"/>
                  <w:gridSpan w:val="3"/>
                  <w:vAlign w:val="center"/>
                </w:tcPr>
                <w:p w14:paraId="21FA322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5min</w:t>
                  </w:r>
                </w:p>
              </w:tc>
              <w:tc>
                <w:tcPr>
                  <w:tcW w:w="2093" w:type="pct"/>
                  <w:gridSpan w:val="3"/>
                  <w:vAlign w:val="center"/>
                </w:tcPr>
                <w:p w14:paraId="6BD3486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10min</w:t>
                  </w:r>
                </w:p>
              </w:tc>
            </w:tr>
            <w:tr w14:paraId="0DB9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2482B3B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风速</w:t>
                  </w:r>
                  <w:r>
                    <w:rPr>
                      <w:rFonts w:hint="default" w:ascii="Times New Roman" w:hAnsi="Times New Roman" w:eastAsia="宋体" w:cs="Times New Roman"/>
                      <w:color w:val="000000" w:themeColor="text1"/>
                      <w:szCs w:val="21"/>
                      <w:lang w:val="en-US" w:eastAsia="zh-CN"/>
                      <w14:textFill>
                        <w14:solidFill>
                          <w14:schemeClr w14:val="tx1"/>
                        </w14:solidFill>
                      </w14:textFill>
                    </w:rPr>
                    <w:t>m/s</w:t>
                  </w:r>
                </w:p>
              </w:tc>
              <w:tc>
                <w:tcPr>
                  <w:tcW w:w="2112" w:type="pct"/>
                  <w:gridSpan w:val="3"/>
                  <w:vAlign w:val="center"/>
                </w:tcPr>
                <w:p w14:paraId="7460626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1.7</w:t>
                  </w:r>
                </w:p>
              </w:tc>
              <w:tc>
                <w:tcPr>
                  <w:tcW w:w="2093" w:type="pct"/>
                  <w:gridSpan w:val="3"/>
                  <w:vAlign w:val="center"/>
                </w:tcPr>
                <w:p w14:paraId="41AE8B6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1.7</w:t>
                  </w:r>
                </w:p>
              </w:tc>
            </w:tr>
            <w:tr w14:paraId="3FA4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4BCDB2B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风向</w:t>
                  </w:r>
                </w:p>
              </w:tc>
              <w:tc>
                <w:tcPr>
                  <w:tcW w:w="2112" w:type="pct"/>
                  <w:gridSpan w:val="3"/>
                  <w:vAlign w:val="center"/>
                </w:tcPr>
                <w:p w14:paraId="17162C8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SW西南风</w:t>
                  </w:r>
                </w:p>
              </w:tc>
              <w:tc>
                <w:tcPr>
                  <w:tcW w:w="2093" w:type="pct"/>
                  <w:gridSpan w:val="3"/>
                  <w:vAlign w:val="center"/>
                </w:tcPr>
                <w:p w14:paraId="55FB793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SW西南风</w:t>
                  </w:r>
                </w:p>
              </w:tc>
            </w:tr>
            <w:tr w14:paraId="216D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799B14E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大气稳定度</w:t>
                  </w:r>
                </w:p>
              </w:tc>
              <w:tc>
                <w:tcPr>
                  <w:tcW w:w="627" w:type="pct"/>
                  <w:vAlign w:val="center"/>
                </w:tcPr>
                <w:p w14:paraId="506412A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A</w:t>
                  </w:r>
                </w:p>
              </w:tc>
              <w:tc>
                <w:tcPr>
                  <w:tcW w:w="714" w:type="pct"/>
                  <w:vAlign w:val="center"/>
                </w:tcPr>
                <w:p w14:paraId="660C630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w:t>
                  </w:r>
                </w:p>
              </w:tc>
              <w:tc>
                <w:tcPr>
                  <w:tcW w:w="770" w:type="pct"/>
                  <w:vAlign w:val="center"/>
                </w:tcPr>
                <w:p w14:paraId="1A464AC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F</w:t>
                  </w:r>
                </w:p>
              </w:tc>
              <w:tc>
                <w:tcPr>
                  <w:tcW w:w="662" w:type="pct"/>
                  <w:vAlign w:val="center"/>
                </w:tcPr>
                <w:p w14:paraId="0C6D5D4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A</w:t>
                  </w:r>
                </w:p>
              </w:tc>
              <w:tc>
                <w:tcPr>
                  <w:tcW w:w="714" w:type="pct"/>
                  <w:vAlign w:val="center"/>
                </w:tcPr>
                <w:p w14:paraId="11E23FC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w:t>
                  </w:r>
                </w:p>
              </w:tc>
              <w:tc>
                <w:tcPr>
                  <w:tcW w:w="716" w:type="pct"/>
                  <w:vAlign w:val="center"/>
                </w:tcPr>
                <w:p w14:paraId="6B5867D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F</w:t>
                  </w:r>
                </w:p>
              </w:tc>
            </w:tr>
            <w:tr w14:paraId="35F8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65D19E5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最大落地浓度</w:t>
                  </w:r>
                  <w:r>
                    <w:rPr>
                      <w:rFonts w:hint="default" w:ascii="Times New Roman" w:hAnsi="Times New Roman" w:eastAsia="宋体" w:cs="Times New Roman"/>
                      <w:color w:val="000000" w:themeColor="text1"/>
                      <w:szCs w:val="21"/>
                      <w:lang w:val="en-US" w:eastAsia="zh-CN"/>
                      <w14:textFill>
                        <w14:solidFill>
                          <w14:schemeClr w14:val="tx1"/>
                        </w14:solidFill>
                      </w14:textFill>
                    </w:rPr>
                    <w:t>mg/m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627" w:type="pct"/>
                  <w:vAlign w:val="center"/>
                </w:tcPr>
                <w:p w14:paraId="162D015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321.2682</w:t>
                  </w:r>
                </w:p>
              </w:tc>
              <w:tc>
                <w:tcPr>
                  <w:tcW w:w="714" w:type="pct"/>
                  <w:vAlign w:val="center"/>
                </w:tcPr>
                <w:p w14:paraId="4F52B32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895.2688</w:t>
                  </w:r>
                </w:p>
              </w:tc>
              <w:tc>
                <w:tcPr>
                  <w:tcW w:w="770" w:type="pct"/>
                  <w:vAlign w:val="center"/>
                </w:tcPr>
                <w:p w14:paraId="61798FE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1338.6560</w:t>
                  </w:r>
                </w:p>
              </w:tc>
              <w:tc>
                <w:tcPr>
                  <w:tcW w:w="662" w:type="pct"/>
                  <w:vAlign w:val="center"/>
                </w:tcPr>
                <w:p w14:paraId="55AE273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321.2682</w:t>
                  </w:r>
                </w:p>
              </w:tc>
              <w:tc>
                <w:tcPr>
                  <w:tcW w:w="714" w:type="pct"/>
                  <w:vAlign w:val="center"/>
                </w:tcPr>
                <w:p w14:paraId="4CE6C41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895.2688</w:t>
                  </w:r>
                </w:p>
              </w:tc>
              <w:tc>
                <w:tcPr>
                  <w:tcW w:w="716" w:type="pct"/>
                  <w:vAlign w:val="center"/>
                </w:tcPr>
                <w:p w14:paraId="7CA104B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1338.6560</w:t>
                  </w:r>
                </w:p>
              </w:tc>
            </w:tr>
            <w:tr w14:paraId="597F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236CF07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出现距离</w:t>
                  </w:r>
                  <w:r>
                    <w:rPr>
                      <w:rFonts w:hint="default" w:ascii="Times New Roman" w:hAnsi="Times New Roman" w:eastAsia="宋体" w:cs="Times New Roman"/>
                      <w:color w:val="000000" w:themeColor="text1"/>
                      <w:szCs w:val="21"/>
                      <w:lang w:val="en-US" w:eastAsia="zh-CN"/>
                      <w14:textFill>
                        <w14:solidFill>
                          <w14:schemeClr w14:val="tx1"/>
                        </w14:solidFill>
                      </w14:textFill>
                    </w:rPr>
                    <w:t>m</w:t>
                  </w:r>
                </w:p>
              </w:tc>
              <w:tc>
                <w:tcPr>
                  <w:tcW w:w="627" w:type="pct"/>
                  <w:vAlign w:val="center"/>
                </w:tcPr>
                <w:p w14:paraId="03614A5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16</w:t>
                  </w:r>
                </w:p>
              </w:tc>
              <w:tc>
                <w:tcPr>
                  <w:tcW w:w="714" w:type="pct"/>
                  <w:vAlign w:val="center"/>
                </w:tcPr>
                <w:p w14:paraId="6AC7F5C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17.1</w:t>
                  </w:r>
                </w:p>
              </w:tc>
              <w:tc>
                <w:tcPr>
                  <w:tcW w:w="770" w:type="pct"/>
                  <w:vAlign w:val="center"/>
                </w:tcPr>
                <w:p w14:paraId="4B44FAB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17.5</w:t>
                  </w:r>
                </w:p>
              </w:tc>
              <w:tc>
                <w:tcPr>
                  <w:tcW w:w="662" w:type="pct"/>
                  <w:vAlign w:val="center"/>
                </w:tcPr>
                <w:p w14:paraId="5460365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16</w:t>
                  </w:r>
                </w:p>
              </w:tc>
              <w:tc>
                <w:tcPr>
                  <w:tcW w:w="714" w:type="pct"/>
                  <w:vAlign w:val="center"/>
                </w:tcPr>
                <w:p w14:paraId="5083AC3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17.1</w:t>
                  </w:r>
                </w:p>
              </w:tc>
              <w:tc>
                <w:tcPr>
                  <w:tcW w:w="716" w:type="pct"/>
                  <w:vAlign w:val="center"/>
                </w:tcPr>
                <w:p w14:paraId="7F3AC70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17.5</w:t>
                  </w:r>
                </w:p>
              </w:tc>
            </w:tr>
            <w:tr w14:paraId="54EC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93" w:type="pct"/>
                  <w:vAlign w:val="center"/>
                </w:tcPr>
                <w:p w14:paraId="601B0CB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半致死浓度范围</w:t>
                  </w:r>
                  <w:r>
                    <w:rPr>
                      <w:rFonts w:hint="default" w:ascii="Times New Roman" w:hAnsi="Times New Roman" w:eastAsia="宋体" w:cs="Times New Roman"/>
                      <w:color w:val="000000" w:themeColor="text1"/>
                      <w:szCs w:val="21"/>
                      <w:lang w:val="en-US" w:eastAsia="zh-CN"/>
                      <w14:textFill>
                        <w14:solidFill>
                          <w14:schemeClr w14:val="tx1"/>
                        </w14:solidFill>
                      </w14:textFill>
                    </w:rPr>
                    <w:t>m</w:t>
                  </w:r>
                </w:p>
              </w:tc>
              <w:tc>
                <w:tcPr>
                  <w:tcW w:w="627" w:type="pct"/>
                  <w:vAlign w:val="center"/>
                </w:tcPr>
                <w:p w14:paraId="3B30186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14" w:type="pct"/>
                  <w:vAlign w:val="center"/>
                </w:tcPr>
                <w:p w14:paraId="3854501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70" w:type="pct"/>
                  <w:vAlign w:val="center"/>
                </w:tcPr>
                <w:p w14:paraId="4E17B17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662" w:type="pct"/>
                  <w:vAlign w:val="center"/>
                </w:tcPr>
                <w:p w14:paraId="4FA7B82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14" w:type="pct"/>
                  <w:vAlign w:val="center"/>
                </w:tcPr>
                <w:p w14:paraId="5622D09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16" w:type="pct"/>
                  <w:vAlign w:val="center"/>
                </w:tcPr>
                <w:p w14:paraId="47AC94B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14:paraId="66C2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3279FCD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短时间接触容许浓度范围</w:t>
                  </w:r>
                  <w:r>
                    <w:rPr>
                      <w:rFonts w:hint="default" w:ascii="Times New Roman" w:hAnsi="Times New Roman" w:eastAsia="宋体" w:cs="Times New Roman"/>
                      <w:color w:val="000000" w:themeColor="text1"/>
                      <w:szCs w:val="21"/>
                      <w:lang w:val="en-US" w:eastAsia="zh-CN"/>
                      <w14:textFill>
                        <w14:solidFill>
                          <w14:schemeClr w14:val="tx1"/>
                        </w14:solidFill>
                      </w14:textFill>
                    </w:rPr>
                    <w:t>m</w:t>
                  </w:r>
                </w:p>
              </w:tc>
              <w:tc>
                <w:tcPr>
                  <w:tcW w:w="627" w:type="pct"/>
                  <w:vAlign w:val="center"/>
                </w:tcPr>
                <w:p w14:paraId="69BC733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302.1</w:t>
                  </w:r>
                </w:p>
              </w:tc>
              <w:tc>
                <w:tcPr>
                  <w:tcW w:w="714" w:type="pct"/>
                  <w:vAlign w:val="center"/>
                </w:tcPr>
                <w:p w14:paraId="2DE66E6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540.3</w:t>
                  </w:r>
                </w:p>
              </w:tc>
              <w:tc>
                <w:tcPr>
                  <w:tcW w:w="770" w:type="pct"/>
                  <w:vAlign w:val="center"/>
                </w:tcPr>
                <w:p w14:paraId="72F7422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565.0</w:t>
                  </w:r>
                </w:p>
              </w:tc>
              <w:tc>
                <w:tcPr>
                  <w:tcW w:w="662" w:type="pct"/>
                  <w:vAlign w:val="center"/>
                </w:tcPr>
                <w:p w14:paraId="4040C8E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303.2</w:t>
                  </w:r>
                </w:p>
              </w:tc>
              <w:tc>
                <w:tcPr>
                  <w:tcW w:w="714" w:type="pct"/>
                  <w:vAlign w:val="center"/>
                </w:tcPr>
                <w:p w14:paraId="7BB2AD0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922.2</w:t>
                  </w:r>
                </w:p>
              </w:tc>
              <w:tc>
                <w:tcPr>
                  <w:tcW w:w="716" w:type="pct"/>
                  <w:vAlign w:val="center"/>
                </w:tcPr>
                <w:p w14:paraId="6CF9A6A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1074.4</w:t>
                  </w:r>
                </w:p>
              </w:tc>
            </w:tr>
          </w:tbl>
          <w:p w14:paraId="035CED28">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经现场调查，CO半致死浓度范围</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不涉及村庄、住宅小区等居民点</w:t>
            </w:r>
            <w:r>
              <w:rPr>
                <w:rFonts w:hint="default" w:ascii="Times New Roman" w:hAnsi="Times New Roman" w:eastAsia="宋体" w:cs="Times New Roman"/>
                <w:b w:val="0"/>
                <w:bCs w:val="0"/>
                <w:color w:val="000000" w:themeColor="text1"/>
                <w:sz w:val="24"/>
                <w14:textFill>
                  <w14:solidFill>
                    <w14:schemeClr w14:val="tx1"/>
                  </w14:solidFill>
                </w14:textFill>
              </w:rPr>
              <w:t>，故项目发生火灾产生次生CO对项目所在区域影响不大。</w:t>
            </w:r>
          </w:p>
          <w:p w14:paraId="1E5A3838">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环境风险分析结论</w:t>
            </w:r>
          </w:p>
          <w:p w14:paraId="4ADEA84A">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综上所述，本项目环境风险潜势为Ⅰ级，风险评价等级为简单分析，不存在重大风险源，主要风险事故为泄漏</w:t>
            </w:r>
            <w:r>
              <w:rPr>
                <w:rFonts w:hint="default" w:ascii="Times New Roman" w:hAnsi="Times New Roman" w:eastAsia="宋体" w:cs="Times New Roman"/>
                <w:color w:val="000000" w:themeColor="text1"/>
                <w:sz w:val="24"/>
                <w:lang w:eastAsia="zh-CN"/>
                <w14:textFill>
                  <w14:solidFill>
                    <w14:schemeClr w14:val="tx1"/>
                  </w14:solidFill>
                </w14:textFill>
              </w:rPr>
              <w:t>事故</w:t>
            </w:r>
            <w:r>
              <w:rPr>
                <w:rFonts w:hint="default" w:ascii="Times New Roman" w:hAnsi="Times New Roman" w:eastAsia="宋体" w:cs="Times New Roman"/>
                <w:color w:val="000000" w:themeColor="text1"/>
                <w:sz w:val="24"/>
                <w14:textFill>
                  <w14:solidFill>
                    <w14:schemeClr w14:val="tx1"/>
                  </w14:solidFill>
                </w14:textFill>
              </w:rPr>
              <w:t>、火灾事故</w:t>
            </w:r>
            <w:r>
              <w:rPr>
                <w:rFonts w:hint="default" w:ascii="Times New Roman" w:hAnsi="Times New Roman" w:eastAsia="宋体" w:cs="Times New Roman"/>
                <w:color w:val="000000" w:themeColor="text1"/>
                <w:sz w:val="24"/>
                <w:lang w:eastAsia="zh-CN"/>
                <w14:textFill>
                  <w14:solidFill>
                    <w14:schemeClr w14:val="tx1"/>
                  </w14:solidFill>
                </w14:textFill>
              </w:rPr>
              <w:t>及废气治理设施非正常运行事故</w:t>
            </w:r>
            <w:r>
              <w:rPr>
                <w:rFonts w:hint="default" w:ascii="Times New Roman" w:hAnsi="Times New Roman" w:eastAsia="宋体" w:cs="Times New Roman"/>
                <w:color w:val="000000" w:themeColor="text1"/>
                <w:sz w:val="24"/>
                <w14:textFill>
                  <w14:solidFill>
                    <w14:schemeClr w14:val="tx1"/>
                  </w14:solidFill>
                </w14:textFill>
              </w:rPr>
              <w:t>，对在厂、邻近人员造成伤害。结合项目实际情况，本评价提出了相关防范措施，在加强管理及积极落实有关防范措施后，本项目环境事故发生的可能性很低，且项目环境风险在可防控范围内，项目环境风险影响较小。</w:t>
            </w:r>
          </w:p>
          <w:p w14:paraId="115B9AD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建设项目环境风险简单分析内容表</w:t>
            </w:r>
          </w:p>
          <w:tbl>
            <w:tblPr>
              <w:tblStyle w:val="33"/>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38"/>
              <w:gridCol w:w="1105"/>
              <w:gridCol w:w="2000"/>
              <w:gridCol w:w="1007"/>
              <w:gridCol w:w="2102"/>
            </w:tblGrid>
            <w:tr w14:paraId="186900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57EF8EB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建设项目名称</w:t>
                  </w:r>
                </w:p>
              </w:tc>
              <w:tc>
                <w:tcPr>
                  <w:tcW w:w="3857" w:type="pct"/>
                  <w:gridSpan w:val="4"/>
                  <w:tcBorders>
                    <w:tl2br w:val="nil"/>
                    <w:tr2bl w:val="nil"/>
                  </w:tcBorders>
                  <w:vAlign w:val="center"/>
                </w:tcPr>
                <w:p w14:paraId="3AA1E85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上海腾曼软包装、新能源包装材料项目</w:t>
                  </w:r>
                </w:p>
              </w:tc>
            </w:tr>
            <w:tr w14:paraId="2796DF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142" w:type="pct"/>
                  <w:tcBorders>
                    <w:tl2br w:val="nil"/>
                    <w:tr2bl w:val="nil"/>
                  </w:tcBorders>
                  <w:vAlign w:val="center"/>
                </w:tcPr>
                <w:p w14:paraId="0CE763A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建设地点</w:t>
                  </w:r>
                </w:p>
              </w:tc>
              <w:tc>
                <w:tcPr>
                  <w:tcW w:w="3857" w:type="pct"/>
                  <w:gridSpan w:val="4"/>
                  <w:tcBorders>
                    <w:tl2br w:val="nil"/>
                    <w:tr2bl w:val="nil"/>
                  </w:tcBorders>
                  <w:vAlign w:val="center"/>
                </w:tcPr>
                <w:p w14:paraId="2BD704D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玉溪高新区龙泉片区</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A5地块C2栋</w:t>
                  </w:r>
                </w:p>
              </w:tc>
            </w:tr>
            <w:tr w14:paraId="7F3102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27F95C2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地理坐标</w:t>
                  </w:r>
                </w:p>
              </w:tc>
              <w:tc>
                <w:tcPr>
                  <w:tcW w:w="686" w:type="pct"/>
                  <w:tcBorders>
                    <w:tl2br w:val="nil"/>
                    <w:tr2bl w:val="nil"/>
                  </w:tcBorders>
                  <w:vAlign w:val="center"/>
                </w:tcPr>
                <w:p w14:paraId="43260D5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东经</w:t>
                  </w:r>
                </w:p>
              </w:tc>
              <w:tc>
                <w:tcPr>
                  <w:tcW w:w="1242" w:type="pct"/>
                  <w:tcBorders>
                    <w:tl2br w:val="nil"/>
                    <w:tr2bl w:val="nil"/>
                  </w:tcBorders>
                  <w:vAlign w:val="center"/>
                </w:tcPr>
                <w:p w14:paraId="40958A9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102°42′55.777″</w:t>
                  </w:r>
                </w:p>
              </w:tc>
              <w:tc>
                <w:tcPr>
                  <w:tcW w:w="625" w:type="pct"/>
                  <w:tcBorders>
                    <w:tl2br w:val="nil"/>
                    <w:tr2bl w:val="nil"/>
                  </w:tcBorders>
                  <w:vAlign w:val="center"/>
                </w:tcPr>
                <w:p w14:paraId="2AA1A13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北纬</w:t>
                  </w:r>
                </w:p>
              </w:tc>
              <w:tc>
                <w:tcPr>
                  <w:tcW w:w="1302" w:type="pct"/>
                  <w:tcBorders>
                    <w:tl2br w:val="nil"/>
                    <w:tr2bl w:val="nil"/>
                  </w:tcBorders>
                  <w:vAlign w:val="center"/>
                </w:tcPr>
                <w:p w14:paraId="1B69201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24°18′28.864″</w:t>
                  </w:r>
                </w:p>
              </w:tc>
            </w:tr>
            <w:tr w14:paraId="4947D3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1142" w:type="pct"/>
                  <w:tcBorders>
                    <w:tl2br w:val="nil"/>
                    <w:tr2bl w:val="nil"/>
                  </w:tcBorders>
                  <w:vAlign w:val="center"/>
                </w:tcPr>
                <w:p w14:paraId="2C8D9B5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主要危险物质及分布</w:t>
                  </w:r>
                </w:p>
              </w:tc>
              <w:tc>
                <w:tcPr>
                  <w:tcW w:w="3857" w:type="pct"/>
                  <w:gridSpan w:val="4"/>
                  <w:tcBorders>
                    <w:tl2br w:val="nil"/>
                    <w:tr2bl w:val="nil"/>
                  </w:tcBorders>
                  <w:vAlign w:val="center"/>
                </w:tcPr>
                <w:p w14:paraId="74F3476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zh-CN"/>
                      <w14:textFill>
                        <w14:solidFill>
                          <w14:schemeClr w14:val="tx1"/>
                        </w14:solidFill>
                      </w14:textFill>
                    </w:rPr>
                    <w:t>根据《建设项目环境风险评价技术导则》（HJ169-2018）相关要求，本项目主要风险物质为</w:t>
                  </w:r>
                  <w:r>
                    <w:rPr>
                      <w:rFonts w:hint="eastAsia" w:cs="Times New Roman"/>
                      <w:bCs/>
                      <w:color w:val="000000" w:themeColor="text1"/>
                      <w:sz w:val="21"/>
                      <w:szCs w:val="21"/>
                      <w:lang w:val="zh-CN"/>
                      <w14:textFill>
                        <w14:solidFill>
                          <w14:schemeClr w14:val="tx1"/>
                        </w14:solidFill>
                      </w14:textFill>
                    </w:rPr>
                    <w:t>天然气、</w:t>
                  </w:r>
                  <w:r>
                    <w:rPr>
                      <w:rFonts w:hint="default" w:ascii="Times New Roman" w:hAnsi="Times New Roman" w:eastAsia="宋体" w:cs="Times New Roman"/>
                      <w:color w:val="000000" w:themeColor="text1"/>
                      <w:sz w:val="21"/>
                      <w:szCs w:val="21"/>
                      <w:lang w:eastAsia="zh-CN"/>
                      <w14:textFill>
                        <w14:solidFill>
                          <w14:schemeClr w14:val="tx1"/>
                        </w14:solidFill>
                      </w14:textFill>
                    </w:rPr>
                    <w:t>油墨、稀释剂、胶粘剂、废机油。</w:t>
                  </w:r>
                </w:p>
              </w:tc>
            </w:tr>
            <w:tr w14:paraId="4CAF92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72DF05D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环境影响途径及危害后果</w:t>
                  </w:r>
                </w:p>
              </w:tc>
              <w:tc>
                <w:tcPr>
                  <w:tcW w:w="3857" w:type="pct"/>
                  <w:gridSpan w:val="4"/>
                  <w:tcBorders>
                    <w:tl2br w:val="nil"/>
                    <w:tr2bl w:val="nil"/>
                  </w:tcBorders>
                  <w:vAlign w:val="center"/>
                </w:tcPr>
                <w:p w14:paraId="5BDA08D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zh-CN"/>
                      <w14:textFill>
                        <w14:solidFill>
                          <w14:schemeClr w14:val="tx1"/>
                        </w14:solidFill>
                      </w14:textFill>
                    </w:rPr>
                    <w:t>厂内可燃物质遇明火发生火灾事故，造成人员伤亡及经济损失；火灾事故救援过程中产生的清消废水若没有及时收集，泄漏至厂区外会对周边地表水、土壤及沿途生态环境造成影响。</w:t>
                  </w:r>
                </w:p>
              </w:tc>
            </w:tr>
            <w:tr w14:paraId="2113CE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6675A4D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风险防范措施要求</w:t>
                  </w:r>
                </w:p>
              </w:tc>
              <w:tc>
                <w:tcPr>
                  <w:tcW w:w="3857" w:type="pct"/>
                  <w:gridSpan w:val="4"/>
                  <w:tcBorders>
                    <w:tl2br w:val="nil"/>
                    <w:tr2bl w:val="nil"/>
                  </w:tcBorders>
                  <w:vAlign w:val="center"/>
                </w:tcPr>
                <w:p w14:paraId="61FDC83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设有1间危废暂存间，并设有废油专用收集容器，用于贮存</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废机油</w:t>
                  </w:r>
                  <w:r>
                    <w:rPr>
                      <w:rFonts w:hint="default" w:ascii="Times New Roman" w:hAnsi="Times New Roman" w:eastAsia="宋体" w:cs="Times New Roman"/>
                      <w:color w:val="000000" w:themeColor="text1"/>
                      <w:kern w:val="0"/>
                      <w:sz w:val="21"/>
                      <w:szCs w:val="21"/>
                      <w:lang w:bidi="ar"/>
                      <w14:textFill>
                        <w14:solidFill>
                          <w14:schemeClr w14:val="tx1"/>
                        </w14:solidFill>
                      </w14:textFill>
                    </w:rPr>
                    <w:t>，收集后委托</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有资质单位</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处置</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设置</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1间溶剂间，用于贮存</w:t>
                  </w:r>
                  <w:r>
                    <w:rPr>
                      <w:rFonts w:hint="default" w:ascii="Times New Roman" w:hAnsi="Times New Roman" w:eastAsia="宋体" w:cs="Times New Roman"/>
                      <w:bCs/>
                      <w:color w:val="000000" w:themeColor="text1"/>
                      <w:sz w:val="21"/>
                      <w:szCs w:val="21"/>
                      <w:lang w:eastAsia="zh-CN"/>
                      <w14:textFill>
                        <w14:solidFill>
                          <w14:schemeClr w14:val="tx1"/>
                        </w14:solidFill>
                      </w14:textFill>
                    </w:rPr>
                    <w:t>原辅料。</w:t>
                  </w:r>
                </w:p>
                <w:p w14:paraId="61FC538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为减少事故发生，必须增加管理力度，提高员工技术水平和安全意识，严格按规范操作，认真落实应急预案。并加强设备检查和维修，减少故障发生，提高企业的应急能力，从而确保生产安全。</w:t>
                  </w:r>
                </w:p>
              </w:tc>
            </w:tr>
            <w:tr w14:paraId="3822EB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5000" w:type="pct"/>
                  <w:gridSpan w:val="5"/>
                  <w:tcBorders>
                    <w:tl2br w:val="nil"/>
                    <w:tr2bl w:val="nil"/>
                  </w:tcBorders>
                  <w:vAlign w:val="center"/>
                </w:tcPr>
                <w:p w14:paraId="7189B88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填表说明（列出项目相关信息及评价说明）：本项目环境风险评价等级为简单分析，项目可能发生的事故为火灾事故，建设单位在严格执行上述预防措施后，并加强管理，严格操作，避免人为因素造成事故，可将环境风险控制在可接受的水平之内。</w:t>
                  </w:r>
                </w:p>
              </w:tc>
            </w:tr>
          </w:tbl>
          <w:p w14:paraId="5B9B779E">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、竣工环境保护验收</w:t>
            </w:r>
          </w:p>
          <w:p w14:paraId="28F9AEDD">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环保措施应当与整合主体工程同时设计、同时施工和同时投产，环保设施按照建设项目竣工环境保护验收管理办法，工程完成后在规定时间建设单位应向当地环保部门提出申请环保设施竣工验收，同时提交竣工环境保护验收调查报告</w:t>
            </w:r>
            <w:r>
              <w:rPr>
                <w:rFonts w:hint="default" w:ascii="Times New Roman" w:hAnsi="Times New Roman" w:eastAsia="宋体" w:cs="Times New Roman"/>
                <w:color w:val="000000" w:themeColor="text1"/>
                <w:szCs w:val="24"/>
                <w14:textFill>
                  <w14:solidFill>
                    <w14:schemeClr w14:val="tx1"/>
                  </w14:solidFill>
                </w14:textFill>
              </w:rPr>
              <w:t>。</w:t>
            </w:r>
          </w:p>
          <w:p w14:paraId="263E1A8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项目环保设施竣工验收一览表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279"/>
              <w:gridCol w:w="3721"/>
              <w:gridCol w:w="2322"/>
            </w:tblGrid>
            <w:tr w14:paraId="5DFA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2260106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793" w:type="pct"/>
                  <w:vAlign w:val="center"/>
                </w:tcPr>
                <w:p w14:paraId="0DFFCA4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验收对象</w:t>
                  </w:r>
                </w:p>
              </w:tc>
              <w:tc>
                <w:tcPr>
                  <w:tcW w:w="2307" w:type="pct"/>
                  <w:vAlign w:val="center"/>
                </w:tcPr>
                <w:p w14:paraId="384194A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治理措施</w:t>
                  </w:r>
                </w:p>
              </w:tc>
              <w:tc>
                <w:tcPr>
                  <w:tcW w:w="1439" w:type="pct"/>
                  <w:vAlign w:val="center"/>
                </w:tcPr>
                <w:p w14:paraId="38FC56E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验收标准</w:t>
                  </w:r>
                </w:p>
              </w:tc>
            </w:tr>
            <w:tr w14:paraId="724D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69F5EA1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大气污染防治措施</w:t>
                  </w:r>
                </w:p>
              </w:tc>
              <w:tc>
                <w:tcPr>
                  <w:tcW w:w="793" w:type="pct"/>
                  <w:vAlign w:val="center"/>
                </w:tcPr>
                <w:p w14:paraId="696CCC2C">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有组织废气</w:t>
                  </w:r>
                </w:p>
              </w:tc>
              <w:tc>
                <w:tcPr>
                  <w:tcW w:w="2307" w:type="pct"/>
                  <w:vAlign w:val="center"/>
                </w:tcPr>
                <w:p w14:paraId="4BAD7BE5">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项目印刷机、复合机、制袋机上方设置有集气罩，连接集气管道，印刷废气、复合废气及制袋废气收集后一起引至一套</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RTO蓄热燃烧装置</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处理后通过22m高排气筒DA001排放。</w:t>
                  </w:r>
                </w:p>
                <w:p w14:paraId="39D9A864">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溶剂间废气经收集后一同进入RTO废气处理系统处理后通过22m高排气筒DA001排放。</w:t>
                  </w:r>
                </w:p>
                <w:p w14:paraId="38335784">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本环评要求熟化工序结束后收集熟化室内的废气并引入RTO废气处理系统处理。</w:t>
                  </w:r>
                </w:p>
              </w:tc>
              <w:tc>
                <w:tcPr>
                  <w:tcW w:w="1439" w:type="pct"/>
                  <w:shd w:val="clear" w:color="auto" w:fill="auto"/>
                  <w:vAlign w:val="center"/>
                </w:tcPr>
                <w:p w14:paraId="6EF01703">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《印刷工业大气污染物排放标准》（GB41616-2022）表1、表2</w:t>
                  </w:r>
                </w:p>
              </w:tc>
            </w:tr>
            <w:tr w14:paraId="723B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7214A88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41328EA2">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无组织废气</w:t>
                  </w:r>
                </w:p>
              </w:tc>
              <w:tc>
                <w:tcPr>
                  <w:tcW w:w="2307" w:type="pct"/>
                  <w:vAlign w:val="center"/>
                </w:tcPr>
                <w:p w14:paraId="5F52B3DB">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本项目未捕集无组织废气、异味经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车间加强通风、自然稀释扩散后无组织排放。</w:t>
                  </w:r>
                </w:p>
              </w:tc>
              <w:tc>
                <w:tcPr>
                  <w:tcW w:w="1439" w:type="pct"/>
                  <w:shd w:val="clear" w:color="auto" w:fill="auto"/>
                  <w:vAlign w:val="center"/>
                </w:tcPr>
                <w:p w14:paraId="398C5137">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《大气污染物综合排放标准》（GB16297-1996）表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2、《印刷工业大气污染物排放标准》（GB41616-2022）表A.1</w:t>
                  </w:r>
                </w:p>
              </w:tc>
            </w:tr>
            <w:tr w14:paraId="4F6B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30E082F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废水防治措施</w:t>
                  </w:r>
                </w:p>
              </w:tc>
              <w:tc>
                <w:tcPr>
                  <w:tcW w:w="793" w:type="pct"/>
                  <w:vAlign w:val="center"/>
                </w:tcPr>
                <w:p w14:paraId="778BCBF3">
                  <w:pPr>
                    <w:pageBreakBefore w:val="0"/>
                    <w:widowControl/>
                    <w:kinsoku/>
                    <w:overflowPunct/>
                    <w:topLinePunct w:val="0"/>
                    <w:bidi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雨污分流</w:t>
                  </w:r>
                </w:p>
              </w:tc>
              <w:tc>
                <w:tcPr>
                  <w:tcW w:w="2307" w:type="pct"/>
                  <w:vAlign w:val="center"/>
                </w:tcPr>
                <w:p w14:paraId="217D0AFC">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项目采取雨污分流制，初期雨水经厂区内现有雨水沟后进入市政雨水管网。</w:t>
                  </w:r>
                </w:p>
              </w:tc>
              <w:tc>
                <w:tcPr>
                  <w:tcW w:w="1439" w:type="pct"/>
                  <w:vAlign w:val="center"/>
                </w:tcPr>
                <w:p w14:paraId="5D9ABB47">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224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2E45099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51BBD6E7">
                  <w:pPr>
                    <w:pStyle w:val="28"/>
                    <w:pageBreakBefore w:val="0"/>
                    <w:widowControl w:val="0"/>
                    <w:kinsoku/>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w:t>
                  </w:r>
                </w:p>
              </w:tc>
              <w:tc>
                <w:tcPr>
                  <w:tcW w:w="2307" w:type="pct"/>
                  <w:vAlign w:val="center"/>
                </w:tcPr>
                <w:p w14:paraId="1AC3175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本项目依托现有1个约10m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的化粪池</w:t>
                  </w:r>
                  <w:r>
                    <w:rPr>
                      <w:rFonts w:hint="eastAsia" w:cs="Times New Roman"/>
                      <w:color w:val="000000" w:themeColor="text1"/>
                      <w:sz w:val="21"/>
                      <w:szCs w:val="21"/>
                      <w:lang w:val="en-US" w:eastAsia="zh-CN"/>
                      <w14:textFill>
                        <w14:solidFill>
                          <w14:schemeClr w14:val="tx1"/>
                        </w14:solidFill>
                      </w14:textFill>
                    </w:rPr>
                    <w:t>；2m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/d“A/O法生物处理”一体化生活污水处理设施。新增1个10m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的中水收集池。</w:t>
                  </w:r>
                </w:p>
                <w:p w14:paraId="1CB45D6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近期由于园区污水处理厂暂未正常运行，生活污水经化粪池预处理后进入自建生活污水处理设施处理达绿化标准后用于厂区周边绿化，</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，留待晴天使用；远期待园区污水处理厂正常运行后，产生的生活污水通过化粪池预处理，达到标后，排入园区市政污水管网，进入园区污水处理厂处理。</w:t>
                  </w:r>
                </w:p>
              </w:tc>
              <w:tc>
                <w:tcPr>
                  <w:tcW w:w="1439" w:type="pct"/>
                  <w:vAlign w:val="center"/>
                </w:tcPr>
                <w:p w14:paraId="364CB7F4">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《城市污水再生利用 城市杂用水水质》（GB/T18920-2020）绿化标准、《污水综合排放标准》（GB8978-1996）表4三级标准及《污水排入城镇下水道水质标准》（GB/T31962-2015）</w:t>
                  </w:r>
                  <w:r>
                    <w:rPr>
                      <w:rFonts w:hint="eastAsia" w:cs="Times New Roman"/>
                      <w:color w:val="000000" w:themeColor="text1"/>
                      <w:sz w:val="21"/>
                      <w:szCs w:val="21"/>
                      <w:lang w:val="en-US" w:eastAsia="zh-CN"/>
                      <w14:textFill>
                        <w14:solidFill>
                          <w14:schemeClr w14:val="tx1"/>
                        </w14:solidFill>
                      </w14:textFill>
                    </w:rPr>
                    <w:t>表1A等级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标准规定的最严标准值</w:t>
                  </w:r>
                </w:p>
              </w:tc>
            </w:tr>
            <w:tr w14:paraId="71C7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E8E250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22F290E6">
                  <w:pPr>
                    <w:pStyle w:val="28"/>
                    <w:pageBreakBefore w:val="0"/>
                    <w:widowControl w:val="0"/>
                    <w:kinsoku/>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生产废水</w:t>
                  </w:r>
                </w:p>
              </w:tc>
              <w:tc>
                <w:tcPr>
                  <w:tcW w:w="2307" w:type="pct"/>
                  <w:vAlign w:val="center"/>
                </w:tcPr>
                <w:p w14:paraId="68847CC2">
                  <w:pPr>
                    <w:pStyle w:val="28"/>
                    <w:pageBreakBefore w:val="0"/>
                    <w:widowControl w:val="0"/>
                    <w:kinsoku/>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本项目生产过程中不产生生产废水，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对印刷设备进行清理时均采用抹布蘸取少量油墨清洗剂对设备进行擦拭，无清洗废水产生。</w:t>
                  </w:r>
                </w:p>
              </w:tc>
              <w:tc>
                <w:tcPr>
                  <w:tcW w:w="1439" w:type="pct"/>
                  <w:vAlign w:val="center"/>
                </w:tcPr>
                <w:p w14:paraId="286520C0">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EDE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3CF86AA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噪声防治措施</w:t>
                  </w:r>
                </w:p>
              </w:tc>
              <w:tc>
                <w:tcPr>
                  <w:tcW w:w="793" w:type="pct"/>
                  <w:vAlign w:val="center"/>
                </w:tcPr>
                <w:p w14:paraId="302B011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噪声</w:t>
                  </w:r>
                </w:p>
              </w:tc>
              <w:tc>
                <w:tcPr>
                  <w:tcW w:w="2307" w:type="pct"/>
                  <w:vAlign w:val="center"/>
                </w:tcPr>
                <w:p w14:paraId="36E32BF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项目所有生产设备均置于厂房内，</w:t>
                  </w:r>
                  <w:r>
                    <w:rPr>
                      <w:rFonts w:hint="default" w:ascii="Times New Roman" w:hAnsi="Times New Roman" w:eastAsia="宋体" w:cs="Times New Roman"/>
                      <w:color w:val="000000" w:themeColor="text1"/>
                      <w:sz w:val="21"/>
                      <w:szCs w:val="21"/>
                      <w14:textFill>
                        <w14:solidFill>
                          <w14:schemeClr w14:val="tx1"/>
                        </w14:solidFill>
                      </w14:textFill>
                    </w:rPr>
                    <w:t>选用低噪设备、安装减震垫、厂房隔音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439" w:type="pct"/>
                  <w:vAlign w:val="center"/>
                </w:tcPr>
                <w:p w14:paraId="0FDED5D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GB12348-2008</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3类标准</w:t>
                  </w:r>
                </w:p>
              </w:tc>
            </w:tr>
            <w:tr w14:paraId="5838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6D3E20C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固废防治措施</w:t>
                  </w:r>
                </w:p>
              </w:tc>
              <w:tc>
                <w:tcPr>
                  <w:tcW w:w="793" w:type="pct"/>
                  <w:vAlign w:val="center"/>
                </w:tcPr>
                <w:p w14:paraId="67751D9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2307" w:type="pct"/>
                  <w:vAlign w:val="center"/>
                </w:tcPr>
                <w:p w14:paraId="47B29B3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生活垃圾由垃圾收集桶收集后运至园区生活垃圾收集点，由环卫部门清运处置。</w:t>
                  </w:r>
                </w:p>
              </w:tc>
              <w:tc>
                <w:tcPr>
                  <w:tcW w:w="1439" w:type="pct"/>
                  <w:vMerge w:val="restart"/>
                  <w:vAlign w:val="center"/>
                </w:tcPr>
                <w:p w14:paraId="4BB06E4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处置率100%</w:t>
                  </w:r>
                </w:p>
              </w:tc>
            </w:tr>
            <w:tr w14:paraId="665F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94EA2F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2059917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废包装材料</w:t>
                  </w:r>
                </w:p>
              </w:tc>
              <w:tc>
                <w:tcPr>
                  <w:tcW w:w="2307" w:type="pct"/>
                  <w:vMerge w:val="restart"/>
                  <w:vAlign w:val="center"/>
                </w:tcPr>
                <w:p w14:paraId="38CF778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定期外售至周边废品回收站进行资源化利用</w:t>
                  </w:r>
                </w:p>
              </w:tc>
              <w:tc>
                <w:tcPr>
                  <w:tcW w:w="1439" w:type="pct"/>
                  <w:vMerge w:val="continue"/>
                  <w:vAlign w:val="center"/>
                </w:tcPr>
                <w:p w14:paraId="298F889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CE3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2D64525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689A62E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不合格品</w:t>
                  </w:r>
                </w:p>
              </w:tc>
              <w:tc>
                <w:tcPr>
                  <w:tcW w:w="2307" w:type="pct"/>
                  <w:vMerge w:val="continue"/>
                  <w:vAlign w:val="center"/>
                </w:tcPr>
                <w:p w14:paraId="08A2924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9" w:type="pct"/>
                  <w:vMerge w:val="continue"/>
                  <w:vAlign w:val="center"/>
                </w:tcPr>
                <w:p w14:paraId="3C13E27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575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09CEBA6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3D943C9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边角料</w:t>
                  </w:r>
                </w:p>
              </w:tc>
              <w:tc>
                <w:tcPr>
                  <w:tcW w:w="2307" w:type="pct"/>
                  <w:vMerge w:val="continue"/>
                  <w:vAlign w:val="center"/>
                </w:tcPr>
                <w:p w14:paraId="71946BA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39" w:type="pct"/>
                  <w:vMerge w:val="continue"/>
                  <w:vAlign w:val="center"/>
                </w:tcPr>
                <w:p w14:paraId="1FF097C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2B5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043CD9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6DDA6EF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废RTO陶瓷蓄热体</w:t>
                  </w:r>
                </w:p>
              </w:tc>
              <w:tc>
                <w:tcPr>
                  <w:tcW w:w="2307" w:type="pct"/>
                  <w:vAlign w:val="center"/>
                </w:tcPr>
                <w:p w14:paraId="2F3911E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废陶瓷蓄热体委托RTO设备厂商进行更换，更换后由厂商带走进行处置。</w:t>
                  </w:r>
                </w:p>
              </w:tc>
              <w:tc>
                <w:tcPr>
                  <w:tcW w:w="1439" w:type="pct"/>
                  <w:vMerge w:val="continue"/>
                  <w:vAlign w:val="center"/>
                </w:tcPr>
                <w:p w14:paraId="29EC002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0E8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408E28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21F80F0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废包装桶</w:t>
                  </w:r>
                </w:p>
              </w:tc>
              <w:tc>
                <w:tcPr>
                  <w:tcW w:w="2307" w:type="pct"/>
                  <w:vMerge w:val="restart"/>
                  <w:vAlign w:val="center"/>
                </w:tcPr>
                <w:p w14:paraId="1EC76FF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设置有1间5m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危废暂存间，危险废物分类收集后分类暂存于危废暂存间，定期委托有资质单位清运处置</w:t>
                  </w:r>
                </w:p>
              </w:tc>
              <w:tc>
                <w:tcPr>
                  <w:tcW w:w="1439" w:type="pct"/>
                  <w:vMerge w:val="continue"/>
                  <w:vAlign w:val="center"/>
                </w:tcPr>
                <w:p w14:paraId="79EE109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D62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F4D1A9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7A6DD5E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废抹布</w:t>
                  </w:r>
                </w:p>
              </w:tc>
              <w:tc>
                <w:tcPr>
                  <w:tcW w:w="2307" w:type="pct"/>
                  <w:vMerge w:val="continue"/>
                  <w:vAlign w:val="center"/>
                </w:tcPr>
                <w:p w14:paraId="2878845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9" w:type="pct"/>
                  <w:vMerge w:val="continue"/>
                  <w:vAlign w:val="center"/>
                </w:tcPr>
                <w:p w14:paraId="570C391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E5A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2BCE14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119EAEB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废油墨渣</w:t>
                  </w:r>
                </w:p>
              </w:tc>
              <w:tc>
                <w:tcPr>
                  <w:tcW w:w="2307" w:type="pct"/>
                  <w:vMerge w:val="continue"/>
                  <w:vAlign w:val="center"/>
                </w:tcPr>
                <w:p w14:paraId="6486E5F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9" w:type="pct"/>
                  <w:vMerge w:val="continue"/>
                  <w:vAlign w:val="center"/>
                </w:tcPr>
                <w:p w14:paraId="3F56BB9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494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5278F8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30070E6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废有机溶剂</w:t>
                  </w:r>
                </w:p>
              </w:tc>
              <w:tc>
                <w:tcPr>
                  <w:tcW w:w="2307" w:type="pct"/>
                  <w:vMerge w:val="continue"/>
                  <w:vAlign w:val="center"/>
                </w:tcPr>
                <w:p w14:paraId="49FF24F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9" w:type="pct"/>
                  <w:vMerge w:val="continue"/>
                  <w:vAlign w:val="center"/>
                </w:tcPr>
                <w:p w14:paraId="51782F7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B71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7D07A1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49DEC77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废印</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版辊</w:t>
                  </w:r>
                </w:p>
              </w:tc>
              <w:tc>
                <w:tcPr>
                  <w:tcW w:w="2307" w:type="pct"/>
                  <w:vMerge w:val="continue"/>
                  <w:vAlign w:val="center"/>
                </w:tcPr>
                <w:p w14:paraId="528D8D8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9" w:type="pct"/>
                  <w:vMerge w:val="continue"/>
                  <w:vAlign w:val="center"/>
                </w:tcPr>
                <w:p w14:paraId="19248A7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9F2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91C024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3" w:type="pct"/>
                  <w:vAlign w:val="center"/>
                </w:tcPr>
                <w:p w14:paraId="3ED88B5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废机油</w:t>
                  </w:r>
                </w:p>
              </w:tc>
              <w:tc>
                <w:tcPr>
                  <w:tcW w:w="2307" w:type="pct"/>
                  <w:vMerge w:val="continue"/>
                  <w:vAlign w:val="center"/>
                </w:tcPr>
                <w:p w14:paraId="63997B7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9" w:type="pct"/>
                  <w:vMerge w:val="continue"/>
                  <w:vAlign w:val="center"/>
                </w:tcPr>
                <w:p w14:paraId="2AC89C3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978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77A58A4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土壤及地下水污染防治措施</w:t>
                  </w:r>
                </w:p>
              </w:tc>
              <w:tc>
                <w:tcPr>
                  <w:tcW w:w="4540" w:type="pct"/>
                  <w:gridSpan w:val="3"/>
                  <w:vAlign w:val="center"/>
                </w:tcPr>
                <w:p w14:paraId="55F235B4">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重点防渗</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区：</w:t>
                  </w: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eastAsia="宋体" w:cs="Times New Roman"/>
                      <w:color w:val="000000" w:themeColor="text1"/>
                      <w:sz w:val="21"/>
                      <w:szCs w:val="21"/>
                      <w:lang w:eastAsia="zh-CN"/>
                      <w14:textFill>
                        <w14:solidFill>
                          <w14:schemeClr w14:val="tx1"/>
                        </w14:solidFill>
                      </w14:textFill>
                    </w:rPr>
                    <w:t>、溶剂间作为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eastAsia="宋体" w:cs="Times New Roman"/>
                      <w:color w:val="000000" w:themeColor="text1"/>
                      <w:sz w:val="21"/>
                      <w:szCs w:val="21"/>
                      <w:lang w:eastAsia="zh-CN"/>
                      <w14:textFill>
                        <w14:solidFill>
                          <w14:schemeClr w14:val="tx1"/>
                        </w14:solidFill>
                      </w14:textFill>
                    </w:rPr>
                    <w:t>区。</w:t>
                  </w:r>
                </w:p>
                <w:p w14:paraId="634F7EF7">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溶剂间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eastAsia="宋体"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参照执行《危险废物贮存污染控制标准》（GB18597-2023）相关要求，防渗层为至少1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p>
                <w:p w14:paraId="7FCB937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一般防渗区</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sz w:val="21"/>
                      <w:szCs w:val="21"/>
                      <w:lang w:eastAsia="zh-CN"/>
                      <w14:textFill>
                        <w14:solidFill>
                          <w14:schemeClr w14:val="tx1"/>
                        </w14:solidFill>
                      </w14:textFill>
                    </w:rPr>
                    <w:t>生产区、原料区、成品区等区域地面为一般防渗区，</w:t>
                  </w:r>
                  <w:r>
                    <w:rPr>
                      <w:rFonts w:hint="default" w:ascii="Times New Roman" w:hAnsi="Times New Roman" w:eastAsia="宋体" w:cs="Times New Roman"/>
                      <w:color w:val="000000" w:themeColor="text1"/>
                      <w:sz w:val="21"/>
                      <w:szCs w:val="18"/>
                      <w:highlight w:val="none"/>
                      <w14:textFill>
                        <w14:solidFill>
                          <w14:schemeClr w14:val="tx1"/>
                        </w14:solidFill>
                      </w14:textFill>
                    </w:rPr>
                    <w:t>按照</w:t>
                  </w:r>
                  <w:r>
                    <w:rPr>
                      <w:rFonts w:hint="default" w:ascii="Times New Roman" w:hAnsi="Times New Roman" w:eastAsia="宋体" w:cs="Times New Roman"/>
                      <w:color w:val="000000" w:themeColor="text1"/>
                      <w:sz w:val="21"/>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18"/>
                      <w:highlight w:val="none"/>
                      <w14:textFill>
                        <w14:solidFill>
                          <w14:schemeClr w14:val="tx1"/>
                        </w14:solidFill>
                      </w14:textFill>
                    </w:rPr>
                    <w:t>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p>
                <w:p w14:paraId="32F2262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简单防渗区：</w:t>
                  </w: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lang w:eastAsia="zh-CN"/>
                      <w14:textFill>
                        <w14:solidFill>
                          <w14:schemeClr w14:val="tx1"/>
                        </w14:solidFill>
                      </w14:textFill>
                    </w:rPr>
                    <w:t>办公室等区域地面</w:t>
                  </w:r>
                  <w:r>
                    <w:rPr>
                      <w:rFonts w:hint="default" w:ascii="Times New Roman" w:hAnsi="Times New Roman" w:eastAsia="宋体" w:cs="Times New Roman"/>
                      <w:color w:val="000000" w:themeColor="text1"/>
                      <w:sz w:val="21"/>
                      <w:szCs w:val="21"/>
                      <w14:textFill>
                        <w14:solidFill>
                          <w14:schemeClr w14:val="tx1"/>
                        </w14:solidFill>
                      </w14:textFill>
                    </w:rPr>
                    <w:t>为简单防渗区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lang w:val="zh-CN"/>
                      <w14:textFill>
                        <w14:solidFill>
                          <w14:schemeClr w14:val="tx1"/>
                        </w14:solidFill>
                      </w14:textFill>
                    </w:rPr>
                    <w:t>一般</w:t>
                  </w:r>
                  <w:r>
                    <w:rPr>
                      <w:rFonts w:hint="default" w:ascii="Times New Roman" w:hAnsi="Times New Roman" w:eastAsia="宋体" w:cs="Times New Roman"/>
                      <w:color w:val="000000" w:themeColor="text1"/>
                      <w:sz w:val="21"/>
                      <w:szCs w:val="21"/>
                      <w14:textFill>
                        <w14:solidFill>
                          <w14:schemeClr w14:val="tx1"/>
                        </w14:solidFill>
                      </w14:textFill>
                    </w:rPr>
                    <w:t>地面硬化</w:t>
                  </w:r>
                  <w:r>
                    <w:rPr>
                      <w:rFonts w:hint="default" w:ascii="Times New Roman" w:hAnsi="Times New Roman" w:eastAsia="宋体" w:cs="Times New Roman"/>
                      <w:color w:val="000000" w:themeColor="text1"/>
                      <w:sz w:val="21"/>
                      <w:szCs w:val="21"/>
                      <w:lang w:eastAsia="zh-CN"/>
                      <w14:textFill>
                        <w14:solidFill>
                          <w14:schemeClr w14:val="tx1"/>
                        </w14:solidFill>
                      </w14:textFill>
                    </w:rPr>
                    <w:t>处理。</w:t>
                  </w:r>
                </w:p>
              </w:tc>
            </w:tr>
          </w:tbl>
          <w:p w14:paraId="6C83246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4446E0E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55B5954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30A1D4C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02562E0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613EA39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2AD6035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3CFA9BD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281E4E4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7F0E968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1385AAE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497CC08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688B2E1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3163EF5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0562962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271FA6D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49A85A7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6B84066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575300C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33</w:t>
            </w:r>
            <w:r>
              <w:rPr>
                <w:rFonts w:hint="default" w:ascii="Times New Roman" w:hAnsi="Times New Roman" w:eastAsia="宋体" w:cs="Times New Roman"/>
                <w:b/>
                <w:color w:val="000000" w:themeColor="text1"/>
                <w:sz w:val="21"/>
                <w:szCs w:val="21"/>
                <w14:textFill>
                  <w14:solidFill>
                    <w14:schemeClr w14:val="tx1"/>
                  </w14:solidFill>
                </w14:textFill>
              </w:rPr>
              <w:t xml:space="preserve"> </w:t>
            </w:r>
            <w:r>
              <w:rPr>
                <w:rFonts w:hint="default" w:ascii="Times New Roman" w:hAnsi="Times New Roman" w:eastAsia="宋体" w:cs="Times New Roman"/>
                <w:b/>
                <w:color w:val="000000" w:themeColor="text1"/>
                <w:sz w:val="21"/>
                <w:szCs w:val="21"/>
                <w:lang w:eastAsia="zh-CN"/>
                <w14:textFill>
                  <w14:solidFill>
                    <w14:schemeClr w14:val="tx1"/>
                  </w14:solidFill>
                </w14:textFill>
              </w:rPr>
              <w:t>竣工验收</w:t>
            </w:r>
            <w:r>
              <w:rPr>
                <w:rFonts w:hint="default" w:ascii="Times New Roman" w:hAnsi="Times New Roman" w:eastAsia="宋体" w:cs="Times New Roman"/>
                <w:b/>
                <w:color w:val="000000" w:themeColor="text1"/>
                <w:sz w:val="21"/>
                <w:szCs w:val="21"/>
                <w14:textFill>
                  <w14:solidFill>
                    <w14:schemeClr w14:val="tx1"/>
                  </w14:solidFill>
                </w14:textFill>
              </w:rPr>
              <w:t>监测一览表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471"/>
              <w:gridCol w:w="984"/>
              <w:gridCol w:w="2016"/>
              <w:gridCol w:w="1358"/>
              <w:gridCol w:w="2568"/>
            </w:tblGrid>
            <w:tr w14:paraId="07DC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2" w:type="pct"/>
                  <w:vAlign w:val="center"/>
                </w:tcPr>
                <w:p w14:paraId="2E5E4F4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监测项目</w:t>
                  </w:r>
                </w:p>
              </w:tc>
              <w:tc>
                <w:tcPr>
                  <w:tcW w:w="902" w:type="pct"/>
                  <w:gridSpan w:val="2"/>
                  <w:vAlign w:val="center"/>
                </w:tcPr>
                <w:p w14:paraId="7D07064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监测点位</w:t>
                  </w:r>
                </w:p>
              </w:tc>
              <w:tc>
                <w:tcPr>
                  <w:tcW w:w="1250" w:type="pct"/>
                  <w:vAlign w:val="center"/>
                </w:tcPr>
                <w:p w14:paraId="16B1B0E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监测指标</w:t>
                  </w:r>
                </w:p>
              </w:tc>
              <w:tc>
                <w:tcPr>
                  <w:tcW w:w="842" w:type="pct"/>
                  <w:vAlign w:val="center"/>
                </w:tcPr>
                <w:p w14:paraId="2E27651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监测频率</w:t>
                  </w:r>
                </w:p>
              </w:tc>
              <w:tc>
                <w:tcPr>
                  <w:tcW w:w="1592" w:type="pct"/>
                  <w:vAlign w:val="center"/>
                </w:tcPr>
                <w:p w14:paraId="575F401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执行标准</w:t>
                  </w:r>
                </w:p>
              </w:tc>
            </w:tr>
            <w:tr w14:paraId="281B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412" w:type="pct"/>
                  <w:vMerge w:val="restart"/>
                  <w:vAlign w:val="center"/>
                </w:tcPr>
                <w:p w14:paraId="6784CF5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废气</w:t>
                  </w:r>
                </w:p>
              </w:tc>
              <w:tc>
                <w:tcPr>
                  <w:tcW w:w="902" w:type="pct"/>
                  <w:gridSpan w:val="2"/>
                  <w:vAlign w:val="center"/>
                </w:tcPr>
                <w:p w14:paraId="78E2DB19">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DA001</w:t>
                  </w:r>
                  <w:r>
                    <w:rPr>
                      <w:rFonts w:hint="default" w:ascii="Times New Roman" w:hAnsi="Times New Roman" w:eastAsia="宋体" w:cs="Times New Roman"/>
                      <w:color w:val="000000" w:themeColor="text1"/>
                      <w:lang w:eastAsia="zh-CN"/>
                      <w14:textFill>
                        <w14:solidFill>
                          <w14:schemeClr w14:val="tx1"/>
                        </w14:solidFill>
                      </w14:textFill>
                    </w:rPr>
                    <w:t>废气排放口</w:t>
                  </w:r>
                </w:p>
              </w:tc>
              <w:tc>
                <w:tcPr>
                  <w:tcW w:w="1250" w:type="pct"/>
                  <w:vAlign w:val="center"/>
                </w:tcPr>
                <w:p w14:paraId="46964B0E">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非甲烷总烃、颗粒物</w:t>
                  </w:r>
                  <w:r>
                    <w:rPr>
                      <w:rFonts w:hint="default" w:ascii="Times New Roman" w:hAnsi="Times New Roman" w:eastAsia="宋体" w:cs="Times New Roman"/>
                      <w:color w:val="000000" w:themeColor="text1"/>
                      <w:lang w:eastAsia="zh-CN"/>
                      <w14:textFill>
                        <w14:solidFill>
                          <w14:schemeClr w14:val="tx1"/>
                        </w14:solidFill>
                      </w14:textFill>
                    </w:rPr>
                    <w:t>、二氧化硫、氮氧化物、苯及苯系物</w:t>
                  </w:r>
                </w:p>
              </w:tc>
              <w:tc>
                <w:tcPr>
                  <w:tcW w:w="842" w:type="pct"/>
                  <w:vMerge w:val="restart"/>
                  <w:vAlign w:val="center"/>
                </w:tcPr>
                <w:p w14:paraId="701879F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竣工验收时，连续监测2天，每天采样3次</w:t>
                  </w:r>
                </w:p>
              </w:tc>
              <w:tc>
                <w:tcPr>
                  <w:tcW w:w="1592" w:type="pct"/>
                  <w:vAlign w:val="center"/>
                </w:tcPr>
                <w:p w14:paraId="0AD3ADD5">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《印刷工业大气污染物排放标准》（GB41616-2022）表1、表2</w:t>
                  </w:r>
                </w:p>
              </w:tc>
            </w:tr>
            <w:tr w14:paraId="2CEB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412" w:type="pct"/>
                  <w:vMerge w:val="continue"/>
                  <w:vAlign w:val="center"/>
                </w:tcPr>
                <w:p w14:paraId="51E788C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2" w:type="pct"/>
                  <w:gridSpan w:val="2"/>
                  <w:vAlign w:val="center"/>
                </w:tcPr>
                <w:p w14:paraId="7E4A2E6B">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厂界</w:t>
                  </w:r>
                  <w:r>
                    <w:rPr>
                      <w:rFonts w:hint="default" w:ascii="Times New Roman" w:hAnsi="Times New Roman" w:eastAsia="宋体" w:cs="Times New Roman"/>
                      <w:color w:val="000000" w:themeColor="text1"/>
                      <w14:textFill>
                        <w14:solidFill>
                          <w14:schemeClr w14:val="tx1"/>
                        </w14:solidFill>
                      </w14:textFill>
                    </w:rPr>
                    <w:t>上风向设1个对照点、厂址下风向设3个监控点</w:t>
                  </w:r>
                </w:p>
              </w:tc>
              <w:tc>
                <w:tcPr>
                  <w:tcW w:w="1250" w:type="pct"/>
                  <w:vAlign w:val="center"/>
                </w:tcPr>
                <w:p w14:paraId="6154ACF2">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非甲烷总烃、颗粒物、臭气浓度</w:t>
                  </w:r>
                  <w:r>
                    <w:rPr>
                      <w:rFonts w:hint="default" w:ascii="Times New Roman" w:hAnsi="Times New Roman" w:eastAsia="宋体" w:cs="Times New Roman"/>
                      <w:color w:val="000000" w:themeColor="text1"/>
                      <w:lang w:eastAsia="zh-CN"/>
                      <w14:textFill>
                        <w14:solidFill>
                          <w14:schemeClr w14:val="tx1"/>
                        </w14:solidFill>
                      </w14:textFill>
                    </w:rPr>
                    <w:t>、苯</w:t>
                  </w:r>
                </w:p>
              </w:tc>
              <w:tc>
                <w:tcPr>
                  <w:tcW w:w="842" w:type="pct"/>
                  <w:vMerge w:val="continue"/>
                  <w:vAlign w:val="center"/>
                </w:tcPr>
                <w:p w14:paraId="1266A6C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1592" w:type="pct"/>
                  <w:vAlign w:val="center"/>
                </w:tcPr>
                <w:p w14:paraId="27208419">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《大气污染物综合排放标准》（GB16297-1996）表</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《恶臭污染物排放标准》（GB14554-1993）</w:t>
                  </w:r>
                  <w:r>
                    <w:rPr>
                      <w:rFonts w:hint="default" w:ascii="Times New Roman" w:hAnsi="Times New Roman" w:eastAsia="宋体" w:cs="Times New Roman"/>
                      <w:color w:val="000000" w:themeColor="text1"/>
                      <w:lang w:eastAsia="zh-CN"/>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二级标准</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《印刷工业大气污染物排放标准》（GB41616-2022）</w:t>
                  </w:r>
                </w:p>
              </w:tc>
            </w:tr>
            <w:tr w14:paraId="344F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412" w:type="pct"/>
                  <w:vMerge w:val="continue"/>
                  <w:vAlign w:val="center"/>
                </w:tcPr>
                <w:p w14:paraId="0209BF2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2" w:type="pct"/>
                  <w:gridSpan w:val="2"/>
                  <w:vAlign w:val="center"/>
                </w:tcPr>
                <w:p w14:paraId="699EDF0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厂房门口</w:t>
                  </w:r>
                </w:p>
              </w:tc>
              <w:tc>
                <w:tcPr>
                  <w:tcW w:w="1250" w:type="pct"/>
                  <w:vAlign w:val="center"/>
                </w:tcPr>
                <w:p w14:paraId="655F3D3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非甲烷总烃</w:t>
                  </w:r>
                </w:p>
              </w:tc>
              <w:tc>
                <w:tcPr>
                  <w:tcW w:w="842" w:type="pct"/>
                  <w:vMerge w:val="continue"/>
                  <w:vAlign w:val="center"/>
                </w:tcPr>
                <w:p w14:paraId="437B0D6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1592" w:type="pct"/>
                  <w:vAlign w:val="center"/>
                </w:tcPr>
                <w:p w14:paraId="545BD448">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《印刷工业大气污染物排放标准》（GB41616-2022）表A.1</w:t>
                  </w:r>
                </w:p>
              </w:tc>
            </w:tr>
            <w:tr w14:paraId="4F4D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412" w:type="pct"/>
                  <w:vMerge w:val="restart"/>
                  <w:vAlign w:val="center"/>
                </w:tcPr>
                <w:p w14:paraId="0026F99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废水</w:t>
                  </w:r>
                </w:p>
              </w:tc>
              <w:tc>
                <w:tcPr>
                  <w:tcW w:w="292" w:type="pct"/>
                  <w:vAlign w:val="center"/>
                </w:tcPr>
                <w:p w14:paraId="68AEB3F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近期</w:t>
                  </w:r>
                </w:p>
              </w:tc>
              <w:tc>
                <w:tcPr>
                  <w:tcW w:w="610" w:type="pct"/>
                  <w:vAlign w:val="center"/>
                </w:tcPr>
                <w:p w14:paraId="16CFF24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自建污水处理设施出水口</w:t>
                  </w:r>
                </w:p>
              </w:tc>
              <w:tc>
                <w:tcPr>
                  <w:tcW w:w="1250" w:type="pct"/>
                  <w:vAlign w:val="center"/>
                </w:tcPr>
                <w:p w14:paraId="70B9839C">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pH、色度、嗅、浊度、五日生化需氧量、氨氮、阴离子表面活性剂、溶解性总固体、溶解氧、总氯、大肠埃希氏菌</w:t>
                  </w:r>
                </w:p>
              </w:tc>
              <w:tc>
                <w:tcPr>
                  <w:tcW w:w="842" w:type="pct"/>
                  <w:vMerge w:val="restart"/>
                  <w:vAlign w:val="center"/>
                </w:tcPr>
                <w:p w14:paraId="08BEA9C4">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竣工验收时，连续监测2天，每天采样4次</w:t>
                  </w:r>
                </w:p>
              </w:tc>
              <w:tc>
                <w:tcPr>
                  <w:tcW w:w="1592" w:type="pct"/>
                  <w:vAlign w:val="center"/>
                </w:tcPr>
                <w:p w14:paraId="611BED23">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《城市污水再生利用 城市杂用水水质》（GB/T18920-2020）绿化标准</w:t>
                  </w:r>
                </w:p>
              </w:tc>
            </w:tr>
            <w:tr w14:paraId="1286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412" w:type="pct"/>
                  <w:vMerge w:val="continue"/>
                  <w:vAlign w:val="center"/>
                </w:tcPr>
                <w:p w14:paraId="5F34CE3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292" w:type="pct"/>
                  <w:vAlign w:val="center"/>
                </w:tcPr>
                <w:p w14:paraId="085EACCB">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远期</w:t>
                  </w:r>
                </w:p>
              </w:tc>
              <w:tc>
                <w:tcPr>
                  <w:tcW w:w="610" w:type="pct"/>
                  <w:vAlign w:val="center"/>
                </w:tcPr>
                <w:p w14:paraId="5B38DBD0">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项目区生活污水排口</w:t>
                  </w:r>
                </w:p>
              </w:tc>
              <w:tc>
                <w:tcPr>
                  <w:tcW w:w="1250" w:type="pct"/>
                  <w:vAlign w:val="center"/>
                </w:tcPr>
                <w:p w14:paraId="52924C39">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色度</w:t>
                  </w:r>
                  <w:r>
                    <w:rPr>
                      <w:rFonts w:hint="default" w:ascii="Times New Roman" w:hAnsi="Times New Roman" w:eastAsia="宋体" w:cs="Times New Roman"/>
                      <w:color w:val="000000" w:themeColor="text1"/>
                      <w:szCs w:val="21"/>
                      <w:lang w:eastAsia="zh-CN"/>
                      <w14:textFill>
                        <w14:solidFill>
                          <w14:schemeClr w14:val="tx1"/>
                        </w14:solidFill>
                      </w14:textFill>
                    </w:rPr>
                    <w:t>、</w:t>
                  </w:r>
                </w:p>
                <w:p w14:paraId="01E52E97">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悬浮物</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溶解性总固体、阴离子表面活性剂</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五日生化需氧量</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化学需氧量</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石油类、动植物油、氨氮、总磷、总氮、总余氯</w:t>
                  </w:r>
                </w:p>
              </w:tc>
              <w:tc>
                <w:tcPr>
                  <w:tcW w:w="842" w:type="pct"/>
                  <w:vMerge w:val="continue"/>
                  <w:vAlign w:val="center"/>
                </w:tcPr>
                <w:p w14:paraId="51BD0903">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1592" w:type="pct"/>
                  <w:vAlign w:val="center"/>
                </w:tcPr>
                <w:p w14:paraId="7BD5E1B8">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《污水综合排放标准》（GB8978-1996）表4三级标准及《污水排入城镇下水道水质标准》（GB/T31962-2015）</w:t>
                  </w:r>
                  <w:r>
                    <w:rPr>
                      <w:rFonts w:hint="eastAsia" w:cs="Times New Roman"/>
                      <w:color w:val="000000" w:themeColor="text1"/>
                      <w:lang w:val="en-US" w:eastAsia="zh-CN"/>
                      <w14:textFill>
                        <w14:solidFill>
                          <w14:schemeClr w14:val="tx1"/>
                        </w14:solidFill>
                      </w14:textFill>
                    </w:rPr>
                    <w:t>表1A等级</w:t>
                  </w:r>
                  <w:r>
                    <w:rPr>
                      <w:rFonts w:hint="default" w:ascii="Times New Roman" w:hAnsi="Times New Roman" w:eastAsia="宋体" w:cs="Times New Roman"/>
                      <w:color w:val="000000" w:themeColor="text1"/>
                      <w:lang w:val="en-US" w:eastAsia="zh-CN"/>
                      <w14:textFill>
                        <w14:solidFill>
                          <w14:schemeClr w14:val="tx1"/>
                        </w14:solidFill>
                      </w14:textFill>
                    </w:rPr>
                    <w:t>标准规定的最严标准值</w:t>
                  </w:r>
                </w:p>
              </w:tc>
            </w:tr>
            <w:tr w14:paraId="00FF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2" w:type="pct"/>
                  <w:vAlign w:val="center"/>
                </w:tcPr>
                <w:p w14:paraId="2014C45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噪声</w:t>
                  </w:r>
                </w:p>
              </w:tc>
              <w:tc>
                <w:tcPr>
                  <w:tcW w:w="902" w:type="pct"/>
                  <w:gridSpan w:val="2"/>
                  <w:vAlign w:val="center"/>
                </w:tcPr>
                <w:p w14:paraId="5B830AB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项目厂界项目东、南、西、北外1m处</w:t>
                  </w:r>
                </w:p>
              </w:tc>
              <w:tc>
                <w:tcPr>
                  <w:tcW w:w="1250" w:type="pct"/>
                  <w:vAlign w:val="center"/>
                </w:tcPr>
                <w:p w14:paraId="0D6961A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等效连续A声级</w:t>
                  </w:r>
                </w:p>
              </w:tc>
              <w:tc>
                <w:tcPr>
                  <w:tcW w:w="842" w:type="pct"/>
                  <w:vAlign w:val="center"/>
                </w:tcPr>
                <w:p w14:paraId="3643B40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竣工验收时，监测2天，昼间、夜间各1次</w:t>
                  </w:r>
                </w:p>
              </w:tc>
              <w:tc>
                <w:tcPr>
                  <w:tcW w:w="1592" w:type="pct"/>
                  <w:vAlign w:val="center"/>
                </w:tcPr>
                <w:p w14:paraId="3A44246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工业企业厂界环境噪声排放标准》（GB 12348—2008）</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3类标准</w:t>
                  </w:r>
                </w:p>
              </w:tc>
            </w:tr>
          </w:tbl>
          <w:p w14:paraId="18392CC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34</w:t>
            </w:r>
            <w:r>
              <w:rPr>
                <w:rFonts w:hint="default" w:ascii="Times New Roman" w:hAnsi="Times New Roman" w:eastAsia="宋体" w:cs="Times New Roman"/>
                <w:b/>
                <w:color w:val="000000" w:themeColor="text1"/>
                <w:sz w:val="21"/>
                <w:szCs w:val="21"/>
                <w14:textFill>
                  <w14:solidFill>
                    <w14:schemeClr w14:val="tx1"/>
                  </w14:solidFill>
                </w14:textFill>
              </w:rPr>
              <w:t xml:space="preserve">  自行监测一览表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538"/>
              <w:gridCol w:w="2211"/>
              <w:gridCol w:w="2432"/>
              <w:gridCol w:w="1060"/>
              <w:gridCol w:w="11"/>
            </w:tblGrid>
            <w:tr w14:paraId="5F72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Align w:val="center"/>
                </w:tcPr>
                <w:p w14:paraId="2DAC10DB">
                  <w:pPr>
                    <w:pStyle w:val="125"/>
                    <w:keepNext w:val="0"/>
                    <w:keepLines w:val="0"/>
                    <w:pageBreakBefore w:val="0"/>
                    <w:widowControl w:val="0"/>
                    <w:kinsoku/>
                    <w:wordWrap w:val="0"/>
                    <w:overflowPunct/>
                    <w:topLinePunct/>
                    <w:autoSpaceDE/>
                    <w:autoSpaceDN/>
                    <w:bidi w:val="0"/>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ascii="Times New Roman" w:hAnsi="Times New Roman" w:eastAsia="宋体" w:cs="Times New Roman"/>
                      <w:b/>
                      <w:bCs/>
                      <w:color w:val="000000" w:themeColor="text1"/>
                      <w:lang w:eastAsia="zh-CN"/>
                      <w14:textFill>
                        <w14:solidFill>
                          <w14:schemeClr w14:val="tx1"/>
                        </w14:solidFill>
                      </w14:textFill>
                    </w:rPr>
                    <w:t>类型</w:t>
                  </w:r>
                </w:p>
              </w:tc>
              <w:tc>
                <w:tcPr>
                  <w:tcW w:w="953" w:type="pct"/>
                  <w:vAlign w:val="center"/>
                </w:tcPr>
                <w:p w14:paraId="34A24676">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排放方式</w:t>
                  </w:r>
                </w:p>
              </w:tc>
              <w:tc>
                <w:tcPr>
                  <w:tcW w:w="1370" w:type="pct"/>
                  <w:vAlign w:val="center"/>
                </w:tcPr>
                <w:p w14:paraId="15BCC5A3">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监测点位</w:t>
                  </w:r>
                </w:p>
              </w:tc>
              <w:tc>
                <w:tcPr>
                  <w:tcW w:w="1507" w:type="pct"/>
                  <w:vAlign w:val="center"/>
                </w:tcPr>
                <w:p w14:paraId="5D82AFAD">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监测项目</w:t>
                  </w:r>
                </w:p>
              </w:tc>
              <w:tc>
                <w:tcPr>
                  <w:tcW w:w="663" w:type="pct"/>
                  <w:gridSpan w:val="2"/>
                  <w:vAlign w:val="center"/>
                </w:tcPr>
                <w:p w14:paraId="0B92C9AB">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监测频次</w:t>
                  </w:r>
                </w:p>
              </w:tc>
            </w:tr>
            <w:tr w14:paraId="0D01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Align w:val="center"/>
                </w:tcPr>
                <w:p w14:paraId="2E59A51F">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废气</w:t>
                  </w:r>
                </w:p>
              </w:tc>
              <w:tc>
                <w:tcPr>
                  <w:tcW w:w="953" w:type="pct"/>
                  <w:vAlign w:val="center"/>
                </w:tcPr>
                <w:p w14:paraId="4FD9FBBA">
                  <w:pPr>
                    <w:pStyle w:val="125"/>
                    <w:keepNext w:val="0"/>
                    <w:keepLines w:val="0"/>
                    <w:pageBreakBefore w:val="0"/>
                    <w:widowControl w:val="0"/>
                    <w:kinsoku/>
                    <w:wordWrap w:val="0"/>
                    <w:overflowPunct/>
                    <w:topLinePunct/>
                    <w:autoSpaceDE/>
                    <w:autoSpaceDN/>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有组织</w:t>
                  </w:r>
                  <w:r>
                    <w:rPr>
                      <w:rFonts w:hint="eastAsia" w:ascii="Times New Roman" w:hAnsi="Times New Roman" w:eastAsia="宋体" w:cs="Times New Roman"/>
                      <w:color w:val="000000" w:themeColor="text1"/>
                      <w:lang w:eastAsia="zh-CN"/>
                      <w14:textFill>
                        <w14:solidFill>
                          <w14:schemeClr w14:val="tx1"/>
                        </w14:solidFill>
                      </w14:textFill>
                    </w:rPr>
                    <w:t>排口</w:t>
                  </w:r>
                </w:p>
              </w:tc>
              <w:tc>
                <w:tcPr>
                  <w:tcW w:w="1370" w:type="pct"/>
                  <w:vAlign w:val="center"/>
                </w:tcPr>
                <w:p w14:paraId="76E623DE">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DA001</w:t>
                  </w:r>
                  <w:r>
                    <w:rPr>
                      <w:rFonts w:hint="default" w:ascii="Times New Roman" w:hAnsi="Times New Roman" w:eastAsia="宋体" w:cs="Times New Roman"/>
                      <w:color w:val="000000" w:themeColor="text1"/>
                      <w:lang w:eastAsia="zh-CN"/>
                      <w14:textFill>
                        <w14:solidFill>
                          <w14:schemeClr w14:val="tx1"/>
                        </w14:solidFill>
                      </w14:textFill>
                    </w:rPr>
                    <w:t>废气排放口</w:t>
                  </w:r>
                </w:p>
              </w:tc>
              <w:tc>
                <w:tcPr>
                  <w:tcW w:w="1507" w:type="pct"/>
                  <w:vAlign w:val="center"/>
                </w:tcPr>
                <w:p w14:paraId="5A3AA405">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非甲烷总烃、颗粒物</w:t>
                  </w:r>
                  <w:r>
                    <w:rPr>
                      <w:rFonts w:hint="default" w:ascii="Times New Roman" w:hAnsi="Times New Roman" w:eastAsia="宋体" w:cs="Times New Roman"/>
                      <w:color w:val="000000" w:themeColor="text1"/>
                      <w:lang w:eastAsia="zh-CN"/>
                      <w14:textFill>
                        <w14:solidFill>
                          <w14:schemeClr w14:val="tx1"/>
                        </w14:solidFill>
                      </w14:textFill>
                    </w:rPr>
                    <w:t>、二氧化硫、氮氧化物、苯、苯系物</w:t>
                  </w:r>
                </w:p>
              </w:tc>
              <w:tc>
                <w:tcPr>
                  <w:tcW w:w="663" w:type="pct"/>
                  <w:gridSpan w:val="2"/>
                  <w:vAlign w:val="center"/>
                </w:tcPr>
                <w:p w14:paraId="38F5BA3E">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1次/半年</w:t>
                  </w:r>
                </w:p>
              </w:tc>
            </w:tr>
            <w:tr w14:paraId="4342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4" w:type="pct"/>
                  <w:vMerge w:val="restart"/>
                  <w:vAlign w:val="center"/>
                </w:tcPr>
                <w:p w14:paraId="4BD63EE9">
                  <w:pPr>
                    <w:pStyle w:val="125"/>
                    <w:keepNext w:val="0"/>
                    <w:keepLines w:val="0"/>
                    <w:pageBreakBefore w:val="0"/>
                    <w:widowControl w:val="0"/>
                    <w:kinsoku/>
                    <w:wordWrap w:val="0"/>
                    <w:overflowPunct/>
                    <w:topLinePunct/>
                    <w:autoSpaceDE/>
                    <w:autoSpaceDN/>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废气</w:t>
                  </w:r>
                </w:p>
              </w:tc>
              <w:tc>
                <w:tcPr>
                  <w:tcW w:w="953" w:type="pct"/>
                  <w:vAlign w:val="center"/>
                </w:tcPr>
                <w:p w14:paraId="70EE0914">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厂界无组织</w:t>
                  </w:r>
                </w:p>
              </w:tc>
              <w:tc>
                <w:tcPr>
                  <w:tcW w:w="1370" w:type="pct"/>
                  <w:vAlign w:val="center"/>
                </w:tcPr>
                <w:p w14:paraId="38855F30">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厂址上风向设1个对照点、厂址下风向设3个监控点</w:t>
                  </w:r>
                </w:p>
              </w:tc>
              <w:tc>
                <w:tcPr>
                  <w:tcW w:w="1507" w:type="pct"/>
                  <w:vAlign w:val="center"/>
                </w:tcPr>
                <w:p w14:paraId="3807E4AD">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非甲烷总烃、颗粒物、臭气浓度</w:t>
                  </w:r>
                  <w:r>
                    <w:rPr>
                      <w:rFonts w:hint="default" w:ascii="Times New Roman" w:hAnsi="Times New Roman" w:eastAsia="宋体" w:cs="Times New Roman"/>
                      <w:color w:val="000000" w:themeColor="text1"/>
                      <w:lang w:eastAsia="zh-CN"/>
                      <w14:textFill>
                        <w14:solidFill>
                          <w14:schemeClr w14:val="tx1"/>
                        </w14:solidFill>
                      </w14:textFill>
                    </w:rPr>
                    <w:t>、苯</w:t>
                  </w:r>
                </w:p>
              </w:tc>
              <w:tc>
                <w:tcPr>
                  <w:tcW w:w="663" w:type="pct"/>
                  <w:gridSpan w:val="2"/>
                  <w:vAlign w:val="center"/>
                </w:tcPr>
                <w:p w14:paraId="446976F3">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1次/年</w:t>
                  </w:r>
                </w:p>
              </w:tc>
            </w:tr>
            <w:tr w14:paraId="017D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Merge w:val="continue"/>
                  <w:vAlign w:val="center"/>
                </w:tcPr>
                <w:p w14:paraId="0D233132">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p>
              </w:tc>
              <w:tc>
                <w:tcPr>
                  <w:tcW w:w="953" w:type="pct"/>
                  <w:vAlign w:val="center"/>
                </w:tcPr>
                <w:p w14:paraId="561077DF">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厂内无组织</w:t>
                  </w:r>
                </w:p>
              </w:tc>
              <w:tc>
                <w:tcPr>
                  <w:tcW w:w="1370" w:type="pct"/>
                  <w:vAlign w:val="center"/>
                </w:tcPr>
                <w:p w14:paraId="12FAA144">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厂房门口</w:t>
                  </w:r>
                </w:p>
              </w:tc>
              <w:tc>
                <w:tcPr>
                  <w:tcW w:w="1507" w:type="pct"/>
                  <w:vAlign w:val="center"/>
                </w:tcPr>
                <w:p w14:paraId="6A5EA149">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w:t>
                  </w:r>
                </w:p>
              </w:tc>
              <w:tc>
                <w:tcPr>
                  <w:tcW w:w="663" w:type="pct"/>
                  <w:gridSpan w:val="2"/>
                  <w:vAlign w:val="center"/>
                </w:tcPr>
                <w:p w14:paraId="3DD094A4">
                  <w:pPr>
                    <w:pStyle w:val="125"/>
                    <w:keepNext w:val="0"/>
                    <w:keepLines w:val="0"/>
                    <w:pageBreakBefore w:val="0"/>
                    <w:widowControl w:val="0"/>
                    <w:kinsoku/>
                    <w:wordWrap w:val="0"/>
                    <w:overflowPunct/>
                    <w:topLinePunct/>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1次/年</w:t>
                  </w:r>
                </w:p>
              </w:tc>
            </w:tr>
            <w:tr w14:paraId="1D8B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jc w:val="center"/>
              </w:trPr>
              <w:tc>
                <w:tcPr>
                  <w:tcW w:w="504" w:type="pct"/>
                  <w:vAlign w:val="center"/>
                </w:tcPr>
                <w:p w14:paraId="6AA84BB8">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类型</w:t>
                  </w:r>
                </w:p>
              </w:tc>
              <w:tc>
                <w:tcPr>
                  <w:tcW w:w="953" w:type="pct"/>
                  <w:vAlign w:val="center"/>
                </w:tcPr>
                <w:p w14:paraId="0B46780B">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1370" w:type="pct"/>
                  <w:vAlign w:val="center"/>
                </w:tcPr>
                <w:p w14:paraId="43E3C52F">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监测指标</w:t>
                  </w:r>
                </w:p>
              </w:tc>
              <w:tc>
                <w:tcPr>
                  <w:tcW w:w="2164" w:type="pct"/>
                  <w:gridSpan w:val="2"/>
                  <w:vAlign w:val="center"/>
                </w:tcPr>
                <w:p w14:paraId="7FEF1555">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监测频次</w:t>
                  </w:r>
                </w:p>
              </w:tc>
            </w:tr>
            <w:tr w14:paraId="743D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115" w:hRule="atLeast"/>
                <w:jc w:val="center"/>
              </w:trPr>
              <w:tc>
                <w:tcPr>
                  <w:tcW w:w="504" w:type="pct"/>
                  <w:vAlign w:val="center"/>
                </w:tcPr>
                <w:p w14:paraId="02FCE420">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噪声</w:t>
                  </w:r>
                </w:p>
              </w:tc>
              <w:tc>
                <w:tcPr>
                  <w:tcW w:w="953" w:type="pct"/>
                  <w:vAlign w:val="center"/>
                </w:tcPr>
                <w:p w14:paraId="14A29A52">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厂界东、南、西、北外1m处布点监测</w:t>
                  </w:r>
                </w:p>
              </w:tc>
              <w:tc>
                <w:tcPr>
                  <w:tcW w:w="1370" w:type="pct"/>
                  <w:vAlign w:val="center"/>
                </w:tcPr>
                <w:p w14:paraId="76C74E02">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等效声级Leq（dB</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A</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w:t>
                  </w:r>
                </w:p>
              </w:tc>
              <w:tc>
                <w:tcPr>
                  <w:tcW w:w="2164" w:type="pct"/>
                  <w:gridSpan w:val="2"/>
                  <w:vAlign w:val="center"/>
                </w:tcPr>
                <w:p w14:paraId="18024FF4">
                  <w:pPr>
                    <w:pStyle w:val="18"/>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1季度/次，监测1天，昼间、夜间各1次</w:t>
                  </w:r>
                </w:p>
              </w:tc>
            </w:tr>
          </w:tbl>
          <w:p w14:paraId="5B738E51">
            <w:pPr>
              <w:pStyle w:val="48"/>
              <w:keepNext w:val="0"/>
              <w:keepLines w:val="0"/>
              <w:pageBreakBefore w:val="0"/>
              <w:widowControl w:val="0"/>
              <w:kinsoku/>
              <w:wordWrap w:val="0"/>
              <w:overflowPunct/>
              <w:topLinePunct/>
              <w:autoSpaceDE/>
              <w:autoSpaceDN/>
              <w:bidi w:val="0"/>
              <w:adjustRightInd/>
              <w:spacing w:line="360" w:lineRule="auto"/>
              <w:ind w:right="0"/>
              <w:rPr>
                <w:rFonts w:hint="default" w:ascii="Times New Roman" w:hAnsi="Times New Roman" w:eastAsia="宋体" w:cs="Times New Roman"/>
                <w:color w:val="000000" w:themeColor="text1"/>
                <w:kern w:val="24"/>
                <w:lang w:val="en-US" w:eastAsia="zh-CN"/>
                <w14:textFill>
                  <w14:solidFill>
                    <w14:schemeClr w14:val="tx1"/>
                  </w14:solidFill>
                </w14:textFill>
              </w:rPr>
            </w:pPr>
          </w:p>
        </w:tc>
      </w:tr>
    </w:tbl>
    <w:p w14:paraId="5DFC9636">
      <w:pPr>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20F765C">
      <w:pPr>
        <w:pStyle w:val="28"/>
        <w:adjustRightInd w:val="0"/>
        <w:snapToGrid w:val="0"/>
        <w:spacing w:before="0" w:beforeAutospacing="0" w:after="0" w:afterAutospacing="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13" w:name="_Toc6939"/>
      <w:r>
        <w:rPr>
          <w:rFonts w:hint="default" w:ascii="Times New Roman" w:hAnsi="Times New Roman" w:eastAsia="宋体" w:cs="Times New Roman"/>
          <w:b/>
          <w:bCs/>
          <w:snapToGrid w:val="0"/>
          <w:color w:val="000000" w:themeColor="text1"/>
          <w:sz w:val="30"/>
          <w:szCs w:val="30"/>
          <w14:textFill>
            <w14:solidFill>
              <w14:schemeClr w14:val="tx1"/>
            </w14:solidFill>
          </w14:textFill>
        </w:rPr>
        <w:t>五、</w:t>
      </w:r>
      <w:bookmarkStart w:id="14" w:name="_Hlk54167917"/>
      <w:r>
        <w:rPr>
          <w:rFonts w:hint="default" w:ascii="Times New Roman" w:hAnsi="Times New Roman" w:eastAsia="宋体" w:cs="Times New Roman"/>
          <w:b/>
          <w:bCs/>
          <w:snapToGrid w:val="0"/>
          <w:color w:val="000000" w:themeColor="text1"/>
          <w:sz w:val="30"/>
          <w:szCs w:val="30"/>
          <w14:textFill>
            <w14:solidFill>
              <w14:schemeClr w14:val="tx1"/>
            </w14:solidFill>
          </w14:textFill>
        </w:rPr>
        <w:t>环境保护措施监督检查清单</w:t>
      </w:r>
      <w:bookmarkEnd w:id="13"/>
      <w:bookmarkEnd w:id="14"/>
    </w:p>
    <w:tbl>
      <w:tblPr>
        <w:tblStyle w:val="3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63"/>
        <w:gridCol w:w="863"/>
        <w:gridCol w:w="1312"/>
        <w:gridCol w:w="2899"/>
        <w:gridCol w:w="2146"/>
      </w:tblGrid>
      <w:tr w14:paraId="05012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single" w:color="auto" w:sz="4" w:space="0"/>
            </w:tcBorders>
          </w:tcPr>
          <w:p w14:paraId="01821C05">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内容</w:t>
            </w:r>
          </w:p>
          <w:p w14:paraId="28DD2A24">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要素</w:t>
            </w:r>
          </w:p>
        </w:tc>
        <w:tc>
          <w:tcPr>
            <w:tcW w:w="1726" w:type="dxa"/>
            <w:gridSpan w:val="2"/>
            <w:vAlign w:val="center"/>
          </w:tcPr>
          <w:p w14:paraId="086D66EF">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排放口（编号、名称）/污染源</w:t>
            </w:r>
          </w:p>
        </w:tc>
        <w:tc>
          <w:tcPr>
            <w:tcW w:w="1312" w:type="dxa"/>
            <w:vAlign w:val="center"/>
          </w:tcPr>
          <w:p w14:paraId="17717E61">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污染物项目</w:t>
            </w:r>
          </w:p>
        </w:tc>
        <w:tc>
          <w:tcPr>
            <w:tcW w:w="2899" w:type="dxa"/>
            <w:vAlign w:val="center"/>
          </w:tcPr>
          <w:p w14:paraId="4B2FA10D">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环境保护措施</w:t>
            </w:r>
          </w:p>
        </w:tc>
        <w:tc>
          <w:tcPr>
            <w:tcW w:w="2146" w:type="dxa"/>
            <w:vAlign w:val="center"/>
          </w:tcPr>
          <w:p w14:paraId="763BED1D">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执行标准</w:t>
            </w:r>
          </w:p>
        </w:tc>
      </w:tr>
      <w:tr w14:paraId="68C05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restart"/>
            <w:vAlign w:val="center"/>
          </w:tcPr>
          <w:p w14:paraId="44D1040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大气环境</w:t>
            </w:r>
          </w:p>
        </w:tc>
        <w:tc>
          <w:tcPr>
            <w:tcW w:w="863" w:type="dxa"/>
            <w:vAlign w:val="center"/>
          </w:tcPr>
          <w:p w14:paraId="43C1304F">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有组织废气</w:t>
            </w:r>
          </w:p>
        </w:tc>
        <w:tc>
          <w:tcPr>
            <w:tcW w:w="863" w:type="dxa"/>
            <w:vAlign w:val="center"/>
          </w:tcPr>
          <w:p w14:paraId="2A28AC8D">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DA001</w:t>
            </w:r>
          </w:p>
        </w:tc>
        <w:tc>
          <w:tcPr>
            <w:tcW w:w="1312" w:type="dxa"/>
            <w:vAlign w:val="center"/>
          </w:tcPr>
          <w:p w14:paraId="39AC1C39">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非甲烷总烃、颗粒物</w:t>
            </w:r>
            <w:r>
              <w:rPr>
                <w:rFonts w:hint="default" w:ascii="Times New Roman" w:hAnsi="Times New Roman" w:eastAsia="宋体" w:cs="Times New Roman"/>
                <w:color w:val="000000" w:themeColor="text1"/>
                <w:lang w:eastAsia="zh-CN"/>
                <w14:textFill>
                  <w14:solidFill>
                    <w14:schemeClr w14:val="tx1"/>
                  </w14:solidFill>
                </w14:textFill>
              </w:rPr>
              <w:t>、二氧化硫、氮氧化物、苯及苯系物</w:t>
            </w:r>
          </w:p>
        </w:tc>
        <w:tc>
          <w:tcPr>
            <w:tcW w:w="2899" w:type="dxa"/>
            <w:vAlign w:val="center"/>
          </w:tcPr>
          <w:p w14:paraId="7D4E6613">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项目印刷机、复合机、制袋机上方设置有集气罩，连接集气管道，印刷废气、复合废气及制袋废气收集后一起引至一套</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RTO蓄热燃烧装置</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处理后通过22m高排气筒DA001排放。</w:t>
            </w:r>
          </w:p>
          <w:p w14:paraId="5BE85668">
            <w:pPr>
              <w:pStyle w:val="125"/>
              <w:pageBreakBefore w:val="0"/>
              <w:kinsoku/>
              <w:overflowPunct/>
              <w:topLinePunct w:val="0"/>
              <w:bidi w:val="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溶剂间废气经收集后一同进入RTO废气处理系统处理后通过22m高排气筒DA001排放。</w:t>
            </w:r>
          </w:p>
          <w:p w14:paraId="2C9D27D2">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本环评要求熟化工序结束后收集熟化室内的废气并引入RTO废气处理系统处理。</w:t>
            </w:r>
          </w:p>
        </w:tc>
        <w:tc>
          <w:tcPr>
            <w:tcW w:w="2146" w:type="dxa"/>
            <w:vAlign w:val="center"/>
          </w:tcPr>
          <w:p w14:paraId="78550CD0">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《印刷工业大气污染物排放标准》（GB41616-2022）表1、表2</w:t>
            </w:r>
          </w:p>
        </w:tc>
      </w:tr>
      <w:tr w14:paraId="4AEA1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4D9FDF4C">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4818F8B2">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无组织废气</w:t>
            </w:r>
          </w:p>
        </w:tc>
        <w:tc>
          <w:tcPr>
            <w:tcW w:w="1312" w:type="dxa"/>
            <w:vAlign w:val="center"/>
          </w:tcPr>
          <w:p w14:paraId="7C5A09CF">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非甲烷总烃、颗粒物、臭气浓度</w:t>
            </w:r>
            <w:r>
              <w:rPr>
                <w:rFonts w:hint="default" w:ascii="Times New Roman" w:hAnsi="Times New Roman" w:eastAsia="宋体" w:cs="Times New Roman"/>
                <w:color w:val="000000" w:themeColor="text1"/>
                <w:lang w:eastAsia="zh-CN"/>
                <w14:textFill>
                  <w14:solidFill>
                    <w14:schemeClr w14:val="tx1"/>
                  </w14:solidFill>
                </w14:textFill>
              </w:rPr>
              <w:t>、苯</w:t>
            </w:r>
          </w:p>
        </w:tc>
        <w:tc>
          <w:tcPr>
            <w:tcW w:w="2899" w:type="dxa"/>
            <w:vAlign w:val="center"/>
          </w:tcPr>
          <w:p w14:paraId="3D778C0C">
            <w:pPr>
              <w:pStyle w:val="125"/>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本项目未捕集无组织废气、异味经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车间加强通风、自然稀释扩散后无组织排放。</w:t>
            </w:r>
          </w:p>
        </w:tc>
        <w:tc>
          <w:tcPr>
            <w:tcW w:w="2146" w:type="dxa"/>
            <w:vAlign w:val="center"/>
          </w:tcPr>
          <w:p w14:paraId="43F3BED1">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《大气污染物综合排放标准》（GB16297-1996）表</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《恶臭污染物排放标准》（GB14554-1993）</w:t>
            </w:r>
            <w:r>
              <w:rPr>
                <w:rFonts w:hint="default" w:ascii="Times New Roman" w:hAnsi="Times New Roman" w:eastAsia="宋体" w:cs="Times New Roman"/>
                <w:color w:val="000000" w:themeColor="text1"/>
                <w:lang w:eastAsia="zh-CN"/>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二级标准</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《印刷工业大气污染物排放标准》（GB41616-2022）表3和表A.1</w:t>
            </w:r>
          </w:p>
        </w:tc>
      </w:tr>
      <w:tr w14:paraId="77352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restart"/>
            <w:vAlign w:val="center"/>
          </w:tcPr>
          <w:p w14:paraId="7D98635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地表水环境</w:t>
            </w:r>
          </w:p>
        </w:tc>
        <w:tc>
          <w:tcPr>
            <w:tcW w:w="863" w:type="dxa"/>
            <w:vMerge w:val="restart"/>
            <w:vAlign w:val="center"/>
          </w:tcPr>
          <w:p w14:paraId="1C63257C">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厂区</w:t>
            </w:r>
          </w:p>
        </w:tc>
        <w:tc>
          <w:tcPr>
            <w:tcW w:w="863" w:type="dxa"/>
            <w:vAlign w:val="center"/>
          </w:tcPr>
          <w:p w14:paraId="3B608365">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初期雨水</w:t>
            </w:r>
          </w:p>
        </w:tc>
        <w:tc>
          <w:tcPr>
            <w:tcW w:w="1312" w:type="dxa"/>
            <w:vAlign w:val="center"/>
          </w:tcPr>
          <w:p w14:paraId="163E5F7F">
            <w:pPr>
              <w:pStyle w:val="30"/>
              <w:spacing w:after="0"/>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SS</w:t>
            </w:r>
          </w:p>
        </w:tc>
        <w:tc>
          <w:tcPr>
            <w:tcW w:w="2899" w:type="dxa"/>
            <w:vAlign w:val="center"/>
          </w:tcPr>
          <w:p w14:paraId="2DBE39C4">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项目采取雨污分流制，初期雨水经厂区内现有雨水沟后进入市政雨水管网。</w:t>
            </w:r>
          </w:p>
        </w:tc>
        <w:tc>
          <w:tcPr>
            <w:tcW w:w="2146" w:type="dxa"/>
            <w:vAlign w:val="center"/>
          </w:tcPr>
          <w:p w14:paraId="23C536B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14:paraId="611CA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6CC8EDF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63" w:type="dxa"/>
            <w:vMerge w:val="continue"/>
            <w:vAlign w:val="center"/>
          </w:tcPr>
          <w:p w14:paraId="648A188C">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3" w:type="dxa"/>
            <w:vAlign w:val="center"/>
          </w:tcPr>
          <w:p w14:paraId="3C13F47C">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生活污水（近期）</w:t>
            </w:r>
          </w:p>
        </w:tc>
        <w:tc>
          <w:tcPr>
            <w:tcW w:w="1312" w:type="dxa"/>
            <w:vAlign w:val="center"/>
          </w:tcPr>
          <w:p w14:paraId="1125477B">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6"/>
                <w:lang w:val="en-US" w:eastAsia="zh-CN"/>
                <w14:textFill>
                  <w14:solidFill>
                    <w14:schemeClr w14:val="tx1"/>
                  </w14:solidFill>
                </w14:textFill>
              </w:rPr>
              <w:t>pH、色度、嗅、浊度、五日生化需氧量、氨氮、阴离子表面活性剂、溶解性总固体、溶解氧、总氯、大肠埃希氏菌</w:t>
            </w:r>
          </w:p>
        </w:tc>
        <w:tc>
          <w:tcPr>
            <w:tcW w:w="2899" w:type="dxa"/>
            <w:vMerge w:val="restart"/>
            <w:vAlign w:val="center"/>
          </w:tcPr>
          <w:p w14:paraId="1FAAE44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本项目依托现有1个约10m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的化粪池</w:t>
            </w:r>
            <w:r>
              <w:rPr>
                <w:rFonts w:hint="eastAsia" w:cs="Times New Roman"/>
                <w:color w:val="000000" w:themeColor="text1"/>
                <w:sz w:val="21"/>
                <w:szCs w:val="21"/>
                <w:lang w:val="en-US" w:eastAsia="zh-CN"/>
                <w14:textFill>
                  <w14:solidFill>
                    <w14:schemeClr w14:val="tx1"/>
                  </w14:solidFill>
                </w14:textFill>
              </w:rPr>
              <w:t>；2m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/d“A/O法生物处理”一体化生活污水处理设施。新增1个10m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的中水收集池。</w:t>
            </w:r>
          </w:p>
          <w:p w14:paraId="75B6E93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近期由于园区污水处理厂暂未正常运行，生活污水经化粪池预处理后进入自建生活污水处理设施处理达绿化标准后用于厂区周边绿化，</w:t>
            </w:r>
            <w:r>
              <w:rPr>
                <w:rFonts w:hint="eastAsia" w:cs="Times New Roman"/>
                <w:color w:val="000000" w:themeColor="text1"/>
                <w:sz w:val="21"/>
                <w:szCs w:val="21"/>
                <w:lang w:val="en-US" w:eastAsia="zh-CN"/>
                <w14:textFill>
                  <w14:solidFill>
                    <w14:schemeClr w14:val="tx1"/>
                  </w14:solidFill>
                </w14:textFill>
              </w:rPr>
              <w:t>雨天进入中水收集池暂存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，留待晴天使用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389192D4">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远期待园区污水处理厂正常运行后，产生的生活污水通过化粪池预处理，达到标后，排入园区市政污水管网，进入园区污水处理厂处理。</w:t>
            </w:r>
          </w:p>
        </w:tc>
        <w:tc>
          <w:tcPr>
            <w:tcW w:w="2146" w:type="dxa"/>
            <w:vAlign w:val="center"/>
          </w:tcPr>
          <w:p w14:paraId="789E1269">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《城市污水再生利用 城市杂用水水质》（GB/T18920-2020）绿化标准</w:t>
            </w:r>
          </w:p>
        </w:tc>
      </w:tr>
      <w:tr w14:paraId="0FC1F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1EC50B0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63" w:type="dxa"/>
            <w:vMerge w:val="continue"/>
            <w:vAlign w:val="center"/>
          </w:tcPr>
          <w:p w14:paraId="5E916736">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3" w:type="dxa"/>
            <w:vAlign w:val="center"/>
          </w:tcPr>
          <w:p w14:paraId="33501542">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生活污水（远期）</w:t>
            </w:r>
          </w:p>
        </w:tc>
        <w:tc>
          <w:tcPr>
            <w:tcW w:w="1312" w:type="dxa"/>
            <w:vAlign w:val="center"/>
          </w:tcPr>
          <w:p w14:paraId="5554F1AA">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pH</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色度</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14:paraId="0B9FE44A">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悬浮物</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lang w:eastAsia="zh-CN"/>
                <w14:textFill>
                  <w14:solidFill>
                    <w14:schemeClr w14:val="tx1"/>
                  </w14:solidFill>
                </w14:textFill>
              </w:rPr>
              <w:t>溶解性总固体、阴离子表面活性剂</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lang w:eastAsia="zh-CN"/>
                <w14:textFill>
                  <w14:solidFill>
                    <w14:schemeClr w14:val="tx1"/>
                  </w14:solidFill>
                </w14:textFill>
              </w:rPr>
              <w:t>五日生化需氧量</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lang w:eastAsia="zh-CN"/>
                <w14:textFill>
                  <w14:solidFill>
                    <w14:schemeClr w14:val="tx1"/>
                  </w14:solidFill>
                </w14:textFill>
              </w:rPr>
              <w:t>化学需氧量</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lang w:eastAsia="zh-CN"/>
                <w14:textFill>
                  <w14:solidFill>
                    <w14:schemeClr w14:val="tx1"/>
                  </w14:solidFill>
                </w14:textFill>
              </w:rPr>
              <w:t>石油类、动植物油、氨氮、总磷、总氮、总余氯</w:t>
            </w:r>
          </w:p>
        </w:tc>
        <w:tc>
          <w:tcPr>
            <w:tcW w:w="2899" w:type="dxa"/>
            <w:vMerge w:val="continue"/>
            <w:vAlign w:val="center"/>
          </w:tcPr>
          <w:p w14:paraId="296BC63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46" w:type="dxa"/>
            <w:vAlign w:val="center"/>
          </w:tcPr>
          <w:p w14:paraId="3E72BDF2">
            <w:pPr>
              <w:pStyle w:val="125"/>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《污水综合排放标准》（GB8978-1996）表4三级标准及《污水排入城镇下水道水质标准》（GB/T31962-2015）</w:t>
            </w:r>
            <w:r>
              <w:rPr>
                <w:rFonts w:hint="eastAsia" w:cs="Times New Roman"/>
                <w:color w:val="000000" w:themeColor="text1"/>
                <w:sz w:val="21"/>
                <w:szCs w:val="21"/>
                <w:lang w:val="en-US" w:eastAsia="zh-CN"/>
                <w14:textFill>
                  <w14:solidFill>
                    <w14:schemeClr w14:val="tx1"/>
                  </w14:solidFill>
                </w14:textFill>
              </w:rPr>
              <w:t>表1A等级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标准规定的最严标准值</w:t>
            </w:r>
          </w:p>
        </w:tc>
      </w:tr>
      <w:tr w14:paraId="61531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5601E68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声环境</w:t>
            </w:r>
          </w:p>
        </w:tc>
        <w:tc>
          <w:tcPr>
            <w:tcW w:w="1726" w:type="dxa"/>
            <w:gridSpan w:val="2"/>
            <w:vAlign w:val="center"/>
          </w:tcPr>
          <w:p w14:paraId="1F91007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Style w:val="111"/>
                <w:rFonts w:hint="default" w:ascii="Times New Roman" w:hAnsi="Times New Roman" w:eastAsia="宋体" w:cs="Times New Roman"/>
                <w:color w:val="000000" w:themeColor="text1"/>
                <w:szCs w:val="21"/>
                <w14:textFill>
                  <w14:solidFill>
                    <w14:schemeClr w14:val="tx1"/>
                  </w14:solidFill>
                </w14:textFill>
              </w:rPr>
              <w:t>生产设备</w:t>
            </w:r>
          </w:p>
        </w:tc>
        <w:tc>
          <w:tcPr>
            <w:tcW w:w="1312" w:type="dxa"/>
            <w:vAlign w:val="center"/>
          </w:tcPr>
          <w:p w14:paraId="2329B99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Leq（A）</w:t>
            </w:r>
          </w:p>
        </w:tc>
        <w:tc>
          <w:tcPr>
            <w:tcW w:w="2899" w:type="dxa"/>
            <w:vAlign w:val="center"/>
          </w:tcPr>
          <w:p w14:paraId="2DD4006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项目所有生产设备均置于厂房内，</w:t>
            </w:r>
            <w:r>
              <w:rPr>
                <w:rFonts w:hint="default" w:ascii="Times New Roman" w:hAnsi="Times New Roman" w:eastAsia="宋体" w:cs="Times New Roman"/>
                <w:color w:val="000000" w:themeColor="text1"/>
                <w:sz w:val="21"/>
                <w:szCs w:val="21"/>
                <w14:textFill>
                  <w14:solidFill>
                    <w14:schemeClr w14:val="tx1"/>
                  </w14:solidFill>
                </w14:textFill>
              </w:rPr>
              <w:t>选用低噪设备、安装减震垫、厂房隔音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2146" w:type="dxa"/>
            <w:vAlign w:val="center"/>
          </w:tcPr>
          <w:p w14:paraId="74FCA3A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工业企业厂界环境噪声排放标准》（GB12348-2008）</w:t>
            </w:r>
            <w:r>
              <w:rPr>
                <w:rFonts w:hint="default" w:ascii="Times New Roman" w:hAnsi="Times New Roman" w:eastAsia="宋体" w:cs="Times New Roman"/>
                <w:color w:val="000000" w:themeColor="text1"/>
                <w:szCs w:val="21"/>
                <w:lang w:eastAsia="zh-CN"/>
                <w14:textFill>
                  <w14:solidFill>
                    <w14:schemeClr w14:val="tx1"/>
                  </w14:solidFill>
                </w14:textFill>
              </w:rPr>
              <w:t>3类标准</w:t>
            </w:r>
            <w:r>
              <w:rPr>
                <w:rFonts w:hint="default" w:ascii="Times New Roman" w:hAnsi="Times New Roman" w:eastAsia="宋体" w:cs="Times New Roman"/>
                <w:color w:val="000000" w:themeColor="text1"/>
                <w:szCs w:val="21"/>
                <w14:textFill>
                  <w14:solidFill>
                    <w14:schemeClr w14:val="tx1"/>
                  </w14:solidFill>
                </w14:textFill>
              </w:rPr>
              <w:t>。</w:t>
            </w:r>
          </w:p>
        </w:tc>
      </w:tr>
      <w:tr w14:paraId="1F607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4C402DC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电磁辐射</w:t>
            </w:r>
          </w:p>
        </w:tc>
        <w:tc>
          <w:tcPr>
            <w:tcW w:w="1726" w:type="dxa"/>
            <w:gridSpan w:val="2"/>
            <w:vAlign w:val="center"/>
          </w:tcPr>
          <w:p w14:paraId="028DD33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1312" w:type="dxa"/>
            <w:vAlign w:val="center"/>
          </w:tcPr>
          <w:p w14:paraId="34010C8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2899" w:type="dxa"/>
            <w:vAlign w:val="center"/>
          </w:tcPr>
          <w:p w14:paraId="581D509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2146" w:type="dxa"/>
            <w:vAlign w:val="center"/>
          </w:tcPr>
          <w:p w14:paraId="1DD44E0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14:paraId="678D8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restart"/>
            <w:vAlign w:val="center"/>
          </w:tcPr>
          <w:p w14:paraId="67CE5C0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w:t>
            </w:r>
          </w:p>
        </w:tc>
        <w:tc>
          <w:tcPr>
            <w:tcW w:w="1726" w:type="dxa"/>
            <w:gridSpan w:val="2"/>
            <w:vAlign w:val="center"/>
          </w:tcPr>
          <w:p w14:paraId="7C6BA0B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4211" w:type="dxa"/>
            <w:gridSpan w:val="2"/>
            <w:vAlign w:val="center"/>
          </w:tcPr>
          <w:p w14:paraId="1E99E07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生活垃圾由垃圾收集桶收集后运至园区生活垃圾收集点，由环卫部门清运处置。</w:t>
            </w:r>
          </w:p>
        </w:tc>
        <w:tc>
          <w:tcPr>
            <w:tcW w:w="2146" w:type="dxa"/>
            <w:vMerge w:val="restart"/>
            <w:vAlign w:val="center"/>
          </w:tcPr>
          <w:p w14:paraId="4A566919">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100%处置</w:t>
            </w:r>
          </w:p>
          <w:p w14:paraId="06762739">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r>
      <w:tr w14:paraId="5B442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2BD4643E">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1726" w:type="dxa"/>
            <w:gridSpan w:val="2"/>
            <w:vAlign w:val="center"/>
          </w:tcPr>
          <w:p w14:paraId="773AD02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废包装材料</w:t>
            </w:r>
          </w:p>
        </w:tc>
        <w:tc>
          <w:tcPr>
            <w:tcW w:w="4211" w:type="dxa"/>
            <w:gridSpan w:val="2"/>
            <w:vMerge w:val="restart"/>
            <w:vAlign w:val="center"/>
          </w:tcPr>
          <w:p w14:paraId="012ECAC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定期外售至周边废品回收站进行资源化利用</w:t>
            </w:r>
          </w:p>
        </w:tc>
        <w:tc>
          <w:tcPr>
            <w:tcW w:w="2146" w:type="dxa"/>
            <w:vMerge w:val="continue"/>
            <w:vAlign w:val="center"/>
          </w:tcPr>
          <w:p w14:paraId="2A71D66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1EE27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791DDEDC">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05366AA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不合格品</w:t>
            </w:r>
          </w:p>
        </w:tc>
        <w:tc>
          <w:tcPr>
            <w:tcW w:w="4211" w:type="dxa"/>
            <w:gridSpan w:val="2"/>
            <w:vMerge w:val="continue"/>
            <w:vAlign w:val="center"/>
          </w:tcPr>
          <w:p w14:paraId="241CE3D8">
            <w:pPr>
              <w:pStyle w:val="18"/>
              <w:keepNext w:val="0"/>
              <w:keepLines/>
              <w:pageBreakBefore w:val="0"/>
              <w:kinsoku/>
              <w:overflowPunct/>
              <w:bidi w:val="0"/>
              <w:adjustRightInd/>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p>
        </w:tc>
        <w:tc>
          <w:tcPr>
            <w:tcW w:w="2146" w:type="dxa"/>
            <w:vMerge w:val="continue"/>
            <w:vAlign w:val="center"/>
          </w:tcPr>
          <w:p w14:paraId="1732E6A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5E4A5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2C5B89A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6FE9386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边角料</w:t>
            </w:r>
          </w:p>
        </w:tc>
        <w:tc>
          <w:tcPr>
            <w:tcW w:w="4211" w:type="dxa"/>
            <w:gridSpan w:val="2"/>
            <w:vMerge w:val="continue"/>
            <w:vAlign w:val="center"/>
          </w:tcPr>
          <w:p w14:paraId="391D2DCF">
            <w:pPr>
              <w:pStyle w:val="18"/>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146" w:type="dxa"/>
            <w:vMerge w:val="continue"/>
            <w:vAlign w:val="center"/>
          </w:tcPr>
          <w:p w14:paraId="1D4BD18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3A90E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39E1AC3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337B479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废RTO陶瓷蓄热体</w:t>
            </w:r>
          </w:p>
        </w:tc>
        <w:tc>
          <w:tcPr>
            <w:tcW w:w="4211" w:type="dxa"/>
            <w:gridSpan w:val="2"/>
            <w:vAlign w:val="center"/>
          </w:tcPr>
          <w:p w14:paraId="78081C6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废陶瓷蓄热体委托RTO设备厂商进行更换，更换后由厂商带走进行处置。</w:t>
            </w:r>
          </w:p>
        </w:tc>
        <w:tc>
          <w:tcPr>
            <w:tcW w:w="2146" w:type="dxa"/>
            <w:vMerge w:val="continue"/>
            <w:vAlign w:val="center"/>
          </w:tcPr>
          <w:p w14:paraId="46B6836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4CEF1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4B64487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274BA28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废包装桶</w:t>
            </w:r>
          </w:p>
        </w:tc>
        <w:tc>
          <w:tcPr>
            <w:tcW w:w="4211" w:type="dxa"/>
            <w:gridSpan w:val="2"/>
            <w:vMerge w:val="restart"/>
            <w:vAlign w:val="center"/>
          </w:tcPr>
          <w:p w14:paraId="7F7F4D7E">
            <w:pPr>
              <w:pStyle w:val="18"/>
              <w:keepNext w:val="0"/>
              <w:keepLines/>
              <w:pageBreakBefore w:val="0"/>
              <w:kinsoku/>
              <w:overflowPunct/>
              <w:bidi w:val="0"/>
              <w:adjustRightInd/>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设置有1间5m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危废暂存间，危险废物分类收集后分类暂存于危废暂存间，定期委托有资质单位清运处置</w:t>
            </w:r>
          </w:p>
        </w:tc>
        <w:tc>
          <w:tcPr>
            <w:tcW w:w="2146" w:type="dxa"/>
            <w:vMerge w:val="restart"/>
            <w:vAlign w:val="center"/>
          </w:tcPr>
          <w:p w14:paraId="4EF136A7">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100%处置</w:t>
            </w:r>
            <w:r>
              <w:rPr>
                <w:rFonts w:hint="default" w:ascii="Times New Roman" w:hAnsi="Times New Roman" w:eastAsia="宋体" w:cs="Times New Roman"/>
                <w:color w:val="000000" w:themeColor="text1"/>
                <w:szCs w:val="21"/>
                <w:lang w:eastAsia="zh-CN"/>
                <w14:textFill>
                  <w14:solidFill>
                    <w14:schemeClr w14:val="tx1"/>
                  </w14:solidFill>
                </w14:textFill>
              </w:rPr>
              <w:t>；</w:t>
            </w:r>
          </w:p>
          <w:p w14:paraId="282214F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危废暂存间执行《</w:t>
            </w:r>
            <w:r>
              <w:rPr>
                <w:rFonts w:hint="default" w:ascii="Times New Roman" w:hAnsi="Times New Roman" w:eastAsia="宋体" w:cs="Times New Roman"/>
                <w:color w:val="000000" w:themeColor="text1"/>
                <w:szCs w:val="21"/>
                <w14:textFill>
                  <w14:solidFill>
                    <w14:schemeClr w14:val="tx1"/>
                  </w14:solidFill>
                </w14:textFill>
              </w:rPr>
              <w:t>危险废物贮存污染控制标准》（GB18597-</w:t>
            </w:r>
            <w:r>
              <w:rPr>
                <w:rFonts w:hint="default" w:ascii="Times New Roman" w:hAnsi="Times New Roman" w:eastAsia="宋体" w:cs="Times New Roman"/>
                <w:color w:val="000000" w:themeColor="text1"/>
                <w:szCs w:val="21"/>
                <w:lang w:val="en-US" w:eastAsia="zh-CN"/>
                <w14:textFill>
                  <w14:solidFill>
                    <w14:schemeClr w14:val="tx1"/>
                  </w14:solidFill>
                </w14:textFill>
              </w:rPr>
              <w:t>2023</w:t>
            </w:r>
            <w:r>
              <w:rPr>
                <w:rFonts w:hint="default" w:ascii="Times New Roman" w:hAnsi="Times New Roman" w:eastAsia="宋体" w:cs="Times New Roman"/>
                <w:color w:val="000000" w:themeColor="text1"/>
                <w:szCs w:val="21"/>
                <w14:textFill>
                  <w14:solidFill>
                    <w14:schemeClr w14:val="tx1"/>
                  </w14:solidFill>
                </w14:textFill>
              </w:rPr>
              <w:t>）</w:t>
            </w:r>
          </w:p>
        </w:tc>
      </w:tr>
      <w:tr w14:paraId="562BB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61E65F0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31B7B65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废抹布</w:t>
            </w:r>
          </w:p>
        </w:tc>
        <w:tc>
          <w:tcPr>
            <w:tcW w:w="4211" w:type="dxa"/>
            <w:gridSpan w:val="2"/>
            <w:vMerge w:val="continue"/>
            <w:vAlign w:val="center"/>
          </w:tcPr>
          <w:p w14:paraId="263E644D">
            <w:pPr>
              <w:pStyle w:val="18"/>
              <w:keepNext w:val="0"/>
              <w:keepLines/>
              <w:pageBreakBefore w:val="0"/>
              <w:kinsoku/>
              <w:overflowPunct/>
              <w:bidi w:val="0"/>
              <w:adjustRightInd/>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p>
        </w:tc>
        <w:tc>
          <w:tcPr>
            <w:tcW w:w="2146" w:type="dxa"/>
            <w:vMerge w:val="continue"/>
            <w:vAlign w:val="center"/>
          </w:tcPr>
          <w:p w14:paraId="6A2C66B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2B032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6A8D1BF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4C3BE70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废油墨渣</w:t>
            </w:r>
          </w:p>
        </w:tc>
        <w:tc>
          <w:tcPr>
            <w:tcW w:w="4211" w:type="dxa"/>
            <w:gridSpan w:val="2"/>
            <w:vMerge w:val="continue"/>
            <w:vAlign w:val="center"/>
          </w:tcPr>
          <w:p w14:paraId="2C521FF5">
            <w:pPr>
              <w:pStyle w:val="125"/>
              <w:rPr>
                <w:rFonts w:hint="default" w:ascii="Times New Roman" w:hAnsi="Times New Roman" w:eastAsia="宋体" w:cs="Times New Roman"/>
                <w:color w:val="000000" w:themeColor="text1"/>
                <w:szCs w:val="21"/>
                <w14:textFill>
                  <w14:solidFill>
                    <w14:schemeClr w14:val="tx1"/>
                  </w14:solidFill>
                </w14:textFill>
              </w:rPr>
            </w:pPr>
          </w:p>
        </w:tc>
        <w:tc>
          <w:tcPr>
            <w:tcW w:w="2146" w:type="dxa"/>
            <w:vMerge w:val="continue"/>
            <w:vAlign w:val="center"/>
          </w:tcPr>
          <w:p w14:paraId="34D9B62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3A7AC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2A88C21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581E228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废有机溶剂</w:t>
            </w:r>
          </w:p>
        </w:tc>
        <w:tc>
          <w:tcPr>
            <w:tcW w:w="4211" w:type="dxa"/>
            <w:gridSpan w:val="2"/>
            <w:vMerge w:val="continue"/>
            <w:vAlign w:val="center"/>
          </w:tcPr>
          <w:p w14:paraId="645068C2">
            <w:pPr>
              <w:pStyle w:val="125"/>
              <w:rPr>
                <w:rFonts w:hint="default" w:ascii="Times New Roman" w:hAnsi="Times New Roman" w:eastAsia="宋体" w:cs="Times New Roman"/>
                <w:color w:val="000000" w:themeColor="text1"/>
                <w:szCs w:val="21"/>
                <w14:textFill>
                  <w14:solidFill>
                    <w14:schemeClr w14:val="tx1"/>
                  </w14:solidFill>
                </w14:textFill>
              </w:rPr>
            </w:pPr>
          </w:p>
        </w:tc>
        <w:tc>
          <w:tcPr>
            <w:tcW w:w="2146" w:type="dxa"/>
            <w:vMerge w:val="continue"/>
            <w:vAlign w:val="center"/>
          </w:tcPr>
          <w:p w14:paraId="0187B11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2BBDE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2C81A69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39614B9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废印</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版辊</w:t>
            </w:r>
          </w:p>
        </w:tc>
        <w:tc>
          <w:tcPr>
            <w:tcW w:w="4211" w:type="dxa"/>
            <w:gridSpan w:val="2"/>
            <w:vMerge w:val="continue"/>
            <w:vAlign w:val="center"/>
          </w:tcPr>
          <w:p w14:paraId="5BE68C90">
            <w:pPr>
              <w:pStyle w:val="125"/>
              <w:rPr>
                <w:rFonts w:hint="default" w:ascii="Times New Roman" w:hAnsi="Times New Roman" w:eastAsia="宋体" w:cs="Times New Roman"/>
                <w:color w:val="000000" w:themeColor="text1"/>
                <w:szCs w:val="21"/>
                <w14:textFill>
                  <w14:solidFill>
                    <w14:schemeClr w14:val="tx1"/>
                  </w14:solidFill>
                </w14:textFill>
              </w:rPr>
            </w:pPr>
          </w:p>
        </w:tc>
        <w:tc>
          <w:tcPr>
            <w:tcW w:w="2146" w:type="dxa"/>
            <w:vMerge w:val="continue"/>
            <w:vAlign w:val="center"/>
          </w:tcPr>
          <w:p w14:paraId="2E269CB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5FC70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0F5683E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26" w:type="dxa"/>
            <w:gridSpan w:val="2"/>
            <w:vAlign w:val="center"/>
          </w:tcPr>
          <w:p w14:paraId="1DDB0A9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废机油</w:t>
            </w:r>
          </w:p>
        </w:tc>
        <w:tc>
          <w:tcPr>
            <w:tcW w:w="4211" w:type="dxa"/>
            <w:gridSpan w:val="2"/>
            <w:vMerge w:val="continue"/>
            <w:vAlign w:val="center"/>
          </w:tcPr>
          <w:p w14:paraId="2DA817A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2146" w:type="dxa"/>
            <w:vMerge w:val="continue"/>
            <w:vAlign w:val="center"/>
          </w:tcPr>
          <w:p w14:paraId="17A0F4C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31895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4496E80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土壤及地下水污染防治措施</w:t>
            </w:r>
          </w:p>
        </w:tc>
        <w:tc>
          <w:tcPr>
            <w:tcW w:w="8083" w:type="dxa"/>
            <w:gridSpan w:val="5"/>
            <w:vAlign w:val="center"/>
          </w:tcPr>
          <w:p w14:paraId="5F73247C">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重点防渗</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区：</w:t>
            </w: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eastAsia="宋体" w:cs="Times New Roman"/>
                <w:color w:val="000000" w:themeColor="text1"/>
                <w:sz w:val="21"/>
                <w:szCs w:val="21"/>
                <w:lang w:eastAsia="zh-CN"/>
                <w14:textFill>
                  <w14:solidFill>
                    <w14:schemeClr w14:val="tx1"/>
                  </w14:solidFill>
                </w14:textFill>
              </w:rPr>
              <w:t>、溶剂间作为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eastAsia="宋体" w:cs="Times New Roman"/>
                <w:color w:val="000000" w:themeColor="text1"/>
                <w:sz w:val="21"/>
                <w:szCs w:val="21"/>
                <w:lang w:eastAsia="zh-CN"/>
                <w14:textFill>
                  <w14:solidFill>
                    <w14:schemeClr w14:val="tx1"/>
                  </w14:solidFill>
                </w14:textFill>
              </w:rPr>
              <w:t>区。</w:t>
            </w:r>
          </w:p>
          <w:p w14:paraId="7854FA6D">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溶剂间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eastAsia="宋体"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w:t>
            </w:r>
          </w:p>
          <w:p w14:paraId="747A33EB">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污染控制标准》（GB18597-2023）相关要求，防渗层为至少1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p>
          <w:p w14:paraId="244526F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一般防渗区</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sz w:val="21"/>
                <w:szCs w:val="21"/>
                <w:lang w:eastAsia="zh-CN"/>
                <w14:textFill>
                  <w14:solidFill>
                    <w14:schemeClr w14:val="tx1"/>
                  </w14:solidFill>
                </w14:textFill>
              </w:rPr>
              <w:t>生产区、原料区、成品区等区域地面为一般防渗区，</w:t>
            </w:r>
            <w:r>
              <w:rPr>
                <w:rFonts w:hint="default" w:ascii="Times New Roman" w:hAnsi="Times New Roman" w:eastAsia="宋体" w:cs="Times New Roman"/>
                <w:color w:val="000000" w:themeColor="text1"/>
                <w:sz w:val="21"/>
                <w:szCs w:val="18"/>
                <w:highlight w:val="none"/>
                <w14:textFill>
                  <w14:solidFill>
                    <w14:schemeClr w14:val="tx1"/>
                  </w14:solidFill>
                </w14:textFill>
              </w:rPr>
              <w:t>按照</w:t>
            </w:r>
            <w:r>
              <w:rPr>
                <w:rFonts w:hint="default" w:ascii="Times New Roman" w:hAnsi="Times New Roman" w:eastAsia="宋体" w:cs="Times New Roman"/>
                <w:color w:val="000000" w:themeColor="text1"/>
                <w:sz w:val="21"/>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18"/>
                <w:highlight w:val="none"/>
                <w14:textFill>
                  <w14:solidFill>
                    <w14:schemeClr w14:val="tx1"/>
                  </w14:solidFill>
                </w14:textFill>
              </w:rPr>
              <w:t>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p>
          <w:p w14:paraId="0034A604">
            <w:pPr>
              <w:widowControl/>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简单防渗区：</w:t>
            </w:r>
            <w:r>
              <w:rPr>
                <w:rFonts w:hint="default" w:ascii="Times New Roman" w:hAnsi="Times New Roman" w:eastAsia="宋体" w:cs="Times New Roman"/>
                <w:color w:val="000000" w:themeColor="text1"/>
                <w14:textFill>
                  <w14:solidFill>
                    <w14:schemeClr w14:val="tx1"/>
                  </w14:solidFill>
                </w14:textFill>
              </w:rPr>
              <w:t>生产</w:t>
            </w:r>
            <w:r>
              <w:rPr>
                <w:rFonts w:hint="default" w:ascii="Times New Roman" w:hAnsi="Times New Roman" w:eastAsia="宋体" w:cs="Times New Roman"/>
                <w:color w:val="000000" w:themeColor="text1"/>
                <w:lang w:eastAsia="zh-CN"/>
                <w14:textFill>
                  <w14:solidFill>
                    <w14:schemeClr w14:val="tx1"/>
                  </w14:solidFill>
                </w14:textFill>
              </w:rPr>
              <w:t>厂房</w:t>
            </w:r>
            <w:r>
              <w:rPr>
                <w:rFonts w:hint="default" w:ascii="Times New Roman" w:hAnsi="Times New Roman" w:eastAsia="宋体" w:cs="Times New Roman"/>
                <w:color w:val="000000" w:themeColor="text1"/>
                <w14:textFill>
                  <w14:solidFill>
                    <w14:schemeClr w14:val="tx1"/>
                  </w14:solidFill>
                </w14:textFill>
              </w:rPr>
              <w:t>内</w:t>
            </w:r>
            <w:r>
              <w:rPr>
                <w:rFonts w:hint="default" w:ascii="Times New Roman" w:hAnsi="Times New Roman" w:eastAsia="宋体" w:cs="Times New Roman"/>
                <w:color w:val="000000" w:themeColor="text1"/>
                <w:lang w:eastAsia="zh-CN"/>
                <w14:textFill>
                  <w14:solidFill>
                    <w14:schemeClr w14:val="tx1"/>
                  </w14:solidFill>
                </w14:textFill>
              </w:rPr>
              <w:t>办公室等区域地面</w:t>
            </w:r>
            <w:r>
              <w:rPr>
                <w:rFonts w:hint="default" w:ascii="Times New Roman" w:hAnsi="Times New Roman" w:eastAsia="宋体" w:cs="Times New Roman"/>
                <w:color w:val="000000" w:themeColor="text1"/>
                <w:sz w:val="21"/>
                <w:szCs w:val="21"/>
                <w14:textFill>
                  <w14:solidFill>
                    <w14:schemeClr w14:val="tx1"/>
                  </w14:solidFill>
                </w14:textFill>
              </w:rPr>
              <w:t>为简单防渗区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lang w:val="zh-CN"/>
                <w14:textFill>
                  <w14:solidFill>
                    <w14:schemeClr w14:val="tx1"/>
                  </w14:solidFill>
                </w14:textFill>
              </w:rPr>
              <w:t>一般</w:t>
            </w:r>
            <w:r>
              <w:rPr>
                <w:rFonts w:hint="default" w:ascii="Times New Roman" w:hAnsi="Times New Roman" w:eastAsia="宋体" w:cs="Times New Roman"/>
                <w:color w:val="000000" w:themeColor="text1"/>
                <w:sz w:val="21"/>
                <w:szCs w:val="21"/>
                <w14:textFill>
                  <w14:solidFill>
                    <w14:schemeClr w14:val="tx1"/>
                  </w14:solidFill>
                </w14:textFill>
              </w:rPr>
              <w:t>地面硬化</w:t>
            </w:r>
            <w:r>
              <w:rPr>
                <w:rFonts w:hint="default" w:ascii="Times New Roman" w:hAnsi="Times New Roman" w:eastAsia="宋体" w:cs="Times New Roman"/>
                <w:color w:val="000000" w:themeColor="text1"/>
                <w:sz w:val="21"/>
                <w:szCs w:val="21"/>
                <w:lang w:eastAsia="zh-CN"/>
                <w14:textFill>
                  <w14:solidFill>
                    <w14:schemeClr w14:val="tx1"/>
                  </w14:solidFill>
                </w14:textFill>
              </w:rPr>
              <w:t>处理。</w:t>
            </w:r>
          </w:p>
        </w:tc>
      </w:tr>
      <w:tr w14:paraId="001A4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6EC5B3C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生态保护措施</w:t>
            </w:r>
          </w:p>
        </w:tc>
        <w:tc>
          <w:tcPr>
            <w:tcW w:w="8083" w:type="dxa"/>
            <w:gridSpan w:val="5"/>
            <w:vAlign w:val="center"/>
          </w:tcPr>
          <w:p w14:paraId="32AB2FA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14:paraId="74D53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2FBFEFD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环境风险防范措施</w:t>
            </w:r>
          </w:p>
        </w:tc>
        <w:tc>
          <w:tcPr>
            <w:tcW w:w="8083" w:type="dxa"/>
            <w:gridSpan w:val="5"/>
            <w:vAlign w:val="center"/>
          </w:tcPr>
          <w:p w14:paraId="339BD7D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设有1间危废暂存间，并设有废油专用收集容器，用于贮存</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废机油</w:t>
            </w:r>
            <w:r>
              <w:rPr>
                <w:rFonts w:hint="default" w:ascii="Times New Roman" w:hAnsi="Times New Roman" w:eastAsia="宋体" w:cs="Times New Roman"/>
                <w:color w:val="000000" w:themeColor="text1"/>
                <w:kern w:val="0"/>
                <w:sz w:val="21"/>
                <w:szCs w:val="21"/>
                <w:lang w:bidi="ar"/>
                <w14:textFill>
                  <w14:solidFill>
                    <w14:schemeClr w14:val="tx1"/>
                  </w14:solidFill>
                </w14:textFill>
              </w:rPr>
              <w:t>，收集后委托</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有资质单位</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处置</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设置</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1间溶剂间，用于贮存</w:t>
            </w:r>
            <w:r>
              <w:rPr>
                <w:rFonts w:hint="default" w:ascii="Times New Roman" w:hAnsi="Times New Roman" w:eastAsia="宋体" w:cs="Times New Roman"/>
                <w:bCs/>
                <w:color w:val="000000" w:themeColor="text1"/>
                <w:sz w:val="21"/>
                <w:szCs w:val="21"/>
                <w:lang w:eastAsia="zh-CN"/>
                <w14:textFill>
                  <w14:solidFill>
                    <w14:schemeClr w14:val="tx1"/>
                  </w14:solidFill>
                </w14:textFill>
              </w:rPr>
              <w:t>原辅料。</w:t>
            </w:r>
          </w:p>
          <w:p w14:paraId="6FDDA8F7">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为减少事故发生，必须增加管理力度，提高员工技术水平和安全意识，严格按规范操作，认真落实应急预案。并加强设备检查和维修，减少故障发生，提高企业的应急能力，从而确保生产安全。</w:t>
            </w:r>
          </w:p>
          <w:p w14:paraId="230301B2">
            <w:pPr>
              <w:adjustRightInd w:val="0"/>
              <w:snapToGrid w:val="0"/>
              <w:ind w:firstLine="420" w:firstLineChars="20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关于印发〈突发环境事件应急预案管理暂行办法〉的通知》（环发〔2015〕4号）要求，及时进行</w:t>
            </w:r>
            <w:r>
              <w:rPr>
                <w:rFonts w:hint="default" w:ascii="Times New Roman" w:hAnsi="Times New Roman" w:eastAsia="宋体" w:cs="Times New Roman"/>
                <w:color w:val="000000" w:themeColor="text1"/>
                <w:sz w:val="21"/>
                <w:szCs w:val="21"/>
                <w:lang w:eastAsia="zh-CN"/>
                <w14:textFill>
                  <w14:solidFill>
                    <w14:schemeClr w14:val="tx1"/>
                  </w14:solidFill>
                </w14:textFill>
              </w:rPr>
              <w:t>编制《</w:t>
            </w:r>
            <w:r>
              <w:rPr>
                <w:rFonts w:hint="default" w:ascii="Times New Roman" w:hAnsi="Times New Roman" w:eastAsia="宋体" w:cs="Times New Roman"/>
                <w:color w:val="000000" w:themeColor="text1"/>
                <w:sz w:val="21"/>
                <w:szCs w:val="21"/>
                <w14:textFill>
                  <w14:solidFill>
                    <w14:schemeClr w14:val="tx1"/>
                  </w14:solidFill>
                </w14:textFill>
              </w:rPr>
              <w:t>突发环境事件应急预案》工作并于玉溪市生态环境局</w:t>
            </w:r>
            <w:r>
              <w:rPr>
                <w:rFonts w:hint="default" w:ascii="Times New Roman" w:hAnsi="Times New Roman" w:eastAsia="宋体" w:cs="Times New Roman"/>
                <w:color w:val="000000" w:themeColor="text1"/>
                <w:sz w:val="21"/>
                <w:szCs w:val="21"/>
                <w:lang w:eastAsia="zh-CN"/>
                <w14:textFill>
                  <w14:solidFill>
                    <w14:schemeClr w14:val="tx1"/>
                  </w14:solidFill>
                </w14:textFill>
              </w:rPr>
              <w:t>江川</w:t>
            </w:r>
            <w:r>
              <w:rPr>
                <w:rFonts w:hint="default" w:ascii="Times New Roman" w:hAnsi="Times New Roman" w:eastAsia="宋体" w:cs="Times New Roman"/>
                <w:color w:val="000000" w:themeColor="text1"/>
                <w:sz w:val="21"/>
                <w:szCs w:val="21"/>
                <w14:textFill>
                  <w14:solidFill>
                    <w14:schemeClr w14:val="tx1"/>
                  </w14:solidFill>
                </w14:textFill>
              </w:rPr>
              <w:t>分局备案；加强应急演练，建立完善应急报告制度，落实应急物资和经费。切实做好环保设施的日常维护和管理，落实环境风险防范措施，杜绝事故性排放。</w:t>
            </w:r>
          </w:p>
        </w:tc>
      </w:tr>
      <w:tr w14:paraId="76F5D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Align w:val="center"/>
          </w:tcPr>
          <w:p w14:paraId="022F372F">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其他环境</w:t>
            </w:r>
          </w:p>
          <w:p w14:paraId="6A5FBD78">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管理要求</w:t>
            </w:r>
          </w:p>
        </w:tc>
        <w:tc>
          <w:tcPr>
            <w:tcW w:w="8083" w:type="dxa"/>
            <w:gridSpan w:val="5"/>
            <w:vAlign w:val="center"/>
          </w:tcPr>
          <w:p w14:paraId="582F637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1、环境管理计划</w:t>
            </w:r>
          </w:p>
          <w:p w14:paraId="3F1A0F9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①根据国家环保政策、标准及环境监测要求，制定该项目运行期环境管理规章制度、各种污染物排放指标；②项目建成投产前建设单位应自行组织项目竣工环境保护验收工作，检查环保设施是否达到</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三同时</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要求；③加强环保设施的管理，定期检查厂内环保设施运行情况，及时排除故障，保证环保设施正常运转；④一般固废的收集管理应由专人负责，分类收集；⑤运用经济、教育、行政、法律及其它手段，加强项目区内人员的环保意识，加强环境保护的自觉性，不断提高环境管理水平；⑥按自行监测计划委托有资质单位进行。</w:t>
            </w:r>
          </w:p>
          <w:p w14:paraId="23E8B69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2、排污许可证申请</w:t>
            </w:r>
          </w:p>
          <w:p w14:paraId="734E054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按照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排污许可管理办法》规定，本项目启动生产设施或者在实际排污之前，需向核发机关提出办理排污许可证的申请，不得无证排污。项目运行后按要求开展自行监测，按时提交执行报告。</w:t>
            </w:r>
          </w:p>
          <w:p w14:paraId="696C678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3、严格执行环保</w:t>
            </w:r>
            <w:r>
              <w:rPr>
                <w:rFonts w:hint="eastAsia"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三同时</w:t>
            </w:r>
            <w:r>
              <w:rPr>
                <w:rFonts w:hint="eastAsia"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制度</w:t>
            </w:r>
          </w:p>
          <w:p w14:paraId="5DFDD45C">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严格执行环境保护设施与主体工程同时设计、同时施工、同时投产使用的环境保护</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三同时</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制度；项目建成投入运行后，及时报告并按规定自行组织开展竣工环保验收，经验收合格后方可正式投入运营。</w:t>
            </w:r>
          </w:p>
          <w:p w14:paraId="62915321">
            <w:pPr>
              <w:pStyle w:val="18"/>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4、排污口规范化管理</w:t>
            </w:r>
          </w:p>
          <w:p w14:paraId="4CBBBD1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根据《排污口规范化整治技术要求(试行)》(</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环监</w:t>
            </w:r>
            <w:r>
              <w:rPr>
                <w:rFonts w:hint="default" w:ascii="Times New Roman" w:hAnsi="Times New Roman" w:eastAsia="宋体" w:cs="Times New Roman"/>
                <w:b w:val="0"/>
                <w:bCs/>
                <w:color w:val="000000" w:themeColor="text1"/>
                <w:sz w:val="21"/>
                <w:szCs w:val="21"/>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1996</w:t>
            </w:r>
            <w:r>
              <w:rPr>
                <w:rFonts w:hint="default" w:ascii="Times New Roman" w:hAnsi="Times New Roman" w:eastAsia="宋体" w:cs="Times New Roman"/>
                <w:b w:val="0"/>
                <w:bCs/>
                <w:color w:val="000000" w:themeColor="text1"/>
                <w:sz w:val="21"/>
                <w:szCs w:val="21"/>
                <w14:textFill>
                  <w14:solidFill>
                    <w14:schemeClr w14:val="tx1"/>
                  </w14:solidFill>
                </w14:textFill>
              </w:rPr>
              <w:t>〕</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470)等规定，排放口应设置便于采样、监测的采样口，有标识牌。采样口的设置符合污染源监测技术规范</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等</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要求。</w:t>
            </w:r>
          </w:p>
          <w:p w14:paraId="3393B820">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76C99158">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53422AB1">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4CB8DE8A">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1734E09E">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425E0166">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01344710">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25A50AED">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71F54E73">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711B8030">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3FC5ABBF">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25C6D612">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5F636FA0">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67BB4BE4">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6B7250C8">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eastAsia="zh-CN"/>
                <w14:textFill>
                  <w14:solidFill>
                    <w14:schemeClr w14:val="tx1"/>
                  </w14:solidFill>
                </w14:textFill>
              </w:rPr>
              <w:br w:type="textWrapping"/>
            </w:r>
          </w:p>
        </w:tc>
      </w:tr>
    </w:tbl>
    <w:p w14:paraId="5441B4C1">
      <w:pPr>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226904EC">
      <w:pPr>
        <w:pStyle w:val="28"/>
        <w:adjustRightInd w:val="0"/>
        <w:snapToGrid w:val="0"/>
        <w:spacing w:before="0" w:beforeAutospacing="0" w:after="0" w:afterAutospacing="0"/>
        <w:jc w:val="center"/>
        <w:outlineLvl w:val="0"/>
        <w:rPr>
          <w:rFonts w:hint="default" w:ascii="Times New Roman" w:hAnsi="Times New Roman" w:eastAsia="宋体" w:cs="Times New Roman"/>
          <w:b/>
          <w:bCs/>
          <w:snapToGrid w:val="0"/>
          <w:color w:val="000000" w:themeColor="text1"/>
          <w:sz w:val="30"/>
          <w:szCs w:val="30"/>
          <w14:textFill>
            <w14:solidFill>
              <w14:schemeClr w14:val="tx1"/>
            </w14:solidFill>
          </w14:textFill>
        </w:rPr>
      </w:pPr>
      <w:bookmarkStart w:id="15" w:name="_Toc24787"/>
      <w:bookmarkStart w:id="16" w:name="_Toc1582"/>
      <w:r>
        <w:rPr>
          <w:rFonts w:hint="default" w:ascii="Times New Roman" w:hAnsi="Times New Roman" w:eastAsia="宋体" w:cs="Times New Roman"/>
          <w:b/>
          <w:bCs/>
          <w:snapToGrid w:val="0"/>
          <w:color w:val="000000" w:themeColor="text1"/>
          <w:sz w:val="30"/>
          <w:szCs w:val="30"/>
          <w14:textFill>
            <w14:solidFill>
              <w14:schemeClr w14:val="tx1"/>
            </w14:solidFill>
          </w14:textFill>
        </w:rPr>
        <w:t>六、结论</w:t>
      </w:r>
      <w:bookmarkEnd w:id="15"/>
      <w:bookmarkEnd w:id="16"/>
    </w:p>
    <w:tbl>
      <w:tblPr>
        <w:tblStyle w:val="3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C7F4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0315C25">
            <w:pPr>
              <w:pStyle w:val="45"/>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本项目的建设符合国家、地方产业政策，以及相关规划，不涉及自然保护区、风景名胜区、水源保护区等环境敏感区，</w:t>
            </w:r>
            <w:r>
              <w:rPr>
                <w:rFonts w:hint="default" w:ascii="Times New Roman" w:hAnsi="Times New Roman" w:eastAsia="宋体" w:cs="Times New Roman"/>
                <w:color w:val="000000" w:themeColor="text1"/>
                <w:highlight w:val="none"/>
                <w14:textFill>
                  <w14:solidFill>
                    <w14:schemeClr w14:val="tx1"/>
                  </w14:solidFill>
                </w14:textFill>
              </w:rPr>
              <w:t>与周围居民点、学校、医院等关心点距离</w:t>
            </w:r>
            <w:r>
              <w:rPr>
                <w:rFonts w:hint="default" w:ascii="Times New Roman" w:hAnsi="Times New Roman" w:eastAsia="宋体" w:cs="Times New Roman"/>
                <w:color w:val="000000" w:themeColor="text1"/>
                <w:highlight w:val="none"/>
                <w:lang w:eastAsia="zh-CN"/>
                <w14:textFill>
                  <w14:solidFill>
                    <w14:schemeClr w14:val="tx1"/>
                  </w14:solidFill>
                </w14:textFill>
              </w:rPr>
              <w:t>在合理范围内</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14:paraId="1694A278">
            <w:pPr>
              <w:pStyle w:val="45"/>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本项目在严格执行环境保护</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三同时</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制度，严格进行环境管理，保证项目内的废气处理设施及其他环保设施的正常运行，污染物达标排放的条件下，从环境保护角度论证，本项目的建设是可行的。</w:t>
            </w:r>
          </w:p>
          <w:p w14:paraId="3E34451E">
            <w:pPr>
              <w:pStyle w:val="2"/>
              <w:rPr>
                <w:rFonts w:hint="default" w:ascii="Times New Roman" w:hAnsi="Times New Roman" w:eastAsia="宋体" w:cs="Times New Roman"/>
                <w:color w:val="000000" w:themeColor="text1"/>
                <w14:textFill>
                  <w14:solidFill>
                    <w14:schemeClr w14:val="tx1"/>
                  </w14:solidFill>
                </w14:textFill>
              </w:rPr>
            </w:pPr>
          </w:p>
          <w:p w14:paraId="0DAB2FFF">
            <w:pPr>
              <w:pStyle w:val="3"/>
              <w:rPr>
                <w:rFonts w:hint="default" w:ascii="Times New Roman" w:hAnsi="Times New Roman" w:eastAsia="宋体" w:cs="Times New Roman"/>
                <w:color w:val="000000" w:themeColor="text1"/>
                <w14:textFill>
                  <w14:solidFill>
                    <w14:schemeClr w14:val="tx1"/>
                  </w14:solidFill>
                </w14:textFill>
              </w:rPr>
            </w:pPr>
          </w:p>
          <w:p w14:paraId="0ED69C7A">
            <w:pPr>
              <w:rPr>
                <w:rFonts w:hint="default" w:ascii="Times New Roman" w:hAnsi="Times New Roman" w:eastAsia="宋体" w:cs="Times New Roman"/>
                <w:color w:val="000000" w:themeColor="text1"/>
                <w14:textFill>
                  <w14:solidFill>
                    <w14:schemeClr w14:val="tx1"/>
                  </w14:solidFill>
                </w14:textFill>
              </w:rPr>
            </w:pPr>
          </w:p>
          <w:p w14:paraId="28C05800">
            <w:pPr>
              <w:pStyle w:val="2"/>
              <w:rPr>
                <w:rFonts w:hint="default" w:ascii="Times New Roman" w:hAnsi="Times New Roman" w:eastAsia="宋体" w:cs="Times New Roman"/>
                <w:color w:val="000000" w:themeColor="text1"/>
                <w14:textFill>
                  <w14:solidFill>
                    <w14:schemeClr w14:val="tx1"/>
                  </w14:solidFill>
                </w14:textFill>
              </w:rPr>
            </w:pPr>
          </w:p>
          <w:p w14:paraId="32A4D0B1">
            <w:pPr>
              <w:pStyle w:val="3"/>
              <w:rPr>
                <w:rFonts w:hint="default" w:ascii="Times New Roman" w:hAnsi="Times New Roman" w:eastAsia="宋体" w:cs="Times New Roman"/>
                <w:color w:val="000000" w:themeColor="text1"/>
                <w14:textFill>
                  <w14:solidFill>
                    <w14:schemeClr w14:val="tx1"/>
                  </w14:solidFill>
                </w14:textFill>
              </w:rPr>
            </w:pPr>
          </w:p>
          <w:p w14:paraId="21C1E678">
            <w:pPr>
              <w:rPr>
                <w:rFonts w:hint="default" w:ascii="Times New Roman" w:hAnsi="Times New Roman" w:eastAsia="宋体" w:cs="Times New Roman"/>
                <w:color w:val="000000" w:themeColor="text1"/>
                <w14:textFill>
                  <w14:solidFill>
                    <w14:schemeClr w14:val="tx1"/>
                  </w14:solidFill>
                </w14:textFill>
              </w:rPr>
            </w:pPr>
          </w:p>
          <w:p w14:paraId="099B9012">
            <w:pPr>
              <w:pStyle w:val="2"/>
              <w:rPr>
                <w:rFonts w:hint="default" w:ascii="Times New Roman" w:hAnsi="Times New Roman" w:eastAsia="宋体" w:cs="Times New Roman"/>
                <w:color w:val="000000" w:themeColor="text1"/>
                <w14:textFill>
                  <w14:solidFill>
                    <w14:schemeClr w14:val="tx1"/>
                  </w14:solidFill>
                </w14:textFill>
              </w:rPr>
            </w:pPr>
          </w:p>
          <w:p w14:paraId="063BB29F">
            <w:pPr>
              <w:pStyle w:val="3"/>
              <w:rPr>
                <w:rFonts w:hint="default" w:ascii="Times New Roman" w:hAnsi="Times New Roman" w:eastAsia="宋体" w:cs="Times New Roman"/>
                <w:color w:val="000000" w:themeColor="text1"/>
                <w14:textFill>
                  <w14:solidFill>
                    <w14:schemeClr w14:val="tx1"/>
                  </w14:solidFill>
                </w14:textFill>
              </w:rPr>
            </w:pPr>
          </w:p>
          <w:p w14:paraId="36D3399D">
            <w:pPr>
              <w:rPr>
                <w:rFonts w:hint="default" w:ascii="Times New Roman" w:hAnsi="Times New Roman" w:eastAsia="宋体" w:cs="Times New Roman"/>
                <w:color w:val="000000" w:themeColor="text1"/>
                <w14:textFill>
                  <w14:solidFill>
                    <w14:schemeClr w14:val="tx1"/>
                  </w14:solidFill>
                </w14:textFill>
              </w:rPr>
            </w:pPr>
          </w:p>
          <w:p w14:paraId="71845F91">
            <w:pPr>
              <w:pStyle w:val="2"/>
              <w:rPr>
                <w:rFonts w:hint="default" w:ascii="Times New Roman" w:hAnsi="Times New Roman" w:eastAsia="宋体" w:cs="Times New Roman"/>
                <w:color w:val="000000" w:themeColor="text1"/>
                <w14:textFill>
                  <w14:solidFill>
                    <w14:schemeClr w14:val="tx1"/>
                  </w14:solidFill>
                </w14:textFill>
              </w:rPr>
            </w:pPr>
          </w:p>
          <w:p w14:paraId="023E1309">
            <w:pPr>
              <w:pStyle w:val="3"/>
              <w:rPr>
                <w:rFonts w:hint="default" w:ascii="Times New Roman" w:hAnsi="Times New Roman" w:eastAsia="宋体" w:cs="Times New Roman"/>
                <w:color w:val="000000" w:themeColor="text1"/>
                <w14:textFill>
                  <w14:solidFill>
                    <w14:schemeClr w14:val="tx1"/>
                  </w14:solidFill>
                </w14:textFill>
              </w:rPr>
            </w:pPr>
          </w:p>
          <w:p w14:paraId="1F33583C">
            <w:pPr>
              <w:rPr>
                <w:rFonts w:hint="default" w:ascii="Times New Roman" w:hAnsi="Times New Roman" w:eastAsia="宋体" w:cs="Times New Roman"/>
                <w:color w:val="000000" w:themeColor="text1"/>
                <w14:textFill>
                  <w14:solidFill>
                    <w14:schemeClr w14:val="tx1"/>
                  </w14:solidFill>
                </w14:textFill>
              </w:rPr>
            </w:pPr>
          </w:p>
          <w:p w14:paraId="6043CD12">
            <w:pPr>
              <w:pStyle w:val="2"/>
              <w:rPr>
                <w:rFonts w:hint="default" w:ascii="Times New Roman" w:hAnsi="Times New Roman" w:eastAsia="宋体" w:cs="Times New Roman"/>
                <w:color w:val="000000" w:themeColor="text1"/>
                <w14:textFill>
                  <w14:solidFill>
                    <w14:schemeClr w14:val="tx1"/>
                  </w14:solidFill>
                </w14:textFill>
              </w:rPr>
            </w:pPr>
          </w:p>
          <w:p w14:paraId="4CFD0665">
            <w:pPr>
              <w:pStyle w:val="3"/>
              <w:rPr>
                <w:rFonts w:hint="default" w:ascii="Times New Roman" w:hAnsi="Times New Roman" w:eastAsia="宋体" w:cs="Times New Roman"/>
                <w:color w:val="000000" w:themeColor="text1"/>
                <w14:textFill>
                  <w14:solidFill>
                    <w14:schemeClr w14:val="tx1"/>
                  </w14:solidFill>
                </w14:textFill>
              </w:rPr>
            </w:pPr>
          </w:p>
          <w:p w14:paraId="686A5E38">
            <w:pPr>
              <w:rPr>
                <w:rFonts w:hint="default" w:ascii="Times New Roman" w:hAnsi="Times New Roman" w:eastAsia="宋体" w:cs="Times New Roman"/>
                <w:color w:val="000000" w:themeColor="text1"/>
                <w14:textFill>
                  <w14:solidFill>
                    <w14:schemeClr w14:val="tx1"/>
                  </w14:solidFill>
                </w14:textFill>
              </w:rPr>
            </w:pPr>
          </w:p>
          <w:p w14:paraId="60C5B34F">
            <w:pPr>
              <w:pStyle w:val="2"/>
              <w:rPr>
                <w:rFonts w:hint="default" w:ascii="Times New Roman" w:hAnsi="Times New Roman" w:eastAsia="宋体" w:cs="Times New Roman"/>
                <w:color w:val="000000" w:themeColor="text1"/>
                <w14:textFill>
                  <w14:solidFill>
                    <w14:schemeClr w14:val="tx1"/>
                  </w14:solidFill>
                </w14:textFill>
              </w:rPr>
            </w:pPr>
          </w:p>
          <w:p w14:paraId="7FAA5F5C">
            <w:pPr>
              <w:pStyle w:val="3"/>
              <w:rPr>
                <w:rFonts w:hint="default" w:ascii="Times New Roman" w:hAnsi="Times New Roman" w:eastAsia="宋体" w:cs="Times New Roman"/>
                <w:color w:val="000000" w:themeColor="text1"/>
                <w14:textFill>
                  <w14:solidFill>
                    <w14:schemeClr w14:val="tx1"/>
                  </w14:solidFill>
                </w14:textFill>
              </w:rPr>
            </w:pPr>
          </w:p>
        </w:tc>
      </w:tr>
    </w:tbl>
    <w:p w14:paraId="268DE53D">
      <w:pPr>
        <w:pStyle w:val="5"/>
        <w:pageBreakBefore w:val="0"/>
        <w:kinsoku/>
        <w:overflowPunct/>
        <w:topLinePunct w:val="0"/>
        <w:bidi w:val="0"/>
        <w:spacing w:before="0"/>
        <w:ind w:left="0" w:leftChars="0" w:right="0"/>
        <w:rPr>
          <w:rFonts w:hint="default" w:ascii="Times New Roman" w:hAnsi="Times New Roman" w:eastAsia="宋体"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6F303095">
      <w:pPr>
        <w:pStyle w:val="28"/>
        <w:adjustRightInd w:val="0"/>
        <w:snapToGrid w:val="0"/>
        <w:spacing w:before="0" w:beforeAutospacing="0" w:after="0" w:afterAutospacing="0"/>
        <w:jc w:val="both"/>
        <w:outlineLvl w:val="0"/>
        <w:rPr>
          <w:rFonts w:hint="default" w:ascii="Times New Roman" w:hAnsi="Times New Roman" w:eastAsia="宋体" w:cs="Times New Roman"/>
          <w:b/>
          <w:bCs/>
          <w:snapToGrid w:val="0"/>
          <w:color w:val="000000" w:themeColor="text1"/>
          <w:sz w:val="30"/>
          <w:szCs w:val="30"/>
          <w14:textFill>
            <w14:solidFill>
              <w14:schemeClr w14:val="tx1"/>
            </w14:solidFill>
          </w14:textFill>
        </w:rPr>
      </w:pPr>
      <w:bookmarkStart w:id="17" w:name="_Toc9427"/>
      <w:bookmarkStart w:id="18" w:name="_Toc24156"/>
      <w:bookmarkStart w:id="19" w:name="_Toc6881"/>
      <w:r>
        <w:rPr>
          <w:rFonts w:hint="default" w:ascii="Times New Roman" w:hAnsi="Times New Roman" w:eastAsia="宋体" w:cs="Times New Roman"/>
          <w:b/>
          <w:bCs/>
          <w:snapToGrid w:val="0"/>
          <w:color w:val="000000" w:themeColor="text1"/>
          <w:sz w:val="30"/>
          <w:szCs w:val="30"/>
          <w14:textFill>
            <w14:solidFill>
              <w14:schemeClr w14:val="tx1"/>
            </w14:solidFill>
          </w14:textFill>
        </w:rPr>
        <w:t>附表</w:t>
      </w:r>
      <w:bookmarkEnd w:id="17"/>
      <w:bookmarkEnd w:id="18"/>
      <w:bookmarkEnd w:id="19"/>
    </w:p>
    <w:p w14:paraId="04DDB17D">
      <w:pPr>
        <w:pStyle w:val="4"/>
        <w:numPr>
          <w:ilvl w:val="0"/>
          <w:numId w:val="0"/>
        </w:numPr>
        <w:ind w:firstLine="0" w:firstLineChars="0"/>
        <w:jc w:val="center"/>
        <w:rPr>
          <w:rFonts w:hint="default" w:ascii="Times New Roman" w:hAnsi="Times New Roman" w:eastAsia="宋体" w:cs="Times New Roman"/>
          <w:b/>
          <w:color w:val="000000" w:themeColor="text1"/>
          <w:kern w:val="44"/>
          <w:sz w:val="28"/>
          <w:szCs w:val="24"/>
          <w:lang w:val="en-US" w:eastAsia="zh-CN" w:bidi="ar-SA"/>
          <w14:textFill>
            <w14:solidFill>
              <w14:schemeClr w14:val="tx1"/>
            </w14:solidFill>
          </w14:textFill>
        </w:rPr>
      </w:pPr>
      <w:bookmarkStart w:id="20" w:name="_Toc8175"/>
      <w:bookmarkStart w:id="21" w:name="_Toc2566"/>
      <w:bookmarkStart w:id="22" w:name="_Toc31138"/>
      <w:r>
        <w:rPr>
          <w:rFonts w:hint="default" w:ascii="Times New Roman" w:hAnsi="Times New Roman" w:eastAsia="宋体" w:cs="Times New Roman"/>
          <w:b/>
          <w:color w:val="000000" w:themeColor="text1"/>
          <w:kern w:val="44"/>
          <w:sz w:val="28"/>
          <w:szCs w:val="24"/>
          <w:lang w:val="en-US" w:eastAsia="zh-CN" w:bidi="ar-SA"/>
          <w14:textFill>
            <w14:solidFill>
              <w14:schemeClr w14:val="tx1"/>
            </w14:solidFill>
          </w14:textFill>
        </w:rPr>
        <w:t>建设项目污染物排放量汇总表</w:t>
      </w:r>
      <w:bookmarkEnd w:id="20"/>
      <w:bookmarkEnd w:id="21"/>
      <w:bookmarkEnd w:id="22"/>
    </w:p>
    <w:tbl>
      <w:tblPr>
        <w:tblStyle w:val="3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2113"/>
        <w:gridCol w:w="1155"/>
        <w:gridCol w:w="1052"/>
        <w:gridCol w:w="1680"/>
        <w:gridCol w:w="1665"/>
        <w:gridCol w:w="1770"/>
        <w:gridCol w:w="1755"/>
        <w:gridCol w:w="1246"/>
      </w:tblGrid>
      <w:tr w14:paraId="4B5EF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352" w:type="dxa"/>
            <w:tcBorders>
              <w:tl2br w:val="single" w:color="auto" w:sz="4" w:space="0"/>
            </w:tcBorders>
            <w:tcMar>
              <w:left w:w="28" w:type="dxa"/>
              <w:right w:w="28" w:type="dxa"/>
            </w:tcMar>
            <w:vAlign w:val="center"/>
          </w:tcPr>
          <w:p w14:paraId="3FB5CCAE">
            <w:pPr>
              <w:pStyle w:val="53"/>
              <w:spacing w:before="31" w:after="31" w:line="240" w:lineRule="auto"/>
              <w:ind w:firstLine="0" w:firstLineChars="0"/>
              <w:jc w:val="right"/>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项目</w:t>
            </w:r>
          </w:p>
          <w:p w14:paraId="65175615">
            <w:pPr>
              <w:pStyle w:val="53"/>
              <w:spacing w:before="31" w:after="31" w:line="240" w:lineRule="auto"/>
              <w:ind w:firstLine="0" w:firstLineChars="0"/>
              <w:jc w:val="left"/>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分类</w:t>
            </w:r>
          </w:p>
        </w:tc>
        <w:tc>
          <w:tcPr>
            <w:tcW w:w="2113" w:type="dxa"/>
            <w:tcMar>
              <w:left w:w="28" w:type="dxa"/>
              <w:right w:w="28" w:type="dxa"/>
            </w:tcMar>
            <w:vAlign w:val="center"/>
          </w:tcPr>
          <w:p w14:paraId="48F2C4EC">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污染物名称</w:t>
            </w:r>
          </w:p>
        </w:tc>
        <w:tc>
          <w:tcPr>
            <w:tcW w:w="1155" w:type="dxa"/>
            <w:tcMar>
              <w:left w:w="28" w:type="dxa"/>
              <w:right w:w="28" w:type="dxa"/>
            </w:tcMar>
            <w:vAlign w:val="center"/>
          </w:tcPr>
          <w:p w14:paraId="6444A03C">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现有工程</w:t>
            </w:r>
          </w:p>
          <w:p w14:paraId="316C95E6">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0"/>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end"/>
            </w:r>
          </w:p>
        </w:tc>
        <w:tc>
          <w:tcPr>
            <w:tcW w:w="1052" w:type="dxa"/>
            <w:tcMar>
              <w:left w:w="28" w:type="dxa"/>
              <w:right w:w="28" w:type="dxa"/>
            </w:tcMar>
            <w:vAlign w:val="center"/>
          </w:tcPr>
          <w:p w14:paraId="6750F3F5">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现有工程</w:t>
            </w:r>
          </w:p>
          <w:p w14:paraId="69637904">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许可排放量</w:t>
            </w:r>
          </w:p>
          <w:p w14:paraId="0683A8BA">
            <w:pPr>
              <w:pStyle w:val="53"/>
              <w:spacing w:before="31" w:after="31"/>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end"/>
            </w:r>
          </w:p>
        </w:tc>
        <w:tc>
          <w:tcPr>
            <w:tcW w:w="1680" w:type="dxa"/>
            <w:tcMar>
              <w:left w:w="28" w:type="dxa"/>
              <w:right w:w="28" w:type="dxa"/>
            </w:tcMar>
            <w:vAlign w:val="center"/>
          </w:tcPr>
          <w:p w14:paraId="6F9E54B5">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在建工程</w:t>
            </w:r>
          </w:p>
          <w:p w14:paraId="29940CBD">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0"/>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end"/>
            </w:r>
          </w:p>
        </w:tc>
        <w:tc>
          <w:tcPr>
            <w:tcW w:w="1665" w:type="dxa"/>
            <w:tcMar>
              <w:left w:w="28" w:type="dxa"/>
              <w:right w:w="28" w:type="dxa"/>
            </w:tcMar>
            <w:vAlign w:val="center"/>
          </w:tcPr>
          <w:p w14:paraId="78E30981">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本项目</w:t>
            </w:r>
          </w:p>
          <w:p w14:paraId="36C60330">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0"/>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end"/>
            </w:r>
          </w:p>
        </w:tc>
        <w:tc>
          <w:tcPr>
            <w:tcW w:w="1770" w:type="dxa"/>
            <w:tcMar>
              <w:left w:w="28" w:type="dxa"/>
              <w:right w:w="28" w:type="dxa"/>
            </w:tcMar>
            <w:vAlign w:val="center"/>
          </w:tcPr>
          <w:p w14:paraId="63D0FC9B">
            <w:pPr>
              <w:pStyle w:val="53"/>
              <w:spacing w:before="31" w:after="31" w:line="240" w:lineRule="auto"/>
              <w:ind w:firstLine="0" w:firstLineChars="0"/>
              <w:rPr>
                <w:rFonts w:hint="default" w:ascii="Times New Roman" w:hAnsi="Times New Roman" w:eastAsia="宋体" w:cs="Times New Roman"/>
                <w:snapToGrid w:val="0"/>
                <w:color w:val="000000" w:themeColor="text1"/>
                <w:spacing w:val="-16"/>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0"/>
                <w:szCs w:val="21"/>
                <w:highlight w:val="none"/>
                <w14:textFill>
                  <w14:solidFill>
                    <w14:schemeClr w14:val="tx1"/>
                  </w14:solidFill>
                </w14:textFill>
              </w:rPr>
              <w:t>以新带老削减量</w:t>
            </w:r>
          </w:p>
          <w:p w14:paraId="61AB79FA">
            <w:pPr>
              <w:pStyle w:val="53"/>
              <w:spacing w:before="31" w:after="31" w:line="240" w:lineRule="auto"/>
              <w:ind w:firstLine="0" w:firstLineChars="0"/>
              <w:rPr>
                <w:rFonts w:hint="default" w:ascii="Times New Roman" w:hAnsi="Times New Roman" w:eastAsia="宋体" w:cs="Times New Roman"/>
                <w:snapToGrid w:val="0"/>
                <w:color w:val="000000" w:themeColor="text1"/>
                <w:spacing w:val="-16"/>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0"/>
                <w:szCs w:val="21"/>
                <w:highlight w:val="none"/>
                <w14:textFill>
                  <w14:solidFill>
                    <w14:schemeClr w14:val="tx1"/>
                  </w14:solidFill>
                </w14:textFill>
              </w:rPr>
              <w:t>（新建项目不填）</w:t>
            </w:r>
            <w:r>
              <w:rPr>
                <w:rFonts w:hint="default" w:ascii="Times New Roman" w:hAnsi="Times New Roman" w:eastAsia="宋体" w:cs="Times New Roman"/>
                <w:snapToGrid w:val="0"/>
                <w:color w:val="000000" w:themeColor="text1"/>
                <w:spacing w:val="-16"/>
                <w:kern w:val="21"/>
                <w:sz w:val="20"/>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0"/>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0"/>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0"/>
                <w:szCs w:val="21"/>
                <w:highlight w:val="none"/>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0"/>
                <w:szCs w:val="21"/>
                <w:highlight w:val="none"/>
                <w14:textFill>
                  <w14:solidFill>
                    <w14:schemeClr w14:val="tx1"/>
                  </w14:solidFill>
                </w14:textFill>
              </w:rPr>
              <w:fldChar w:fldCharType="end"/>
            </w:r>
          </w:p>
        </w:tc>
        <w:tc>
          <w:tcPr>
            <w:tcW w:w="1755" w:type="dxa"/>
            <w:tcMar>
              <w:left w:w="28" w:type="dxa"/>
              <w:right w:w="28" w:type="dxa"/>
            </w:tcMar>
            <w:vAlign w:val="center"/>
          </w:tcPr>
          <w:p w14:paraId="53D86CD5">
            <w:pPr>
              <w:pStyle w:val="53"/>
              <w:spacing w:before="31" w:after="31" w:line="240" w:lineRule="auto"/>
              <w:ind w:firstLine="0" w:firstLineChars="0"/>
              <w:rPr>
                <w:rFonts w:hint="default" w:ascii="Times New Roman" w:hAnsi="Times New Roman" w:eastAsia="宋体" w:cs="Times New Roman"/>
                <w:snapToGrid w:val="0"/>
                <w:color w:val="000000" w:themeColor="text1"/>
                <w:spacing w:val="-1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0"/>
                <w:szCs w:val="21"/>
                <w14:textFill>
                  <w14:solidFill>
                    <w14:schemeClr w14:val="tx1"/>
                  </w14:solidFill>
                </w14:textFill>
              </w:rPr>
              <w:t>本项目建成后</w:t>
            </w:r>
          </w:p>
          <w:p w14:paraId="0B7A2A85">
            <w:pPr>
              <w:pStyle w:val="53"/>
              <w:spacing w:before="31" w:after="31" w:line="240" w:lineRule="auto"/>
              <w:ind w:firstLine="0" w:firstLineChars="0"/>
              <w:rPr>
                <w:rFonts w:hint="default" w:ascii="Times New Roman" w:hAnsi="Times New Roman" w:eastAsia="宋体" w:cs="Times New Roman"/>
                <w:snapToGrid w:val="0"/>
                <w:color w:val="000000" w:themeColor="text1"/>
                <w:spacing w:val="-1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0"/>
                <w:szCs w:val="21"/>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 w:val="20"/>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0"/>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0"/>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0"/>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0"/>
                <w:szCs w:val="21"/>
                <w14:textFill>
                  <w14:solidFill>
                    <w14:schemeClr w14:val="tx1"/>
                  </w14:solidFill>
                </w14:textFill>
              </w:rPr>
              <w:fldChar w:fldCharType="end"/>
            </w:r>
          </w:p>
        </w:tc>
        <w:tc>
          <w:tcPr>
            <w:tcW w:w="1246" w:type="dxa"/>
            <w:tcMar>
              <w:left w:w="28" w:type="dxa"/>
              <w:right w:w="28" w:type="dxa"/>
            </w:tcMar>
            <w:vAlign w:val="center"/>
          </w:tcPr>
          <w:p w14:paraId="0B1BE26B">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t>变化量</w:t>
            </w:r>
          </w:p>
          <w:p w14:paraId="3915337A">
            <w:pPr>
              <w:pStyle w:val="53"/>
              <w:spacing w:before="31" w:after="31" w:line="240" w:lineRule="auto"/>
              <w:ind w:firstLine="0" w:firstLineChars="0"/>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 w:val="20"/>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0"/>
                <w:szCs w:val="21"/>
                <w14:textFill>
                  <w14:solidFill>
                    <w14:schemeClr w14:val="tx1"/>
                  </w14:solidFill>
                </w14:textFill>
              </w:rPr>
              <w:fldChar w:fldCharType="end"/>
            </w:r>
          </w:p>
        </w:tc>
      </w:tr>
      <w:tr w14:paraId="28CA9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restart"/>
            <w:vAlign w:val="center"/>
          </w:tcPr>
          <w:p w14:paraId="6BBA500D">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废气</w:t>
            </w:r>
          </w:p>
        </w:tc>
        <w:tc>
          <w:tcPr>
            <w:tcW w:w="2113" w:type="dxa"/>
            <w:vAlign w:val="center"/>
          </w:tcPr>
          <w:p w14:paraId="71009496">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非甲烷总烃</w:t>
            </w:r>
          </w:p>
        </w:tc>
        <w:tc>
          <w:tcPr>
            <w:tcW w:w="1155" w:type="dxa"/>
            <w:vAlign w:val="center"/>
          </w:tcPr>
          <w:p w14:paraId="163F2A6E">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052" w:type="dxa"/>
            <w:vAlign w:val="center"/>
          </w:tcPr>
          <w:p w14:paraId="3569BBD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80" w:type="dxa"/>
            <w:vAlign w:val="center"/>
          </w:tcPr>
          <w:p w14:paraId="0D9E3267">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65" w:type="dxa"/>
            <w:shd w:val="clear" w:color="auto" w:fill="auto"/>
            <w:vAlign w:val="center"/>
          </w:tcPr>
          <w:p w14:paraId="3DEB5CE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eastAsia" w:ascii="Times New Roman" w:cs="Times New Roman"/>
                <w:snapToGrid w:val="0"/>
                <w:color w:val="000000" w:themeColor="text1"/>
                <w:kern w:val="21"/>
                <w:sz w:val="20"/>
                <w:szCs w:val="21"/>
                <w:lang w:val="en-US" w:eastAsia="zh-CN"/>
                <w14:textFill>
                  <w14:solidFill>
                    <w14:schemeClr w14:val="tx1"/>
                  </w14:solidFill>
                </w14:textFill>
              </w:rPr>
              <w:t>1.20404</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6C72BD6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755" w:type="dxa"/>
            <w:vAlign w:val="center"/>
          </w:tcPr>
          <w:p w14:paraId="508F2CA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eastAsia" w:ascii="Times New Roman" w:cs="Times New Roman"/>
                <w:snapToGrid w:val="0"/>
                <w:color w:val="000000" w:themeColor="text1"/>
                <w:kern w:val="21"/>
                <w:sz w:val="20"/>
                <w:szCs w:val="21"/>
                <w:lang w:val="en-US" w:eastAsia="zh-CN"/>
                <w14:textFill>
                  <w14:solidFill>
                    <w14:schemeClr w14:val="tx1"/>
                  </w14:solidFill>
                </w14:textFill>
              </w:rPr>
              <w:t>1.20404</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58DD42B2">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eastAsia" w:ascii="Times New Roman" w:cs="Times New Roman"/>
                <w:snapToGrid w:val="0"/>
                <w:color w:val="000000" w:themeColor="text1"/>
                <w:kern w:val="21"/>
                <w:sz w:val="20"/>
                <w:szCs w:val="21"/>
                <w:lang w:val="en-US" w:eastAsia="zh-CN"/>
                <w14:textFill>
                  <w14:solidFill>
                    <w14:schemeClr w14:val="tx1"/>
                  </w14:solidFill>
                </w14:textFill>
              </w:rPr>
              <w:t>1.20404</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784D6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13427E6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p>
        </w:tc>
        <w:tc>
          <w:tcPr>
            <w:tcW w:w="2113" w:type="dxa"/>
            <w:vAlign w:val="center"/>
          </w:tcPr>
          <w:p w14:paraId="57718C76">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苯及苯系物</w:t>
            </w:r>
          </w:p>
        </w:tc>
        <w:tc>
          <w:tcPr>
            <w:tcW w:w="1155" w:type="dxa"/>
            <w:vAlign w:val="center"/>
          </w:tcPr>
          <w:p w14:paraId="58BDC47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052" w:type="dxa"/>
            <w:vAlign w:val="center"/>
          </w:tcPr>
          <w:p w14:paraId="63DF9CD5">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680" w:type="dxa"/>
            <w:vAlign w:val="center"/>
          </w:tcPr>
          <w:p w14:paraId="1E22E15C">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665" w:type="dxa"/>
            <w:shd w:val="clear" w:color="auto" w:fill="auto"/>
            <w:vAlign w:val="center"/>
          </w:tcPr>
          <w:p w14:paraId="50E69AA7">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少量</w:t>
            </w:r>
          </w:p>
        </w:tc>
        <w:tc>
          <w:tcPr>
            <w:tcW w:w="1770" w:type="dxa"/>
            <w:vAlign w:val="center"/>
          </w:tcPr>
          <w:p w14:paraId="6F8AA2E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755" w:type="dxa"/>
            <w:vAlign w:val="center"/>
          </w:tcPr>
          <w:p w14:paraId="5E6FDE3C">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少量</w:t>
            </w:r>
          </w:p>
        </w:tc>
        <w:tc>
          <w:tcPr>
            <w:tcW w:w="1246" w:type="dxa"/>
            <w:vAlign w:val="center"/>
          </w:tcPr>
          <w:p w14:paraId="5576CE55">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r>
      <w:tr w14:paraId="1C6C5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352" w:type="dxa"/>
            <w:vMerge w:val="continue"/>
            <w:vAlign w:val="center"/>
          </w:tcPr>
          <w:p w14:paraId="3B0E071C">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p>
        </w:tc>
        <w:tc>
          <w:tcPr>
            <w:tcW w:w="2113" w:type="dxa"/>
            <w:vAlign w:val="center"/>
          </w:tcPr>
          <w:p w14:paraId="0E89025A">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颗粒物</w:t>
            </w:r>
          </w:p>
        </w:tc>
        <w:tc>
          <w:tcPr>
            <w:tcW w:w="1155" w:type="dxa"/>
            <w:vAlign w:val="center"/>
          </w:tcPr>
          <w:p w14:paraId="67399993">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052" w:type="dxa"/>
            <w:vAlign w:val="center"/>
          </w:tcPr>
          <w:p w14:paraId="1895DAE5">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80" w:type="dxa"/>
            <w:vAlign w:val="center"/>
          </w:tcPr>
          <w:p w14:paraId="318D8E5D">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65" w:type="dxa"/>
            <w:shd w:val="clear" w:color="auto" w:fill="auto"/>
            <w:vAlign w:val="center"/>
          </w:tcPr>
          <w:p w14:paraId="3BDFE5B3">
            <w:pPr>
              <w:jc w:val="cente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1245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7A36E68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755" w:type="dxa"/>
            <w:vAlign w:val="center"/>
          </w:tcPr>
          <w:p w14:paraId="43F85E47">
            <w:pPr>
              <w:jc w:val="cente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1245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2A1C17D9">
            <w:pPr>
              <w:jc w:val="cente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1245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17174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vMerge w:val="continue"/>
            <w:vAlign w:val="center"/>
          </w:tcPr>
          <w:p w14:paraId="09CEDCFF">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p>
        </w:tc>
        <w:tc>
          <w:tcPr>
            <w:tcW w:w="2113" w:type="dxa"/>
            <w:vAlign w:val="center"/>
          </w:tcPr>
          <w:p w14:paraId="7FCA2C2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t>二氧化硫</w:t>
            </w:r>
          </w:p>
        </w:tc>
        <w:tc>
          <w:tcPr>
            <w:tcW w:w="1155" w:type="dxa"/>
            <w:vAlign w:val="center"/>
          </w:tcPr>
          <w:p w14:paraId="6920DAFC">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052" w:type="dxa"/>
            <w:vAlign w:val="center"/>
          </w:tcPr>
          <w:p w14:paraId="2FFF62A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80" w:type="dxa"/>
            <w:vAlign w:val="center"/>
          </w:tcPr>
          <w:p w14:paraId="6BC3FC00">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65" w:type="dxa"/>
            <w:vAlign w:val="center"/>
          </w:tcPr>
          <w:p w14:paraId="6A1738F5">
            <w:pPr>
              <w:jc w:val="cente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0871</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0B5A022A">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755" w:type="dxa"/>
            <w:vAlign w:val="center"/>
          </w:tcPr>
          <w:p w14:paraId="4A639CBA">
            <w:pPr>
              <w:jc w:val="center"/>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0871</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6AC15DAB">
            <w:pPr>
              <w:jc w:val="cente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0871</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6FC00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20E1592E">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p>
        </w:tc>
        <w:tc>
          <w:tcPr>
            <w:tcW w:w="2113" w:type="dxa"/>
            <w:vAlign w:val="center"/>
          </w:tcPr>
          <w:p w14:paraId="6830C8AA">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t>氮氧化物</w:t>
            </w:r>
          </w:p>
        </w:tc>
        <w:tc>
          <w:tcPr>
            <w:tcW w:w="1155" w:type="dxa"/>
            <w:vAlign w:val="center"/>
          </w:tcPr>
          <w:p w14:paraId="0BB9C71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052" w:type="dxa"/>
            <w:vAlign w:val="center"/>
          </w:tcPr>
          <w:p w14:paraId="414D7909">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680" w:type="dxa"/>
            <w:vAlign w:val="center"/>
          </w:tcPr>
          <w:p w14:paraId="6E954415">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665" w:type="dxa"/>
            <w:vAlign w:val="center"/>
          </w:tcPr>
          <w:p w14:paraId="5F5990D6">
            <w:pPr>
              <w:jc w:val="cente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3009</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50BC8166">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755" w:type="dxa"/>
            <w:vAlign w:val="center"/>
          </w:tcPr>
          <w:p w14:paraId="557D3B83">
            <w:pPr>
              <w:jc w:val="center"/>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3009</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67656CF5">
            <w:pPr>
              <w:jc w:val="cente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3009</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7E314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restart"/>
            <w:vAlign w:val="center"/>
          </w:tcPr>
          <w:p w14:paraId="03CFE7B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废水</w:t>
            </w:r>
          </w:p>
        </w:tc>
        <w:tc>
          <w:tcPr>
            <w:tcW w:w="2113" w:type="dxa"/>
            <w:vAlign w:val="center"/>
          </w:tcPr>
          <w:p w14:paraId="34261347">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t>生产废水</w:t>
            </w:r>
          </w:p>
        </w:tc>
        <w:tc>
          <w:tcPr>
            <w:tcW w:w="1155" w:type="dxa"/>
            <w:vAlign w:val="center"/>
          </w:tcPr>
          <w:p w14:paraId="496675E5">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052" w:type="dxa"/>
            <w:vAlign w:val="center"/>
          </w:tcPr>
          <w:p w14:paraId="16523A0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80" w:type="dxa"/>
            <w:vAlign w:val="center"/>
          </w:tcPr>
          <w:p w14:paraId="2533DC2A">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65" w:type="dxa"/>
            <w:vAlign w:val="center"/>
          </w:tcPr>
          <w:p w14:paraId="53C77E1B">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0</w:t>
            </w:r>
          </w:p>
        </w:tc>
        <w:tc>
          <w:tcPr>
            <w:tcW w:w="1770" w:type="dxa"/>
            <w:vAlign w:val="center"/>
          </w:tcPr>
          <w:p w14:paraId="7F5E2307">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755" w:type="dxa"/>
            <w:vAlign w:val="center"/>
          </w:tcPr>
          <w:p w14:paraId="1C597305">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0</w:t>
            </w:r>
          </w:p>
        </w:tc>
        <w:tc>
          <w:tcPr>
            <w:tcW w:w="1246" w:type="dxa"/>
            <w:vAlign w:val="center"/>
          </w:tcPr>
          <w:p w14:paraId="1B6D678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0</w:t>
            </w:r>
          </w:p>
        </w:tc>
      </w:tr>
      <w:tr w14:paraId="0448DB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vMerge w:val="continue"/>
            <w:vAlign w:val="center"/>
          </w:tcPr>
          <w:p w14:paraId="68CAF357">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p>
        </w:tc>
        <w:tc>
          <w:tcPr>
            <w:tcW w:w="2113" w:type="dxa"/>
            <w:vAlign w:val="center"/>
          </w:tcPr>
          <w:p w14:paraId="69CA0683">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t>生活污水（近期）</w:t>
            </w:r>
          </w:p>
        </w:tc>
        <w:tc>
          <w:tcPr>
            <w:tcW w:w="1155" w:type="dxa"/>
            <w:vAlign w:val="center"/>
          </w:tcPr>
          <w:p w14:paraId="4BFFBC99">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052" w:type="dxa"/>
            <w:vAlign w:val="center"/>
          </w:tcPr>
          <w:p w14:paraId="5C0EFAD9">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80" w:type="dxa"/>
            <w:vAlign w:val="center"/>
          </w:tcPr>
          <w:p w14:paraId="50AB6E5A">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665" w:type="dxa"/>
            <w:vAlign w:val="center"/>
          </w:tcPr>
          <w:p w14:paraId="0924FEBC">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0</w:t>
            </w:r>
          </w:p>
        </w:tc>
        <w:tc>
          <w:tcPr>
            <w:tcW w:w="1770" w:type="dxa"/>
            <w:vAlign w:val="center"/>
          </w:tcPr>
          <w:p w14:paraId="765EB6D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14:textFill>
                  <w14:solidFill>
                    <w14:schemeClr w14:val="tx1"/>
                  </w14:solidFill>
                </w14:textFill>
              </w:rPr>
              <w:t>/</w:t>
            </w:r>
          </w:p>
        </w:tc>
        <w:tc>
          <w:tcPr>
            <w:tcW w:w="1755" w:type="dxa"/>
            <w:vAlign w:val="center"/>
          </w:tcPr>
          <w:p w14:paraId="3EBC534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0</w:t>
            </w:r>
          </w:p>
        </w:tc>
        <w:tc>
          <w:tcPr>
            <w:tcW w:w="1246" w:type="dxa"/>
            <w:vAlign w:val="center"/>
          </w:tcPr>
          <w:p w14:paraId="444ADA0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0</w:t>
            </w:r>
          </w:p>
        </w:tc>
      </w:tr>
      <w:tr w14:paraId="436B2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vMerge w:val="continue"/>
            <w:vAlign w:val="center"/>
          </w:tcPr>
          <w:p w14:paraId="03885056">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14:textFill>
                  <w14:solidFill>
                    <w14:schemeClr w14:val="tx1"/>
                  </w14:solidFill>
                </w14:textFill>
              </w:rPr>
            </w:pPr>
          </w:p>
        </w:tc>
        <w:tc>
          <w:tcPr>
            <w:tcW w:w="2113" w:type="dxa"/>
            <w:vAlign w:val="center"/>
          </w:tcPr>
          <w:p w14:paraId="79DD0B4D">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eastAsia="zh-CN"/>
                <w14:textFill>
                  <w14:solidFill>
                    <w14:schemeClr w14:val="tx1"/>
                  </w14:solidFill>
                </w14:textFill>
              </w:rPr>
              <w:t>生活污水（远期）</w:t>
            </w:r>
          </w:p>
        </w:tc>
        <w:tc>
          <w:tcPr>
            <w:tcW w:w="1155" w:type="dxa"/>
            <w:vAlign w:val="center"/>
          </w:tcPr>
          <w:p w14:paraId="74E0BBDF">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052" w:type="dxa"/>
            <w:vAlign w:val="center"/>
          </w:tcPr>
          <w:p w14:paraId="18B95BC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680" w:type="dxa"/>
            <w:vAlign w:val="center"/>
          </w:tcPr>
          <w:p w14:paraId="35C1D47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665" w:type="dxa"/>
            <w:vAlign w:val="center"/>
          </w:tcPr>
          <w:p w14:paraId="2628EF35">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0"/>
                <w:szCs w:val="21"/>
                <w:lang w:val="en-US" w:eastAsia="zh-CN"/>
                <w14:textFill>
                  <w14:solidFill>
                    <w14:schemeClr w14:val="tx1"/>
                  </w14:solidFill>
                </w14:textFill>
              </w:rPr>
              <w:t>440</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m</w:t>
            </w:r>
            <w:r>
              <w:rPr>
                <w:rFonts w:hint="default" w:ascii="Times New Roman" w:hAnsi="Times New Roman" w:eastAsia="宋体" w:cs="Times New Roman"/>
                <w:snapToGrid w:val="0"/>
                <w:color w:val="000000" w:themeColor="text1"/>
                <w:kern w:val="21"/>
                <w:sz w:val="20"/>
                <w:szCs w:val="21"/>
                <w:vertAlign w:val="super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/a</w:t>
            </w:r>
          </w:p>
        </w:tc>
        <w:tc>
          <w:tcPr>
            <w:tcW w:w="1770" w:type="dxa"/>
            <w:vAlign w:val="center"/>
          </w:tcPr>
          <w:p w14:paraId="2EB7754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w:t>
            </w:r>
          </w:p>
        </w:tc>
        <w:tc>
          <w:tcPr>
            <w:tcW w:w="1755" w:type="dxa"/>
            <w:vAlign w:val="center"/>
          </w:tcPr>
          <w:p w14:paraId="0BA0073E">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0"/>
                <w:szCs w:val="21"/>
                <w:lang w:val="en-US" w:eastAsia="zh-CN"/>
                <w14:textFill>
                  <w14:solidFill>
                    <w14:schemeClr w14:val="tx1"/>
                  </w14:solidFill>
                </w14:textFill>
              </w:rPr>
              <w:t>440</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m</w:t>
            </w:r>
            <w:r>
              <w:rPr>
                <w:rFonts w:hint="default" w:ascii="Times New Roman" w:hAnsi="Times New Roman" w:eastAsia="宋体" w:cs="Times New Roman"/>
                <w:snapToGrid w:val="0"/>
                <w:color w:val="000000" w:themeColor="text1"/>
                <w:kern w:val="21"/>
                <w:sz w:val="20"/>
                <w:szCs w:val="21"/>
                <w:vertAlign w:val="super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/a</w:t>
            </w:r>
          </w:p>
        </w:tc>
        <w:tc>
          <w:tcPr>
            <w:tcW w:w="1246" w:type="dxa"/>
            <w:vAlign w:val="center"/>
          </w:tcPr>
          <w:p w14:paraId="48EE2166">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0"/>
                <w:szCs w:val="21"/>
                <w:lang w:val="en-US" w:eastAsia="zh-CN"/>
                <w14:textFill>
                  <w14:solidFill>
                    <w14:schemeClr w14:val="tx1"/>
                  </w14:solidFill>
                </w14:textFill>
              </w:rPr>
              <w:t>440</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m</w:t>
            </w:r>
            <w:r>
              <w:rPr>
                <w:rFonts w:hint="default" w:ascii="Times New Roman" w:hAnsi="Times New Roman" w:eastAsia="宋体" w:cs="Times New Roman"/>
                <w:snapToGrid w:val="0"/>
                <w:color w:val="000000" w:themeColor="text1"/>
                <w:kern w:val="21"/>
                <w:sz w:val="20"/>
                <w:szCs w:val="21"/>
                <w:vertAlign w:val="super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/a</w:t>
            </w:r>
          </w:p>
        </w:tc>
      </w:tr>
      <w:tr w14:paraId="0EE07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restart"/>
            <w:vAlign w:val="center"/>
          </w:tcPr>
          <w:p w14:paraId="7CCA6F9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一般工业</w:t>
            </w:r>
          </w:p>
          <w:p w14:paraId="33181D0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固体废物</w:t>
            </w:r>
          </w:p>
        </w:tc>
        <w:tc>
          <w:tcPr>
            <w:tcW w:w="2113" w:type="dxa"/>
            <w:vAlign w:val="center"/>
          </w:tcPr>
          <w:p w14:paraId="6E4C34C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废包装材料</w:t>
            </w:r>
          </w:p>
        </w:tc>
        <w:tc>
          <w:tcPr>
            <w:tcW w:w="1155" w:type="dxa"/>
            <w:vAlign w:val="center"/>
          </w:tcPr>
          <w:p w14:paraId="5E4F731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052" w:type="dxa"/>
            <w:vAlign w:val="center"/>
          </w:tcPr>
          <w:p w14:paraId="5C74250F">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80" w:type="dxa"/>
            <w:vAlign w:val="center"/>
          </w:tcPr>
          <w:p w14:paraId="2109C850">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65" w:type="dxa"/>
            <w:vAlign w:val="center"/>
          </w:tcPr>
          <w:p w14:paraId="75B5F82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3846AC07">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45E36804">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4AA0297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23505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3231A200">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p>
        </w:tc>
        <w:tc>
          <w:tcPr>
            <w:tcW w:w="2113" w:type="dxa"/>
            <w:vAlign w:val="center"/>
          </w:tcPr>
          <w:p w14:paraId="5F41821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不合格品</w:t>
            </w:r>
          </w:p>
        </w:tc>
        <w:tc>
          <w:tcPr>
            <w:tcW w:w="1155" w:type="dxa"/>
            <w:vAlign w:val="center"/>
          </w:tcPr>
          <w:p w14:paraId="01475E7C">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052" w:type="dxa"/>
            <w:vAlign w:val="center"/>
          </w:tcPr>
          <w:p w14:paraId="7423342F">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80" w:type="dxa"/>
            <w:vAlign w:val="center"/>
          </w:tcPr>
          <w:p w14:paraId="018A9D6D">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65" w:type="dxa"/>
            <w:vAlign w:val="center"/>
          </w:tcPr>
          <w:p w14:paraId="18288DA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27.6108</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61DACA9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75F90B0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27.6108</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51B763B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27.6108</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1A5F4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4A74B422">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p>
        </w:tc>
        <w:tc>
          <w:tcPr>
            <w:tcW w:w="2113" w:type="dxa"/>
            <w:vAlign w:val="center"/>
          </w:tcPr>
          <w:p w14:paraId="112C00E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边角料</w:t>
            </w:r>
          </w:p>
        </w:tc>
        <w:tc>
          <w:tcPr>
            <w:tcW w:w="1155" w:type="dxa"/>
            <w:vAlign w:val="center"/>
          </w:tcPr>
          <w:p w14:paraId="5726568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052" w:type="dxa"/>
            <w:vAlign w:val="center"/>
          </w:tcPr>
          <w:p w14:paraId="5851627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80" w:type="dxa"/>
            <w:vAlign w:val="center"/>
          </w:tcPr>
          <w:p w14:paraId="12382C76">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65" w:type="dxa"/>
            <w:vAlign w:val="center"/>
          </w:tcPr>
          <w:p w14:paraId="76BC229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6727F69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3981A550">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059CCD8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590F0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5C70B98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p>
        </w:tc>
        <w:tc>
          <w:tcPr>
            <w:tcW w:w="2113" w:type="dxa"/>
            <w:vAlign w:val="center"/>
          </w:tcPr>
          <w:p w14:paraId="46B35C4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废RTO陶瓷蓄热体</w:t>
            </w:r>
          </w:p>
        </w:tc>
        <w:tc>
          <w:tcPr>
            <w:tcW w:w="1155" w:type="dxa"/>
            <w:vAlign w:val="center"/>
          </w:tcPr>
          <w:p w14:paraId="2287DA0D">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052" w:type="dxa"/>
            <w:vAlign w:val="center"/>
          </w:tcPr>
          <w:p w14:paraId="60903F33">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80" w:type="dxa"/>
            <w:vAlign w:val="center"/>
          </w:tcPr>
          <w:p w14:paraId="109CFA0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65" w:type="dxa"/>
            <w:vAlign w:val="center"/>
          </w:tcPr>
          <w:p w14:paraId="4E29052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4F5EAE2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048192C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26E9949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21E2A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restart"/>
            <w:vAlign w:val="center"/>
          </w:tcPr>
          <w:p w14:paraId="2724F8A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危险废物</w:t>
            </w:r>
          </w:p>
        </w:tc>
        <w:tc>
          <w:tcPr>
            <w:tcW w:w="2113" w:type="dxa"/>
            <w:vAlign w:val="center"/>
          </w:tcPr>
          <w:p w14:paraId="7AB460A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废包装桶</w:t>
            </w:r>
          </w:p>
        </w:tc>
        <w:tc>
          <w:tcPr>
            <w:tcW w:w="1155" w:type="dxa"/>
            <w:vAlign w:val="center"/>
          </w:tcPr>
          <w:p w14:paraId="5BE1869A">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052" w:type="dxa"/>
            <w:vAlign w:val="center"/>
          </w:tcPr>
          <w:p w14:paraId="3A73B607">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80" w:type="dxa"/>
            <w:vAlign w:val="center"/>
          </w:tcPr>
          <w:p w14:paraId="0B79E723">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65" w:type="dxa"/>
            <w:vAlign w:val="center"/>
          </w:tcPr>
          <w:p w14:paraId="45A48A2E">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0.575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127E516C">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27BC433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0.575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3A144D6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0.575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35517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03BCB033">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p>
        </w:tc>
        <w:tc>
          <w:tcPr>
            <w:tcW w:w="2113" w:type="dxa"/>
            <w:vAlign w:val="center"/>
          </w:tcPr>
          <w:p w14:paraId="43E8D69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废抹布</w:t>
            </w:r>
          </w:p>
        </w:tc>
        <w:tc>
          <w:tcPr>
            <w:tcW w:w="1155" w:type="dxa"/>
            <w:vAlign w:val="center"/>
          </w:tcPr>
          <w:p w14:paraId="2A1BD04E">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052" w:type="dxa"/>
            <w:vAlign w:val="center"/>
          </w:tcPr>
          <w:p w14:paraId="1D24FFEC">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80" w:type="dxa"/>
            <w:vAlign w:val="center"/>
          </w:tcPr>
          <w:p w14:paraId="00FB2FC0">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65" w:type="dxa"/>
            <w:vAlign w:val="center"/>
          </w:tcPr>
          <w:p w14:paraId="7FC6ED0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1DBF1849">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4984A7CC">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46B9B5CA">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41C5D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120C8C82">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p>
        </w:tc>
        <w:tc>
          <w:tcPr>
            <w:tcW w:w="2113" w:type="dxa"/>
            <w:vAlign w:val="center"/>
          </w:tcPr>
          <w:p w14:paraId="6C7D8D8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废油墨渣</w:t>
            </w:r>
          </w:p>
        </w:tc>
        <w:tc>
          <w:tcPr>
            <w:tcW w:w="1155" w:type="dxa"/>
            <w:vAlign w:val="center"/>
          </w:tcPr>
          <w:p w14:paraId="79A2BC8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052" w:type="dxa"/>
            <w:vAlign w:val="center"/>
          </w:tcPr>
          <w:p w14:paraId="72CB4DB7">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80" w:type="dxa"/>
            <w:vAlign w:val="center"/>
          </w:tcPr>
          <w:p w14:paraId="50E56C3E">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65" w:type="dxa"/>
            <w:vAlign w:val="center"/>
          </w:tcPr>
          <w:p w14:paraId="5D9C6039">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0.0568</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22FADBF2">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627A3A76">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0.0568</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6A0D32EB">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0.0568</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4B174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1FF07AFC">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p>
        </w:tc>
        <w:tc>
          <w:tcPr>
            <w:tcW w:w="2113" w:type="dxa"/>
            <w:vAlign w:val="center"/>
          </w:tcPr>
          <w:p w14:paraId="1BBE104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废有机溶剂</w:t>
            </w:r>
          </w:p>
        </w:tc>
        <w:tc>
          <w:tcPr>
            <w:tcW w:w="1155" w:type="dxa"/>
            <w:vAlign w:val="center"/>
          </w:tcPr>
          <w:p w14:paraId="07BB0858">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052" w:type="dxa"/>
            <w:vAlign w:val="center"/>
          </w:tcPr>
          <w:p w14:paraId="75DB7214">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680" w:type="dxa"/>
            <w:vAlign w:val="center"/>
          </w:tcPr>
          <w:p w14:paraId="661F67CD">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665" w:type="dxa"/>
            <w:vAlign w:val="center"/>
          </w:tcPr>
          <w:p w14:paraId="6A2B3383">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1770" w:type="dxa"/>
            <w:vAlign w:val="center"/>
          </w:tcPr>
          <w:p w14:paraId="5B795CD6">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509F3CC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1246" w:type="dxa"/>
            <w:vAlign w:val="center"/>
          </w:tcPr>
          <w:p w14:paraId="067FCB3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r>
      <w:tr w14:paraId="65D8A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732B93A2">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p>
        </w:tc>
        <w:tc>
          <w:tcPr>
            <w:tcW w:w="2113" w:type="dxa"/>
            <w:vAlign w:val="center"/>
          </w:tcPr>
          <w:p w14:paraId="257C00C5">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废印版辊</w:t>
            </w:r>
          </w:p>
        </w:tc>
        <w:tc>
          <w:tcPr>
            <w:tcW w:w="1155" w:type="dxa"/>
            <w:vAlign w:val="center"/>
          </w:tcPr>
          <w:p w14:paraId="0B353EA6">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052" w:type="dxa"/>
            <w:vAlign w:val="center"/>
          </w:tcPr>
          <w:p w14:paraId="3AFA637A">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80" w:type="dxa"/>
            <w:vAlign w:val="center"/>
          </w:tcPr>
          <w:p w14:paraId="56BFB48B">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t>/</w:t>
            </w:r>
          </w:p>
        </w:tc>
        <w:tc>
          <w:tcPr>
            <w:tcW w:w="1665" w:type="dxa"/>
            <w:vAlign w:val="center"/>
          </w:tcPr>
          <w:p w14:paraId="69E86B6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7A444432">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7B74EC0F">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74EB4498">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r w14:paraId="0DC23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52" w:type="dxa"/>
            <w:vMerge w:val="continue"/>
            <w:vAlign w:val="center"/>
          </w:tcPr>
          <w:p w14:paraId="79C37BD1">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14:textFill>
                  <w14:solidFill>
                    <w14:schemeClr w14:val="tx1"/>
                  </w14:solidFill>
                </w14:textFill>
              </w:rPr>
            </w:pPr>
          </w:p>
        </w:tc>
        <w:tc>
          <w:tcPr>
            <w:tcW w:w="2113" w:type="dxa"/>
            <w:vAlign w:val="center"/>
          </w:tcPr>
          <w:p w14:paraId="74D9A842">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废机油</w:t>
            </w:r>
          </w:p>
        </w:tc>
        <w:tc>
          <w:tcPr>
            <w:tcW w:w="1155" w:type="dxa"/>
            <w:vAlign w:val="center"/>
          </w:tcPr>
          <w:p w14:paraId="48197202">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052" w:type="dxa"/>
            <w:vAlign w:val="center"/>
          </w:tcPr>
          <w:p w14:paraId="46A9A32A">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680" w:type="dxa"/>
            <w:vAlign w:val="center"/>
          </w:tcPr>
          <w:p w14:paraId="5A8567FD">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665" w:type="dxa"/>
            <w:vAlign w:val="center"/>
          </w:tcPr>
          <w:p w14:paraId="0A3B8F01">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770" w:type="dxa"/>
            <w:vAlign w:val="center"/>
          </w:tcPr>
          <w:p w14:paraId="1FC16145">
            <w:pPr>
              <w:pStyle w:val="53"/>
              <w:spacing w:before="31" w:after="31" w:line="240" w:lineRule="auto"/>
              <w:ind w:firstLine="0" w:firstLineChars="0"/>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t>/</w:t>
            </w:r>
          </w:p>
        </w:tc>
        <w:tc>
          <w:tcPr>
            <w:tcW w:w="1755" w:type="dxa"/>
            <w:vAlign w:val="center"/>
          </w:tcPr>
          <w:p w14:paraId="47D75237">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c>
          <w:tcPr>
            <w:tcW w:w="1246" w:type="dxa"/>
            <w:vAlign w:val="center"/>
          </w:tcPr>
          <w:p w14:paraId="3B12205D">
            <w:pPr>
              <w:pStyle w:val="18"/>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snapToGrid w:val="0"/>
                <w:color w:val="000000" w:themeColor="text1"/>
                <w:kern w:val="21"/>
                <w:sz w:val="20"/>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 w:val="20"/>
                <w:szCs w:val="21"/>
                <w:lang w:val="en-US" w:eastAsia="zh-CN"/>
                <w14:textFill>
                  <w14:solidFill>
                    <w14:schemeClr w14:val="tx1"/>
                  </w14:solidFill>
                </w14:textFill>
              </w:rPr>
              <w:t>t/a</w:t>
            </w:r>
          </w:p>
        </w:tc>
      </w:tr>
    </w:tbl>
    <w:p w14:paraId="133DD3D4">
      <w:pPr>
        <w:ind w:firstLine="0" w:firstLineChars="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注：⑥=①+③+④-⑤；⑦=⑥-①</w:t>
      </w:r>
    </w:p>
    <w:p w14:paraId="1AA774BE">
      <w:pPr>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p>
    <w:sectPr>
      <w:pgSz w:w="16838" w:h="11906" w:orient="landscape"/>
      <w:pgMar w:top="1701" w:right="1440" w:bottom="1134" w:left="1440" w:header="851" w:footer="992" w:gutter="0"/>
      <w:pgBorders>
        <w:top w:val="none" w:sz="0" w:space="0"/>
        <w:left w:val="none" w:sz="0" w:space="0"/>
        <w:bottom w:val="none" w:sz="0" w:space="0"/>
        <w:right w:val="none" w:sz="0" w:space="0"/>
      </w:pgBorders>
      <w:pgNumType w:fmt="decimal"/>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Geneva">
    <w:altName w:val="Arial"/>
    <w:panose1 w:val="00000000000000000000"/>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PMingLiU">
    <w:panose1 w:val="02020500000000000000"/>
    <w:charset w:val="88"/>
    <w:family w:val="roman"/>
    <w:pitch w:val="default"/>
    <w:sig w:usb0="A00002FF" w:usb1="28CFFCFA"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embedRegular r:id="rId1" w:fontKey="{B1BAEFFE-875F-491D-AF78-16C568BF5594}"/>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C9DA7">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1D7EB">
    <w:pPr>
      <w:pStyle w:val="22"/>
      <w:framePr w:wrap="around" w:vAnchor="text" w:hAnchor="margin" w:xAlign="center" w:y="1"/>
      <w:rPr>
        <w:rStyle w:val="36"/>
      </w:rPr>
    </w:pPr>
    <w:r>
      <w:fldChar w:fldCharType="begin"/>
    </w:r>
    <w:r>
      <w:rPr>
        <w:rStyle w:val="36"/>
      </w:rPr>
      <w:instrText xml:space="preserve">PAGE  </w:instrText>
    </w:r>
    <w:r>
      <w:fldChar w:fldCharType="end"/>
    </w:r>
  </w:p>
  <w:p w14:paraId="4D66A685">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6EBE">
    <w:pPr>
      <w:pStyle w:val="2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30166">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EA30166">
                    <w:pPr>
                      <w:pStyle w:val="2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66"/>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zYTA3ZDg3NWNhYmVjODc3YmJjMjQ4MDkyZDc1NmMifQ=="/>
  </w:docVars>
  <w:rsids>
    <w:rsidRoot w:val="00172A27"/>
    <w:rsid w:val="00003504"/>
    <w:rsid w:val="00051995"/>
    <w:rsid w:val="000F6956"/>
    <w:rsid w:val="00172A27"/>
    <w:rsid w:val="00195B31"/>
    <w:rsid w:val="001A2968"/>
    <w:rsid w:val="001A2B41"/>
    <w:rsid w:val="001F7E1F"/>
    <w:rsid w:val="00205621"/>
    <w:rsid w:val="00224C7A"/>
    <w:rsid w:val="002D269B"/>
    <w:rsid w:val="002F4511"/>
    <w:rsid w:val="00327CB1"/>
    <w:rsid w:val="00340FEF"/>
    <w:rsid w:val="003B3B30"/>
    <w:rsid w:val="003C28DE"/>
    <w:rsid w:val="003C3010"/>
    <w:rsid w:val="004B1561"/>
    <w:rsid w:val="00551409"/>
    <w:rsid w:val="0056472A"/>
    <w:rsid w:val="005C6ADC"/>
    <w:rsid w:val="006360BD"/>
    <w:rsid w:val="00675306"/>
    <w:rsid w:val="00692FA7"/>
    <w:rsid w:val="006A623D"/>
    <w:rsid w:val="006C1441"/>
    <w:rsid w:val="006D6F3B"/>
    <w:rsid w:val="006E177F"/>
    <w:rsid w:val="007D2923"/>
    <w:rsid w:val="007E4E77"/>
    <w:rsid w:val="00884CAE"/>
    <w:rsid w:val="0089189B"/>
    <w:rsid w:val="008E2A0E"/>
    <w:rsid w:val="008E40E1"/>
    <w:rsid w:val="00942F86"/>
    <w:rsid w:val="00980EC9"/>
    <w:rsid w:val="0099335E"/>
    <w:rsid w:val="00A10993"/>
    <w:rsid w:val="00A124D7"/>
    <w:rsid w:val="00A43F55"/>
    <w:rsid w:val="00A86FB1"/>
    <w:rsid w:val="00B431AC"/>
    <w:rsid w:val="00B52CB1"/>
    <w:rsid w:val="00BA691D"/>
    <w:rsid w:val="00C46918"/>
    <w:rsid w:val="00C74E44"/>
    <w:rsid w:val="00C823C4"/>
    <w:rsid w:val="00CA1B74"/>
    <w:rsid w:val="00CC0524"/>
    <w:rsid w:val="00CD79DA"/>
    <w:rsid w:val="00D5761F"/>
    <w:rsid w:val="00D91EDB"/>
    <w:rsid w:val="00DD0448"/>
    <w:rsid w:val="00DF37DF"/>
    <w:rsid w:val="00E865C2"/>
    <w:rsid w:val="00E87809"/>
    <w:rsid w:val="00EA40E8"/>
    <w:rsid w:val="00F02A19"/>
    <w:rsid w:val="01022F84"/>
    <w:rsid w:val="01064671"/>
    <w:rsid w:val="010A79CD"/>
    <w:rsid w:val="010F5955"/>
    <w:rsid w:val="01115B19"/>
    <w:rsid w:val="01167F7D"/>
    <w:rsid w:val="01233A9E"/>
    <w:rsid w:val="012C34B7"/>
    <w:rsid w:val="013378DB"/>
    <w:rsid w:val="0136518B"/>
    <w:rsid w:val="01381441"/>
    <w:rsid w:val="013A432D"/>
    <w:rsid w:val="01413E0E"/>
    <w:rsid w:val="01431C2E"/>
    <w:rsid w:val="01472C04"/>
    <w:rsid w:val="0163340B"/>
    <w:rsid w:val="017023A7"/>
    <w:rsid w:val="0186252E"/>
    <w:rsid w:val="01940A17"/>
    <w:rsid w:val="019450FA"/>
    <w:rsid w:val="0198234B"/>
    <w:rsid w:val="01991C4C"/>
    <w:rsid w:val="01A2544F"/>
    <w:rsid w:val="01A37B56"/>
    <w:rsid w:val="01A7022B"/>
    <w:rsid w:val="01AB3D5E"/>
    <w:rsid w:val="01AF1275"/>
    <w:rsid w:val="01B131E0"/>
    <w:rsid w:val="01BE7323"/>
    <w:rsid w:val="01C74429"/>
    <w:rsid w:val="01CE02A5"/>
    <w:rsid w:val="01CF66BA"/>
    <w:rsid w:val="01D227E9"/>
    <w:rsid w:val="01D51CEF"/>
    <w:rsid w:val="01D52DEE"/>
    <w:rsid w:val="01E07FB3"/>
    <w:rsid w:val="01E274B5"/>
    <w:rsid w:val="01E54191"/>
    <w:rsid w:val="01EA3F2D"/>
    <w:rsid w:val="01F013C1"/>
    <w:rsid w:val="01F568EE"/>
    <w:rsid w:val="01F677A7"/>
    <w:rsid w:val="01FE5971"/>
    <w:rsid w:val="02023F4B"/>
    <w:rsid w:val="020D3724"/>
    <w:rsid w:val="02104022"/>
    <w:rsid w:val="02117558"/>
    <w:rsid w:val="02160608"/>
    <w:rsid w:val="021805A0"/>
    <w:rsid w:val="021826DA"/>
    <w:rsid w:val="021F6013"/>
    <w:rsid w:val="022A49B8"/>
    <w:rsid w:val="023000CF"/>
    <w:rsid w:val="0234328A"/>
    <w:rsid w:val="023831E6"/>
    <w:rsid w:val="024737BC"/>
    <w:rsid w:val="024A4B13"/>
    <w:rsid w:val="024B0EA1"/>
    <w:rsid w:val="024C35ED"/>
    <w:rsid w:val="024C492F"/>
    <w:rsid w:val="024C63F3"/>
    <w:rsid w:val="024E20A3"/>
    <w:rsid w:val="02503F29"/>
    <w:rsid w:val="0250441F"/>
    <w:rsid w:val="025817C9"/>
    <w:rsid w:val="02725808"/>
    <w:rsid w:val="02730CBD"/>
    <w:rsid w:val="0274114F"/>
    <w:rsid w:val="027B0375"/>
    <w:rsid w:val="027B5F7F"/>
    <w:rsid w:val="027F637D"/>
    <w:rsid w:val="028203C5"/>
    <w:rsid w:val="0284056C"/>
    <w:rsid w:val="029213A5"/>
    <w:rsid w:val="02955AF6"/>
    <w:rsid w:val="029562D6"/>
    <w:rsid w:val="029C3C73"/>
    <w:rsid w:val="029C58B6"/>
    <w:rsid w:val="029E7C2F"/>
    <w:rsid w:val="02A1631F"/>
    <w:rsid w:val="02A53D13"/>
    <w:rsid w:val="02A66735"/>
    <w:rsid w:val="02B50098"/>
    <w:rsid w:val="02B76EA0"/>
    <w:rsid w:val="02C72207"/>
    <w:rsid w:val="02CB1CF7"/>
    <w:rsid w:val="02E078A9"/>
    <w:rsid w:val="02E1776D"/>
    <w:rsid w:val="02E94EF6"/>
    <w:rsid w:val="02EC30BD"/>
    <w:rsid w:val="02F23758"/>
    <w:rsid w:val="02FF23DD"/>
    <w:rsid w:val="030C6E5A"/>
    <w:rsid w:val="03153BB5"/>
    <w:rsid w:val="03172975"/>
    <w:rsid w:val="032B47D4"/>
    <w:rsid w:val="032E299E"/>
    <w:rsid w:val="033905F3"/>
    <w:rsid w:val="033B50CF"/>
    <w:rsid w:val="03477077"/>
    <w:rsid w:val="03477A8E"/>
    <w:rsid w:val="0348159A"/>
    <w:rsid w:val="034D4E02"/>
    <w:rsid w:val="034E2BCA"/>
    <w:rsid w:val="034F70C4"/>
    <w:rsid w:val="03524A72"/>
    <w:rsid w:val="03550A4B"/>
    <w:rsid w:val="035703B8"/>
    <w:rsid w:val="03591C06"/>
    <w:rsid w:val="035E4CED"/>
    <w:rsid w:val="036A5AAA"/>
    <w:rsid w:val="036F4ACF"/>
    <w:rsid w:val="037567E0"/>
    <w:rsid w:val="03786668"/>
    <w:rsid w:val="037C09BB"/>
    <w:rsid w:val="03870314"/>
    <w:rsid w:val="0397607D"/>
    <w:rsid w:val="039B3DC0"/>
    <w:rsid w:val="03A73E08"/>
    <w:rsid w:val="03A92761"/>
    <w:rsid w:val="03A9365C"/>
    <w:rsid w:val="03AC1B29"/>
    <w:rsid w:val="03AE1559"/>
    <w:rsid w:val="03C055D4"/>
    <w:rsid w:val="03C427E7"/>
    <w:rsid w:val="03CA70C9"/>
    <w:rsid w:val="03D33559"/>
    <w:rsid w:val="03DF20E6"/>
    <w:rsid w:val="03E84AD5"/>
    <w:rsid w:val="03EA75CC"/>
    <w:rsid w:val="03FB485E"/>
    <w:rsid w:val="03FC7FF0"/>
    <w:rsid w:val="03FD436B"/>
    <w:rsid w:val="041365C4"/>
    <w:rsid w:val="04172478"/>
    <w:rsid w:val="04180F6C"/>
    <w:rsid w:val="04182BE0"/>
    <w:rsid w:val="041B5520"/>
    <w:rsid w:val="041D2A27"/>
    <w:rsid w:val="04273BA4"/>
    <w:rsid w:val="042E24FA"/>
    <w:rsid w:val="04337931"/>
    <w:rsid w:val="04362075"/>
    <w:rsid w:val="043A35D9"/>
    <w:rsid w:val="044048B6"/>
    <w:rsid w:val="04455CBC"/>
    <w:rsid w:val="04485834"/>
    <w:rsid w:val="044970A7"/>
    <w:rsid w:val="04505A27"/>
    <w:rsid w:val="045253A0"/>
    <w:rsid w:val="0456591D"/>
    <w:rsid w:val="04590024"/>
    <w:rsid w:val="045C2D6E"/>
    <w:rsid w:val="045F6DD7"/>
    <w:rsid w:val="046046D6"/>
    <w:rsid w:val="04776088"/>
    <w:rsid w:val="047F4146"/>
    <w:rsid w:val="04864599"/>
    <w:rsid w:val="048C120B"/>
    <w:rsid w:val="048F32CE"/>
    <w:rsid w:val="049158F0"/>
    <w:rsid w:val="049F3A8D"/>
    <w:rsid w:val="04A60661"/>
    <w:rsid w:val="04AE3779"/>
    <w:rsid w:val="04AE464C"/>
    <w:rsid w:val="04B14484"/>
    <w:rsid w:val="04B213C1"/>
    <w:rsid w:val="04B5525E"/>
    <w:rsid w:val="04B73032"/>
    <w:rsid w:val="04BC3FEE"/>
    <w:rsid w:val="04C335CE"/>
    <w:rsid w:val="04C410F4"/>
    <w:rsid w:val="04CB7A9A"/>
    <w:rsid w:val="04CD6D06"/>
    <w:rsid w:val="04DC4690"/>
    <w:rsid w:val="04E179AB"/>
    <w:rsid w:val="04E83035"/>
    <w:rsid w:val="04F35535"/>
    <w:rsid w:val="05025D14"/>
    <w:rsid w:val="050442C2"/>
    <w:rsid w:val="0507507E"/>
    <w:rsid w:val="05145A0C"/>
    <w:rsid w:val="051554AC"/>
    <w:rsid w:val="052370D3"/>
    <w:rsid w:val="05263B5D"/>
    <w:rsid w:val="05273155"/>
    <w:rsid w:val="052B2F21"/>
    <w:rsid w:val="053235E2"/>
    <w:rsid w:val="053775DF"/>
    <w:rsid w:val="053814B3"/>
    <w:rsid w:val="054377AC"/>
    <w:rsid w:val="0555066B"/>
    <w:rsid w:val="05551D4C"/>
    <w:rsid w:val="055D3573"/>
    <w:rsid w:val="055E50A5"/>
    <w:rsid w:val="055F4DA0"/>
    <w:rsid w:val="05600E1D"/>
    <w:rsid w:val="056B7658"/>
    <w:rsid w:val="05753A6C"/>
    <w:rsid w:val="05796D93"/>
    <w:rsid w:val="057A4A23"/>
    <w:rsid w:val="05820786"/>
    <w:rsid w:val="05830037"/>
    <w:rsid w:val="05854CE9"/>
    <w:rsid w:val="059357C9"/>
    <w:rsid w:val="05A23AEA"/>
    <w:rsid w:val="05A32D8D"/>
    <w:rsid w:val="05A607FA"/>
    <w:rsid w:val="05B20F4D"/>
    <w:rsid w:val="05DB3FDB"/>
    <w:rsid w:val="05E774E6"/>
    <w:rsid w:val="05EA5338"/>
    <w:rsid w:val="05F477B7"/>
    <w:rsid w:val="05FA2A55"/>
    <w:rsid w:val="05FB0B46"/>
    <w:rsid w:val="05FC1F0A"/>
    <w:rsid w:val="06025659"/>
    <w:rsid w:val="060856F4"/>
    <w:rsid w:val="060A7287"/>
    <w:rsid w:val="060C2D53"/>
    <w:rsid w:val="06110369"/>
    <w:rsid w:val="06147E59"/>
    <w:rsid w:val="06191684"/>
    <w:rsid w:val="061D0ABC"/>
    <w:rsid w:val="062067FE"/>
    <w:rsid w:val="062B6E9A"/>
    <w:rsid w:val="062C6F51"/>
    <w:rsid w:val="062F2FDC"/>
    <w:rsid w:val="06302974"/>
    <w:rsid w:val="063B7CCA"/>
    <w:rsid w:val="063D2F0C"/>
    <w:rsid w:val="063E50AD"/>
    <w:rsid w:val="064249C6"/>
    <w:rsid w:val="06555537"/>
    <w:rsid w:val="065869FD"/>
    <w:rsid w:val="065B0CF6"/>
    <w:rsid w:val="065F4847"/>
    <w:rsid w:val="066801DD"/>
    <w:rsid w:val="067A04CA"/>
    <w:rsid w:val="067F3525"/>
    <w:rsid w:val="068230B2"/>
    <w:rsid w:val="06867DFC"/>
    <w:rsid w:val="06872F1A"/>
    <w:rsid w:val="06915006"/>
    <w:rsid w:val="06947999"/>
    <w:rsid w:val="06952D48"/>
    <w:rsid w:val="069B6A6E"/>
    <w:rsid w:val="069D1BFD"/>
    <w:rsid w:val="069D785C"/>
    <w:rsid w:val="06A34A08"/>
    <w:rsid w:val="06B156A8"/>
    <w:rsid w:val="06B7213F"/>
    <w:rsid w:val="06BA5030"/>
    <w:rsid w:val="06C7630B"/>
    <w:rsid w:val="06CB676A"/>
    <w:rsid w:val="06CF4373"/>
    <w:rsid w:val="06EB0BBA"/>
    <w:rsid w:val="06F761AE"/>
    <w:rsid w:val="06FF05D0"/>
    <w:rsid w:val="071B32B6"/>
    <w:rsid w:val="07267541"/>
    <w:rsid w:val="07287718"/>
    <w:rsid w:val="072B545A"/>
    <w:rsid w:val="07310263"/>
    <w:rsid w:val="0743707D"/>
    <w:rsid w:val="074C325F"/>
    <w:rsid w:val="074E2EF7"/>
    <w:rsid w:val="075958CC"/>
    <w:rsid w:val="075F3ED9"/>
    <w:rsid w:val="07660241"/>
    <w:rsid w:val="076B3AA9"/>
    <w:rsid w:val="07767EF0"/>
    <w:rsid w:val="077C7D1E"/>
    <w:rsid w:val="07822CFC"/>
    <w:rsid w:val="078978BD"/>
    <w:rsid w:val="07990119"/>
    <w:rsid w:val="07A128D4"/>
    <w:rsid w:val="07A1396F"/>
    <w:rsid w:val="07A174CB"/>
    <w:rsid w:val="07A5520D"/>
    <w:rsid w:val="07A953B1"/>
    <w:rsid w:val="07B0770E"/>
    <w:rsid w:val="07B34569"/>
    <w:rsid w:val="07B44AA7"/>
    <w:rsid w:val="07BA4244"/>
    <w:rsid w:val="07BE6026"/>
    <w:rsid w:val="07C25320"/>
    <w:rsid w:val="07C25615"/>
    <w:rsid w:val="07CA07CF"/>
    <w:rsid w:val="07CE1789"/>
    <w:rsid w:val="07DD7326"/>
    <w:rsid w:val="07EC6998"/>
    <w:rsid w:val="07F21110"/>
    <w:rsid w:val="07F32AD5"/>
    <w:rsid w:val="0800140A"/>
    <w:rsid w:val="080D0674"/>
    <w:rsid w:val="080E5162"/>
    <w:rsid w:val="082425D6"/>
    <w:rsid w:val="08254FB4"/>
    <w:rsid w:val="082751D4"/>
    <w:rsid w:val="0828199A"/>
    <w:rsid w:val="082D338F"/>
    <w:rsid w:val="08367B67"/>
    <w:rsid w:val="08371AF0"/>
    <w:rsid w:val="08393BA7"/>
    <w:rsid w:val="083E11BD"/>
    <w:rsid w:val="08430582"/>
    <w:rsid w:val="084F6F27"/>
    <w:rsid w:val="08512C9F"/>
    <w:rsid w:val="08517028"/>
    <w:rsid w:val="08591B53"/>
    <w:rsid w:val="085E716A"/>
    <w:rsid w:val="08640C24"/>
    <w:rsid w:val="08644C05"/>
    <w:rsid w:val="086C1F56"/>
    <w:rsid w:val="08730E67"/>
    <w:rsid w:val="08744F7A"/>
    <w:rsid w:val="087644CB"/>
    <w:rsid w:val="087D7F38"/>
    <w:rsid w:val="08821A3A"/>
    <w:rsid w:val="08852292"/>
    <w:rsid w:val="088766C0"/>
    <w:rsid w:val="088E7A4F"/>
    <w:rsid w:val="0895702F"/>
    <w:rsid w:val="08961A12"/>
    <w:rsid w:val="089F7EAE"/>
    <w:rsid w:val="08A414E1"/>
    <w:rsid w:val="08A94BFE"/>
    <w:rsid w:val="08AB6408"/>
    <w:rsid w:val="08B80F70"/>
    <w:rsid w:val="08C16076"/>
    <w:rsid w:val="08D15B8E"/>
    <w:rsid w:val="08D2511C"/>
    <w:rsid w:val="08D768B3"/>
    <w:rsid w:val="08DC2B16"/>
    <w:rsid w:val="08E06BFE"/>
    <w:rsid w:val="08E65530"/>
    <w:rsid w:val="08EA1120"/>
    <w:rsid w:val="08FD1DEA"/>
    <w:rsid w:val="08FD31A9"/>
    <w:rsid w:val="090A75A9"/>
    <w:rsid w:val="091B682D"/>
    <w:rsid w:val="09206DDD"/>
    <w:rsid w:val="09212671"/>
    <w:rsid w:val="0921282F"/>
    <w:rsid w:val="0926412B"/>
    <w:rsid w:val="092C7268"/>
    <w:rsid w:val="09345CFE"/>
    <w:rsid w:val="09364775"/>
    <w:rsid w:val="0941451D"/>
    <w:rsid w:val="09497E1A"/>
    <w:rsid w:val="094A557B"/>
    <w:rsid w:val="09510A7C"/>
    <w:rsid w:val="095A2027"/>
    <w:rsid w:val="095C4F27"/>
    <w:rsid w:val="095E0535"/>
    <w:rsid w:val="09672AD3"/>
    <w:rsid w:val="096C40EB"/>
    <w:rsid w:val="096E75D6"/>
    <w:rsid w:val="097B395C"/>
    <w:rsid w:val="097F55EA"/>
    <w:rsid w:val="098904FD"/>
    <w:rsid w:val="099217C1"/>
    <w:rsid w:val="09AD03A9"/>
    <w:rsid w:val="09BE4F1A"/>
    <w:rsid w:val="09C00789"/>
    <w:rsid w:val="09C33728"/>
    <w:rsid w:val="09C70C60"/>
    <w:rsid w:val="09D370FD"/>
    <w:rsid w:val="09D5345C"/>
    <w:rsid w:val="09D674F6"/>
    <w:rsid w:val="09EA11A2"/>
    <w:rsid w:val="09EA6F07"/>
    <w:rsid w:val="09EB7375"/>
    <w:rsid w:val="09EC032D"/>
    <w:rsid w:val="09F16108"/>
    <w:rsid w:val="0A012637"/>
    <w:rsid w:val="0A06008E"/>
    <w:rsid w:val="0A0B22A6"/>
    <w:rsid w:val="0A0D3EBF"/>
    <w:rsid w:val="0A1D552E"/>
    <w:rsid w:val="0A211B30"/>
    <w:rsid w:val="0A21573F"/>
    <w:rsid w:val="0A261B64"/>
    <w:rsid w:val="0A2A1AFE"/>
    <w:rsid w:val="0A2C39C3"/>
    <w:rsid w:val="0A2C447B"/>
    <w:rsid w:val="0A2C5771"/>
    <w:rsid w:val="0A3B7763"/>
    <w:rsid w:val="0A3D7FAC"/>
    <w:rsid w:val="0A430D0D"/>
    <w:rsid w:val="0A454A85"/>
    <w:rsid w:val="0A6007AB"/>
    <w:rsid w:val="0A693506"/>
    <w:rsid w:val="0A69398C"/>
    <w:rsid w:val="0A694362"/>
    <w:rsid w:val="0A792992"/>
    <w:rsid w:val="0A7E6F9F"/>
    <w:rsid w:val="0A80786B"/>
    <w:rsid w:val="0A883A89"/>
    <w:rsid w:val="0A8F5D00"/>
    <w:rsid w:val="0A911907"/>
    <w:rsid w:val="0A93759F"/>
    <w:rsid w:val="0A946A55"/>
    <w:rsid w:val="0A960E3D"/>
    <w:rsid w:val="0A963AAE"/>
    <w:rsid w:val="0A9D4330"/>
    <w:rsid w:val="0A9E0BF3"/>
    <w:rsid w:val="0AA27E70"/>
    <w:rsid w:val="0AAB489B"/>
    <w:rsid w:val="0AAC240E"/>
    <w:rsid w:val="0AB75863"/>
    <w:rsid w:val="0ABD0ABF"/>
    <w:rsid w:val="0ABE2142"/>
    <w:rsid w:val="0ACB31DC"/>
    <w:rsid w:val="0ACE0286"/>
    <w:rsid w:val="0AD4157B"/>
    <w:rsid w:val="0ADB6EF4"/>
    <w:rsid w:val="0AE36ECE"/>
    <w:rsid w:val="0AF60B31"/>
    <w:rsid w:val="0AF96715"/>
    <w:rsid w:val="0AFA13CC"/>
    <w:rsid w:val="0AFC77D6"/>
    <w:rsid w:val="0B093D05"/>
    <w:rsid w:val="0B09418A"/>
    <w:rsid w:val="0B163D2C"/>
    <w:rsid w:val="0B1A19B4"/>
    <w:rsid w:val="0B217FC5"/>
    <w:rsid w:val="0B224DC6"/>
    <w:rsid w:val="0B2F5832"/>
    <w:rsid w:val="0B3150EA"/>
    <w:rsid w:val="0B33619E"/>
    <w:rsid w:val="0B3E67C2"/>
    <w:rsid w:val="0B41524D"/>
    <w:rsid w:val="0B45421B"/>
    <w:rsid w:val="0B5605CC"/>
    <w:rsid w:val="0B5B3783"/>
    <w:rsid w:val="0B5C708E"/>
    <w:rsid w:val="0B622A02"/>
    <w:rsid w:val="0B6536B8"/>
    <w:rsid w:val="0B674CBC"/>
    <w:rsid w:val="0B6874E1"/>
    <w:rsid w:val="0B6B1A16"/>
    <w:rsid w:val="0B6C50CB"/>
    <w:rsid w:val="0B6D1AC3"/>
    <w:rsid w:val="0B6E19A7"/>
    <w:rsid w:val="0B7B0B24"/>
    <w:rsid w:val="0B8475F4"/>
    <w:rsid w:val="0B883F1F"/>
    <w:rsid w:val="0B920E35"/>
    <w:rsid w:val="0B9A6BA7"/>
    <w:rsid w:val="0BA23811"/>
    <w:rsid w:val="0BA354C3"/>
    <w:rsid w:val="0BBC0D77"/>
    <w:rsid w:val="0BBE064B"/>
    <w:rsid w:val="0BBE4AFD"/>
    <w:rsid w:val="0BC10245"/>
    <w:rsid w:val="0BD936D7"/>
    <w:rsid w:val="0BDC4F58"/>
    <w:rsid w:val="0BED2CDE"/>
    <w:rsid w:val="0BF56E60"/>
    <w:rsid w:val="0C0539DD"/>
    <w:rsid w:val="0C0804DC"/>
    <w:rsid w:val="0C100447"/>
    <w:rsid w:val="0C112AE3"/>
    <w:rsid w:val="0C1A4BEB"/>
    <w:rsid w:val="0C1B6E61"/>
    <w:rsid w:val="0C2649DF"/>
    <w:rsid w:val="0C2E6944"/>
    <w:rsid w:val="0C395F24"/>
    <w:rsid w:val="0C3D30AA"/>
    <w:rsid w:val="0C4072B2"/>
    <w:rsid w:val="0C486239"/>
    <w:rsid w:val="0C530DEB"/>
    <w:rsid w:val="0C545836"/>
    <w:rsid w:val="0C6236CC"/>
    <w:rsid w:val="0C77337C"/>
    <w:rsid w:val="0C82288B"/>
    <w:rsid w:val="0C9B7F52"/>
    <w:rsid w:val="0CA30FB8"/>
    <w:rsid w:val="0CB97065"/>
    <w:rsid w:val="0CC53C5B"/>
    <w:rsid w:val="0CC563FB"/>
    <w:rsid w:val="0CCC0710"/>
    <w:rsid w:val="0CDE3470"/>
    <w:rsid w:val="0CE143B2"/>
    <w:rsid w:val="0CF04ACE"/>
    <w:rsid w:val="0D04428B"/>
    <w:rsid w:val="0D0A343A"/>
    <w:rsid w:val="0D191630"/>
    <w:rsid w:val="0D1F336B"/>
    <w:rsid w:val="0D305D1E"/>
    <w:rsid w:val="0D336E17"/>
    <w:rsid w:val="0D364756"/>
    <w:rsid w:val="0D3875BE"/>
    <w:rsid w:val="0D4F52D6"/>
    <w:rsid w:val="0D600C33"/>
    <w:rsid w:val="0D637D73"/>
    <w:rsid w:val="0D643474"/>
    <w:rsid w:val="0D7C4200"/>
    <w:rsid w:val="0D863B28"/>
    <w:rsid w:val="0D887163"/>
    <w:rsid w:val="0D950710"/>
    <w:rsid w:val="0D960D3E"/>
    <w:rsid w:val="0DA254C0"/>
    <w:rsid w:val="0DA675E9"/>
    <w:rsid w:val="0DA837B8"/>
    <w:rsid w:val="0DB31787"/>
    <w:rsid w:val="0DB55A7E"/>
    <w:rsid w:val="0DBF4B4E"/>
    <w:rsid w:val="0DC21F49"/>
    <w:rsid w:val="0DCD09F0"/>
    <w:rsid w:val="0DCE08EE"/>
    <w:rsid w:val="0DCE4BD6"/>
    <w:rsid w:val="0DD51C7C"/>
    <w:rsid w:val="0DE563A5"/>
    <w:rsid w:val="0DE61E5A"/>
    <w:rsid w:val="0DE72CCE"/>
    <w:rsid w:val="0DEB1EA7"/>
    <w:rsid w:val="0DF30ACF"/>
    <w:rsid w:val="0DFF5C3B"/>
    <w:rsid w:val="0E081147"/>
    <w:rsid w:val="0E102753"/>
    <w:rsid w:val="0E1A44BD"/>
    <w:rsid w:val="0E211365"/>
    <w:rsid w:val="0E296834"/>
    <w:rsid w:val="0E296B13"/>
    <w:rsid w:val="0E343BDE"/>
    <w:rsid w:val="0E386C18"/>
    <w:rsid w:val="0E3C2671"/>
    <w:rsid w:val="0E4018D9"/>
    <w:rsid w:val="0E467795"/>
    <w:rsid w:val="0E5139F9"/>
    <w:rsid w:val="0E567261"/>
    <w:rsid w:val="0E5C05EF"/>
    <w:rsid w:val="0E6178BC"/>
    <w:rsid w:val="0E6F3E7F"/>
    <w:rsid w:val="0E7D63D0"/>
    <w:rsid w:val="0E807E3A"/>
    <w:rsid w:val="0E8813E4"/>
    <w:rsid w:val="0E887F44"/>
    <w:rsid w:val="0E894549"/>
    <w:rsid w:val="0E9125B0"/>
    <w:rsid w:val="0E927E61"/>
    <w:rsid w:val="0E9457C5"/>
    <w:rsid w:val="0E971CEC"/>
    <w:rsid w:val="0EA3623F"/>
    <w:rsid w:val="0EA72B92"/>
    <w:rsid w:val="0EAA1E72"/>
    <w:rsid w:val="0EAD7E75"/>
    <w:rsid w:val="0EB16A5D"/>
    <w:rsid w:val="0EB83A78"/>
    <w:rsid w:val="0EC264DD"/>
    <w:rsid w:val="0EC71F0D"/>
    <w:rsid w:val="0EC97C3C"/>
    <w:rsid w:val="0EE20AF5"/>
    <w:rsid w:val="0EE71214"/>
    <w:rsid w:val="0EE7435D"/>
    <w:rsid w:val="0EF20FBD"/>
    <w:rsid w:val="0EFC6BE3"/>
    <w:rsid w:val="0F0C3DC3"/>
    <w:rsid w:val="0F114F36"/>
    <w:rsid w:val="0F142919"/>
    <w:rsid w:val="0F1B4006"/>
    <w:rsid w:val="0F1C245B"/>
    <w:rsid w:val="0F235324"/>
    <w:rsid w:val="0F36468A"/>
    <w:rsid w:val="0F370413"/>
    <w:rsid w:val="0F3927D6"/>
    <w:rsid w:val="0F3E028F"/>
    <w:rsid w:val="0F455900"/>
    <w:rsid w:val="0F470958"/>
    <w:rsid w:val="0F4E1581"/>
    <w:rsid w:val="0F597A04"/>
    <w:rsid w:val="0F5A38D7"/>
    <w:rsid w:val="0F5B2655"/>
    <w:rsid w:val="0F611DE9"/>
    <w:rsid w:val="0F6255B7"/>
    <w:rsid w:val="0F625791"/>
    <w:rsid w:val="0F676827"/>
    <w:rsid w:val="0F76123D"/>
    <w:rsid w:val="0F8B118C"/>
    <w:rsid w:val="0F9A589C"/>
    <w:rsid w:val="0F9B7951"/>
    <w:rsid w:val="0FA609CC"/>
    <w:rsid w:val="0FAC3659"/>
    <w:rsid w:val="0FAD1102"/>
    <w:rsid w:val="0FB52D59"/>
    <w:rsid w:val="0FB726D8"/>
    <w:rsid w:val="0FC77ADA"/>
    <w:rsid w:val="0FF26075"/>
    <w:rsid w:val="0FF44180"/>
    <w:rsid w:val="0FF7237E"/>
    <w:rsid w:val="0FF860F6"/>
    <w:rsid w:val="0FFA1E6E"/>
    <w:rsid w:val="0FFA3C1C"/>
    <w:rsid w:val="0FFC1427"/>
    <w:rsid w:val="10014FAA"/>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35382"/>
    <w:rsid w:val="104C1361"/>
    <w:rsid w:val="10556DBB"/>
    <w:rsid w:val="10595FBD"/>
    <w:rsid w:val="105C0433"/>
    <w:rsid w:val="105C33D3"/>
    <w:rsid w:val="105E23FD"/>
    <w:rsid w:val="1067038F"/>
    <w:rsid w:val="106F63B8"/>
    <w:rsid w:val="10817E99"/>
    <w:rsid w:val="10953945"/>
    <w:rsid w:val="1096761C"/>
    <w:rsid w:val="109951E3"/>
    <w:rsid w:val="109D1177"/>
    <w:rsid w:val="109F26BD"/>
    <w:rsid w:val="10A1594A"/>
    <w:rsid w:val="10A5614F"/>
    <w:rsid w:val="10AE1D05"/>
    <w:rsid w:val="10B91E62"/>
    <w:rsid w:val="10BE1BE7"/>
    <w:rsid w:val="10BF3AD4"/>
    <w:rsid w:val="10C85AC8"/>
    <w:rsid w:val="10D31FAC"/>
    <w:rsid w:val="10D413FD"/>
    <w:rsid w:val="10DD253A"/>
    <w:rsid w:val="10DD419A"/>
    <w:rsid w:val="10E072B6"/>
    <w:rsid w:val="10E16EA2"/>
    <w:rsid w:val="10E178FF"/>
    <w:rsid w:val="10EC7CA6"/>
    <w:rsid w:val="10EF74F9"/>
    <w:rsid w:val="10F93234"/>
    <w:rsid w:val="10FA431D"/>
    <w:rsid w:val="10FC6398"/>
    <w:rsid w:val="11003900"/>
    <w:rsid w:val="110B7891"/>
    <w:rsid w:val="11125AA7"/>
    <w:rsid w:val="111C3A3A"/>
    <w:rsid w:val="111D1A3C"/>
    <w:rsid w:val="111D7BC2"/>
    <w:rsid w:val="11287AF5"/>
    <w:rsid w:val="112D6274"/>
    <w:rsid w:val="11335637"/>
    <w:rsid w:val="113E3FDC"/>
    <w:rsid w:val="113F4FF3"/>
    <w:rsid w:val="114F2D0E"/>
    <w:rsid w:val="11543643"/>
    <w:rsid w:val="115B3BDC"/>
    <w:rsid w:val="115B4B8E"/>
    <w:rsid w:val="115E37E9"/>
    <w:rsid w:val="116D6B65"/>
    <w:rsid w:val="116F79B7"/>
    <w:rsid w:val="117143B2"/>
    <w:rsid w:val="1178642B"/>
    <w:rsid w:val="11813B96"/>
    <w:rsid w:val="118A31F7"/>
    <w:rsid w:val="118E1F67"/>
    <w:rsid w:val="119074D8"/>
    <w:rsid w:val="1194344E"/>
    <w:rsid w:val="119B4D4D"/>
    <w:rsid w:val="11A90994"/>
    <w:rsid w:val="11AE2F10"/>
    <w:rsid w:val="11B24D6D"/>
    <w:rsid w:val="11C412E0"/>
    <w:rsid w:val="11CB13F5"/>
    <w:rsid w:val="11D23F92"/>
    <w:rsid w:val="11D86EAE"/>
    <w:rsid w:val="11DC2C5C"/>
    <w:rsid w:val="11E1766F"/>
    <w:rsid w:val="11E22BBA"/>
    <w:rsid w:val="11E64B3D"/>
    <w:rsid w:val="11E74565"/>
    <w:rsid w:val="11E76422"/>
    <w:rsid w:val="11E9616D"/>
    <w:rsid w:val="11EB41F5"/>
    <w:rsid w:val="11EE77B0"/>
    <w:rsid w:val="11EF60BB"/>
    <w:rsid w:val="11F62EE9"/>
    <w:rsid w:val="11F86D77"/>
    <w:rsid w:val="11FA721D"/>
    <w:rsid w:val="12045226"/>
    <w:rsid w:val="12095A3E"/>
    <w:rsid w:val="120C0775"/>
    <w:rsid w:val="120D35E2"/>
    <w:rsid w:val="1212349F"/>
    <w:rsid w:val="121355DB"/>
    <w:rsid w:val="12210E7B"/>
    <w:rsid w:val="1226659C"/>
    <w:rsid w:val="122753E4"/>
    <w:rsid w:val="122D0061"/>
    <w:rsid w:val="123155A1"/>
    <w:rsid w:val="12333C10"/>
    <w:rsid w:val="123769F4"/>
    <w:rsid w:val="12473D7F"/>
    <w:rsid w:val="124D2729"/>
    <w:rsid w:val="124E024F"/>
    <w:rsid w:val="125062A1"/>
    <w:rsid w:val="125C38BD"/>
    <w:rsid w:val="12664815"/>
    <w:rsid w:val="126C4B0A"/>
    <w:rsid w:val="127D6304"/>
    <w:rsid w:val="128C0640"/>
    <w:rsid w:val="12954ADC"/>
    <w:rsid w:val="12960CDE"/>
    <w:rsid w:val="129C6349"/>
    <w:rsid w:val="129E34BA"/>
    <w:rsid w:val="12B46304"/>
    <w:rsid w:val="12BE3627"/>
    <w:rsid w:val="12BE7183"/>
    <w:rsid w:val="12C40726"/>
    <w:rsid w:val="12C64289"/>
    <w:rsid w:val="12C7072D"/>
    <w:rsid w:val="12CB4732"/>
    <w:rsid w:val="12D5073B"/>
    <w:rsid w:val="12D75CEB"/>
    <w:rsid w:val="12D83555"/>
    <w:rsid w:val="12D93FBD"/>
    <w:rsid w:val="12DF7C4D"/>
    <w:rsid w:val="12E3308D"/>
    <w:rsid w:val="12E43DCF"/>
    <w:rsid w:val="12E62E70"/>
    <w:rsid w:val="12EC0194"/>
    <w:rsid w:val="12F02E71"/>
    <w:rsid w:val="12F40DF6"/>
    <w:rsid w:val="12FA57FD"/>
    <w:rsid w:val="13024FF1"/>
    <w:rsid w:val="130519AD"/>
    <w:rsid w:val="13054DB2"/>
    <w:rsid w:val="1307145F"/>
    <w:rsid w:val="13076E22"/>
    <w:rsid w:val="131B3BB9"/>
    <w:rsid w:val="13280AA0"/>
    <w:rsid w:val="132B25B1"/>
    <w:rsid w:val="133631BD"/>
    <w:rsid w:val="133B516B"/>
    <w:rsid w:val="133E0FD8"/>
    <w:rsid w:val="13426E05"/>
    <w:rsid w:val="134372EB"/>
    <w:rsid w:val="13453400"/>
    <w:rsid w:val="134E648D"/>
    <w:rsid w:val="136832BA"/>
    <w:rsid w:val="13695C36"/>
    <w:rsid w:val="136C704E"/>
    <w:rsid w:val="13710699"/>
    <w:rsid w:val="13767056"/>
    <w:rsid w:val="137D703E"/>
    <w:rsid w:val="13975FCE"/>
    <w:rsid w:val="139C03FB"/>
    <w:rsid w:val="139E4A41"/>
    <w:rsid w:val="13A35FA2"/>
    <w:rsid w:val="13AB1FA1"/>
    <w:rsid w:val="13B43E61"/>
    <w:rsid w:val="13B50586"/>
    <w:rsid w:val="13BC4E20"/>
    <w:rsid w:val="13BE63AE"/>
    <w:rsid w:val="13C54441"/>
    <w:rsid w:val="13C82D78"/>
    <w:rsid w:val="13C87727"/>
    <w:rsid w:val="13D53B45"/>
    <w:rsid w:val="13DC453C"/>
    <w:rsid w:val="13DF6E73"/>
    <w:rsid w:val="13E175CD"/>
    <w:rsid w:val="13E7095B"/>
    <w:rsid w:val="13F1593A"/>
    <w:rsid w:val="13FD3CDB"/>
    <w:rsid w:val="13FD4129"/>
    <w:rsid w:val="140339E5"/>
    <w:rsid w:val="14067033"/>
    <w:rsid w:val="14092680"/>
    <w:rsid w:val="142A6E60"/>
    <w:rsid w:val="142F527C"/>
    <w:rsid w:val="14327BEE"/>
    <w:rsid w:val="1434290B"/>
    <w:rsid w:val="143474F1"/>
    <w:rsid w:val="14357918"/>
    <w:rsid w:val="14362BD1"/>
    <w:rsid w:val="143F5FAA"/>
    <w:rsid w:val="144B0EEA"/>
    <w:rsid w:val="144F3ACE"/>
    <w:rsid w:val="14524026"/>
    <w:rsid w:val="1454727D"/>
    <w:rsid w:val="14553B17"/>
    <w:rsid w:val="145A7513"/>
    <w:rsid w:val="14644BBB"/>
    <w:rsid w:val="1477078D"/>
    <w:rsid w:val="1480655B"/>
    <w:rsid w:val="14812B5E"/>
    <w:rsid w:val="14830684"/>
    <w:rsid w:val="14832432"/>
    <w:rsid w:val="1484324D"/>
    <w:rsid w:val="148461AA"/>
    <w:rsid w:val="148553CE"/>
    <w:rsid w:val="14883EEC"/>
    <w:rsid w:val="148E6A4C"/>
    <w:rsid w:val="14952165"/>
    <w:rsid w:val="14991DEC"/>
    <w:rsid w:val="149E655B"/>
    <w:rsid w:val="14AA3E63"/>
    <w:rsid w:val="14AC7060"/>
    <w:rsid w:val="14B03698"/>
    <w:rsid w:val="14B167FF"/>
    <w:rsid w:val="14B75363"/>
    <w:rsid w:val="14BD65D4"/>
    <w:rsid w:val="14BE62F2"/>
    <w:rsid w:val="14C34F24"/>
    <w:rsid w:val="14CE3295"/>
    <w:rsid w:val="14D16651"/>
    <w:rsid w:val="14D26F15"/>
    <w:rsid w:val="14D427D3"/>
    <w:rsid w:val="14D74BF1"/>
    <w:rsid w:val="14DC5FE6"/>
    <w:rsid w:val="14E32ED1"/>
    <w:rsid w:val="14E63240"/>
    <w:rsid w:val="14EA24B1"/>
    <w:rsid w:val="14EF1875"/>
    <w:rsid w:val="14FC3F92"/>
    <w:rsid w:val="14FE41AE"/>
    <w:rsid w:val="150712B5"/>
    <w:rsid w:val="151E65FF"/>
    <w:rsid w:val="152127FE"/>
    <w:rsid w:val="152655BA"/>
    <w:rsid w:val="15267BD5"/>
    <w:rsid w:val="1527568C"/>
    <w:rsid w:val="152C56B4"/>
    <w:rsid w:val="153E1664"/>
    <w:rsid w:val="15435C00"/>
    <w:rsid w:val="15451DDD"/>
    <w:rsid w:val="154A1004"/>
    <w:rsid w:val="155073CC"/>
    <w:rsid w:val="1552003B"/>
    <w:rsid w:val="155555EA"/>
    <w:rsid w:val="155C16B2"/>
    <w:rsid w:val="155E4A4F"/>
    <w:rsid w:val="156E2000"/>
    <w:rsid w:val="156E30E2"/>
    <w:rsid w:val="157A747A"/>
    <w:rsid w:val="15806971"/>
    <w:rsid w:val="1591146B"/>
    <w:rsid w:val="159259DB"/>
    <w:rsid w:val="15973CBB"/>
    <w:rsid w:val="15995C85"/>
    <w:rsid w:val="159B12DE"/>
    <w:rsid w:val="159D1D5D"/>
    <w:rsid w:val="159D5775"/>
    <w:rsid w:val="159E329B"/>
    <w:rsid w:val="15A02B70"/>
    <w:rsid w:val="15A5462A"/>
    <w:rsid w:val="15A72150"/>
    <w:rsid w:val="15A8150E"/>
    <w:rsid w:val="15AE7982"/>
    <w:rsid w:val="15B33262"/>
    <w:rsid w:val="15BD4731"/>
    <w:rsid w:val="15BE749A"/>
    <w:rsid w:val="15C33CB3"/>
    <w:rsid w:val="15CC1BB7"/>
    <w:rsid w:val="15D05B4B"/>
    <w:rsid w:val="15D13671"/>
    <w:rsid w:val="15D46CBD"/>
    <w:rsid w:val="15D867AD"/>
    <w:rsid w:val="15DA1140"/>
    <w:rsid w:val="15DB268D"/>
    <w:rsid w:val="15DF44BE"/>
    <w:rsid w:val="15EE1307"/>
    <w:rsid w:val="15EF4DFF"/>
    <w:rsid w:val="15F630D7"/>
    <w:rsid w:val="15F967B3"/>
    <w:rsid w:val="16003FC0"/>
    <w:rsid w:val="16007AB2"/>
    <w:rsid w:val="16011215"/>
    <w:rsid w:val="160457F4"/>
    <w:rsid w:val="16090D0A"/>
    <w:rsid w:val="160B2645"/>
    <w:rsid w:val="160D0296"/>
    <w:rsid w:val="16114A0C"/>
    <w:rsid w:val="16140DEE"/>
    <w:rsid w:val="16196CEE"/>
    <w:rsid w:val="1622065F"/>
    <w:rsid w:val="16227A29"/>
    <w:rsid w:val="162E6FEA"/>
    <w:rsid w:val="16306CB5"/>
    <w:rsid w:val="163634D4"/>
    <w:rsid w:val="163934C9"/>
    <w:rsid w:val="163B747F"/>
    <w:rsid w:val="163C4F8E"/>
    <w:rsid w:val="163E47A2"/>
    <w:rsid w:val="16451D2C"/>
    <w:rsid w:val="16491459"/>
    <w:rsid w:val="164B51D1"/>
    <w:rsid w:val="164C1885"/>
    <w:rsid w:val="164C2CF7"/>
    <w:rsid w:val="16512C66"/>
    <w:rsid w:val="16534C52"/>
    <w:rsid w:val="16610EFD"/>
    <w:rsid w:val="1666781F"/>
    <w:rsid w:val="16783AEC"/>
    <w:rsid w:val="167B0147"/>
    <w:rsid w:val="167E2E5B"/>
    <w:rsid w:val="168C2EEF"/>
    <w:rsid w:val="16970417"/>
    <w:rsid w:val="169D3553"/>
    <w:rsid w:val="16B30AE1"/>
    <w:rsid w:val="16B43836"/>
    <w:rsid w:val="16B70AB9"/>
    <w:rsid w:val="16BA4105"/>
    <w:rsid w:val="16BD5CDA"/>
    <w:rsid w:val="16BE69CE"/>
    <w:rsid w:val="16CE3958"/>
    <w:rsid w:val="16D03928"/>
    <w:rsid w:val="16D97DC7"/>
    <w:rsid w:val="16E3365C"/>
    <w:rsid w:val="16E54A4E"/>
    <w:rsid w:val="16EC492F"/>
    <w:rsid w:val="1700420E"/>
    <w:rsid w:val="17081314"/>
    <w:rsid w:val="170D2487"/>
    <w:rsid w:val="17151105"/>
    <w:rsid w:val="171B2960"/>
    <w:rsid w:val="17211B5D"/>
    <w:rsid w:val="17256CE1"/>
    <w:rsid w:val="17285513"/>
    <w:rsid w:val="172872C1"/>
    <w:rsid w:val="172B6DB1"/>
    <w:rsid w:val="172D0D7B"/>
    <w:rsid w:val="173A0E4F"/>
    <w:rsid w:val="173B5246"/>
    <w:rsid w:val="173D3E77"/>
    <w:rsid w:val="173D68BB"/>
    <w:rsid w:val="17431887"/>
    <w:rsid w:val="17481C73"/>
    <w:rsid w:val="174836DA"/>
    <w:rsid w:val="17684793"/>
    <w:rsid w:val="176A5B2B"/>
    <w:rsid w:val="176B58AB"/>
    <w:rsid w:val="176D1177"/>
    <w:rsid w:val="177845C9"/>
    <w:rsid w:val="178D1819"/>
    <w:rsid w:val="17914E66"/>
    <w:rsid w:val="17917D74"/>
    <w:rsid w:val="17947F19"/>
    <w:rsid w:val="17950011"/>
    <w:rsid w:val="179D3C92"/>
    <w:rsid w:val="17A10E21"/>
    <w:rsid w:val="17A85737"/>
    <w:rsid w:val="17B15700"/>
    <w:rsid w:val="17B814A8"/>
    <w:rsid w:val="17C24895"/>
    <w:rsid w:val="17C36FE9"/>
    <w:rsid w:val="17E170AC"/>
    <w:rsid w:val="17E20185"/>
    <w:rsid w:val="17E20250"/>
    <w:rsid w:val="17E51656"/>
    <w:rsid w:val="17F329A6"/>
    <w:rsid w:val="17FE06E4"/>
    <w:rsid w:val="18044590"/>
    <w:rsid w:val="18055854"/>
    <w:rsid w:val="180D4E89"/>
    <w:rsid w:val="181602D3"/>
    <w:rsid w:val="18161D69"/>
    <w:rsid w:val="181A3234"/>
    <w:rsid w:val="181C3E1E"/>
    <w:rsid w:val="182C4B26"/>
    <w:rsid w:val="182D1850"/>
    <w:rsid w:val="183D4058"/>
    <w:rsid w:val="184229CE"/>
    <w:rsid w:val="184C6FDF"/>
    <w:rsid w:val="18577262"/>
    <w:rsid w:val="1865212F"/>
    <w:rsid w:val="186913B9"/>
    <w:rsid w:val="186F1A5A"/>
    <w:rsid w:val="1881137E"/>
    <w:rsid w:val="18836BCC"/>
    <w:rsid w:val="188F0F8B"/>
    <w:rsid w:val="189B5D97"/>
    <w:rsid w:val="18A14754"/>
    <w:rsid w:val="18A32063"/>
    <w:rsid w:val="18A55392"/>
    <w:rsid w:val="18AF6EC4"/>
    <w:rsid w:val="18B31A70"/>
    <w:rsid w:val="18BB355D"/>
    <w:rsid w:val="18C536A3"/>
    <w:rsid w:val="18C60A94"/>
    <w:rsid w:val="18CB084B"/>
    <w:rsid w:val="18D442CB"/>
    <w:rsid w:val="18D71DD8"/>
    <w:rsid w:val="18DB7BBC"/>
    <w:rsid w:val="18E216F1"/>
    <w:rsid w:val="18E322BF"/>
    <w:rsid w:val="18E44402"/>
    <w:rsid w:val="18E77701"/>
    <w:rsid w:val="18F5116E"/>
    <w:rsid w:val="190340F9"/>
    <w:rsid w:val="190568F9"/>
    <w:rsid w:val="19124F6A"/>
    <w:rsid w:val="19242A1C"/>
    <w:rsid w:val="19265A82"/>
    <w:rsid w:val="192B12EA"/>
    <w:rsid w:val="19313AE7"/>
    <w:rsid w:val="1936518C"/>
    <w:rsid w:val="193E726F"/>
    <w:rsid w:val="194175B6"/>
    <w:rsid w:val="194B54E8"/>
    <w:rsid w:val="194C2307"/>
    <w:rsid w:val="194D37D0"/>
    <w:rsid w:val="195754C6"/>
    <w:rsid w:val="19596F19"/>
    <w:rsid w:val="19597DE9"/>
    <w:rsid w:val="196B1588"/>
    <w:rsid w:val="197174BD"/>
    <w:rsid w:val="19720CC7"/>
    <w:rsid w:val="197607B7"/>
    <w:rsid w:val="197D7D98"/>
    <w:rsid w:val="19831126"/>
    <w:rsid w:val="19880B1B"/>
    <w:rsid w:val="1991739F"/>
    <w:rsid w:val="199364A5"/>
    <w:rsid w:val="19AF1F1B"/>
    <w:rsid w:val="19B133AF"/>
    <w:rsid w:val="19B17A0A"/>
    <w:rsid w:val="19BA156E"/>
    <w:rsid w:val="19BE6530"/>
    <w:rsid w:val="19C73E97"/>
    <w:rsid w:val="19C968E8"/>
    <w:rsid w:val="19E020D4"/>
    <w:rsid w:val="19E30D3E"/>
    <w:rsid w:val="19E90135"/>
    <w:rsid w:val="19EC6CCB"/>
    <w:rsid w:val="19F077E8"/>
    <w:rsid w:val="19FC385E"/>
    <w:rsid w:val="1A014D68"/>
    <w:rsid w:val="1A02204B"/>
    <w:rsid w:val="1A122BC9"/>
    <w:rsid w:val="1A174179"/>
    <w:rsid w:val="1A18186E"/>
    <w:rsid w:val="1A1D0C33"/>
    <w:rsid w:val="1A2361DE"/>
    <w:rsid w:val="1A2D1CA6"/>
    <w:rsid w:val="1A3174C7"/>
    <w:rsid w:val="1A383F32"/>
    <w:rsid w:val="1A3F504D"/>
    <w:rsid w:val="1A424B3D"/>
    <w:rsid w:val="1A4A7EC5"/>
    <w:rsid w:val="1A4D493F"/>
    <w:rsid w:val="1A4F2DB6"/>
    <w:rsid w:val="1A5D0811"/>
    <w:rsid w:val="1A696AC4"/>
    <w:rsid w:val="1A6A64BE"/>
    <w:rsid w:val="1A6E2201"/>
    <w:rsid w:val="1A7353E6"/>
    <w:rsid w:val="1A741638"/>
    <w:rsid w:val="1A7D3DC7"/>
    <w:rsid w:val="1A8326B7"/>
    <w:rsid w:val="1A8470D5"/>
    <w:rsid w:val="1A867F89"/>
    <w:rsid w:val="1A894F7A"/>
    <w:rsid w:val="1A8A0CDA"/>
    <w:rsid w:val="1A8C4532"/>
    <w:rsid w:val="1A906823"/>
    <w:rsid w:val="1AA107CB"/>
    <w:rsid w:val="1AA80FE1"/>
    <w:rsid w:val="1AAC1D72"/>
    <w:rsid w:val="1AAD228C"/>
    <w:rsid w:val="1AB943B7"/>
    <w:rsid w:val="1AC90407"/>
    <w:rsid w:val="1ACD08AB"/>
    <w:rsid w:val="1ADC734A"/>
    <w:rsid w:val="1AEE0ED0"/>
    <w:rsid w:val="1B0167A6"/>
    <w:rsid w:val="1B03691D"/>
    <w:rsid w:val="1B110E54"/>
    <w:rsid w:val="1B1418BE"/>
    <w:rsid w:val="1B1433F2"/>
    <w:rsid w:val="1B18370C"/>
    <w:rsid w:val="1B1F59AD"/>
    <w:rsid w:val="1B251795"/>
    <w:rsid w:val="1B261D69"/>
    <w:rsid w:val="1B2673B2"/>
    <w:rsid w:val="1B327DFC"/>
    <w:rsid w:val="1B37016F"/>
    <w:rsid w:val="1B43606F"/>
    <w:rsid w:val="1B4F270F"/>
    <w:rsid w:val="1B590390"/>
    <w:rsid w:val="1B5E3125"/>
    <w:rsid w:val="1B6A60FA"/>
    <w:rsid w:val="1B6C11C8"/>
    <w:rsid w:val="1B6D0B86"/>
    <w:rsid w:val="1B70391D"/>
    <w:rsid w:val="1B707488"/>
    <w:rsid w:val="1B715935"/>
    <w:rsid w:val="1B721A08"/>
    <w:rsid w:val="1B80591D"/>
    <w:rsid w:val="1B8126FA"/>
    <w:rsid w:val="1B8371BB"/>
    <w:rsid w:val="1B855224"/>
    <w:rsid w:val="1B8875AF"/>
    <w:rsid w:val="1B8A679C"/>
    <w:rsid w:val="1B930AD5"/>
    <w:rsid w:val="1B965141"/>
    <w:rsid w:val="1BA2759C"/>
    <w:rsid w:val="1BA535D6"/>
    <w:rsid w:val="1BA60433"/>
    <w:rsid w:val="1BA76296"/>
    <w:rsid w:val="1BB11F7A"/>
    <w:rsid w:val="1BB750B7"/>
    <w:rsid w:val="1BBA62E9"/>
    <w:rsid w:val="1BC455EE"/>
    <w:rsid w:val="1BC565DC"/>
    <w:rsid w:val="1BCD48DA"/>
    <w:rsid w:val="1BDF3A0A"/>
    <w:rsid w:val="1BE80EF6"/>
    <w:rsid w:val="1BEF424D"/>
    <w:rsid w:val="1BEF7C4F"/>
    <w:rsid w:val="1BF20A61"/>
    <w:rsid w:val="1BF954ED"/>
    <w:rsid w:val="1BF956CF"/>
    <w:rsid w:val="1BFC2ACA"/>
    <w:rsid w:val="1BFF6B87"/>
    <w:rsid w:val="1C035D31"/>
    <w:rsid w:val="1C0E117B"/>
    <w:rsid w:val="1C100BB9"/>
    <w:rsid w:val="1C136D8A"/>
    <w:rsid w:val="1C1D316C"/>
    <w:rsid w:val="1C1D75AD"/>
    <w:rsid w:val="1C1E6BE2"/>
    <w:rsid w:val="1C2C7853"/>
    <w:rsid w:val="1C452578"/>
    <w:rsid w:val="1C4B4B3B"/>
    <w:rsid w:val="1C5A0D28"/>
    <w:rsid w:val="1C5B5A42"/>
    <w:rsid w:val="1C5E7EC4"/>
    <w:rsid w:val="1C607A2E"/>
    <w:rsid w:val="1C6B35FB"/>
    <w:rsid w:val="1C784104"/>
    <w:rsid w:val="1C7A05BE"/>
    <w:rsid w:val="1C8F1B2E"/>
    <w:rsid w:val="1C954CD6"/>
    <w:rsid w:val="1C994EC8"/>
    <w:rsid w:val="1C9A4142"/>
    <w:rsid w:val="1CA2734E"/>
    <w:rsid w:val="1CA44644"/>
    <w:rsid w:val="1CB4492A"/>
    <w:rsid w:val="1CBA322D"/>
    <w:rsid w:val="1CBF19D2"/>
    <w:rsid w:val="1CC73DEA"/>
    <w:rsid w:val="1CC916A3"/>
    <w:rsid w:val="1CCC09D0"/>
    <w:rsid w:val="1CD6156D"/>
    <w:rsid w:val="1CE65C54"/>
    <w:rsid w:val="1CEC09AD"/>
    <w:rsid w:val="1CF06D47"/>
    <w:rsid w:val="1D081F61"/>
    <w:rsid w:val="1D0870CF"/>
    <w:rsid w:val="1D185F8C"/>
    <w:rsid w:val="1D19579E"/>
    <w:rsid w:val="1D1D719C"/>
    <w:rsid w:val="1D1E0908"/>
    <w:rsid w:val="1D1F0D32"/>
    <w:rsid w:val="1D1F6293"/>
    <w:rsid w:val="1D206B8C"/>
    <w:rsid w:val="1D293D92"/>
    <w:rsid w:val="1D2B0222"/>
    <w:rsid w:val="1D2D5293"/>
    <w:rsid w:val="1D2F2FB7"/>
    <w:rsid w:val="1D323D10"/>
    <w:rsid w:val="1D376540"/>
    <w:rsid w:val="1D4F1A4B"/>
    <w:rsid w:val="1D5305B1"/>
    <w:rsid w:val="1D5A03F0"/>
    <w:rsid w:val="1D5B5B91"/>
    <w:rsid w:val="1D65301C"/>
    <w:rsid w:val="1D6B462A"/>
    <w:rsid w:val="1D6F3E9B"/>
    <w:rsid w:val="1D7457D3"/>
    <w:rsid w:val="1D7517E7"/>
    <w:rsid w:val="1D790876"/>
    <w:rsid w:val="1D7B481A"/>
    <w:rsid w:val="1D813BCE"/>
    <w:rsid w:val="1D862BB4"/>
    <w:rsid w:val="1D8C3B39"/>
    <w:rsid w:val="1D9B6A3E"/>
    <w:rsid w:val="1D9F5E03"/>
    <w:rsid w:val="1DA4146D"/>
    <w:rsid w:val="1DA51BD7"/>
    <w:rsid w:val="1DA52F17"/>
    <w:rsid w:val="1DC13FCB"/>
    <w:rsid w:val="1DC615E1"/>
    <w:rsid w:val="1DC62751"/>
    <w:rsid w:val="1DCD0BC2"/>
    <w:rsid w:val="1DCD642E"/>
    <w:rsid w:val="1DD714CA"/>
    <w:rsid w:val="1DE1641B"/>
    <w:rsid w:val="1DEE1D7B"/>
    <w:rsid w:val="1DF0613F"/>
    <w:rsid w:val="1DF4775D"/>
    <w:rsid w:val="1DFA6CCA"/>
    <w:rsid w:val="1E0A4DB8"/>
    <w:rsid w:val="1E0D1DFA"/>
    <w:rsid w:val="1E0F4C28"/>
    <w:rsid w:val="1E1172D3"/>
    <w:rsid w:val="1E144269"/>
    <w:rsid w:val="1E2076B7"/>
    <w:rsid w:val="1E210D49"/>
    <w:rsid w:val="1E2A6054"/>
    <w:rsid w:val="1E2E3A39"/>
    <w:rsid w:val="1E3173A3"/>
    <w:rsid w:val="1E370E0A"/>
    <w:rsid w:val="1E390005"/>
    <w:rsid w:val="1E3D5D47"/>
    <w:rsid w:val="1E462B8B"/>
    <w:rsid w:val="1E4B4FD8"/>
    <w:rsid w:val="1E5F1377"/>
    <w:rsid w:val="1E6C3BCE"/>
    <w:rsid w:val="1E751F95"/>
    <w:rsid w:val="1E7767C7"/>
    <w:rsid w:val="1E797BD7"/>
    <w:rsid w:val="1E86075E"/>
    <w:rsid w:val="1E875215"/>
    <w:rsid w:val="1E933AA0"/>
    <w:rsid w:val="1E9860EB"/>
    <w:rsid w:val="1E9A6CF6"/>
    <w:rsid w:val="1EA93EBF"/>
    <w:rsid w:val="1EB1403F"/>
    <w:rsid w:val="1EB53569"/>
    <w:rsid w:val="1EB6330F"/>
    <w:rsid w:val="1EB82905"/>
    <w:rsid w:val="1EC9410B"/>
    <w:rsid w:val="1EE1179C"/>
    <w:rsid w:val="1EE214C0"/>
    <w:rsid w:val="1EF3123C"/>
    <w:rsid w:val="1EF55B62"/>
    <w:rsid w:val="1EF65EF6"/>
    <w:rsid w:val="1F0B3750"/>
    <w:rsid w:val="1F0B7084"/>
    <w:rsid w:val="1F1702FA"/>
    <w:rsid w:val="1F1B4728"/>
    <w:rsid w:val="1F2070D4"/>
    <w:rsid w:val="1F24386A"/>
    <w:rsid w:val="1F29007A"/>
    <w:rsid w:val="1F2C5FA4"/>
    <w:rsid w:val="1F2E521C"/>
    <w:rsid w:val="1F301408"/>
    <w:rsid w:val="1F360D7E"/>
    <w:rsid w:val="1F36422B"/>
    <w:rsid w:val="1F433D04"/>
    <w:rsid w:val="1F4D0EF4"/>
    <w:rsid w:val="1F552FA7"/>
    <w:rsid w:val="1F574CD6"/>
    <w:rsid w:val="1F617814"/>
    <w:rsid w:val="1F666BD8"/>
    <w:rsid w:val="1F690C77"/>
    <w:rsid w:val="1F703E42"/>
    <w:rsid w:val="1F737547"/>
    <w:rsid w:val="1F784B5D"/>
    <w:rsid w:val="1F9626BE"/>
    <w:rsid w:val="1F976D27"/>
    <w:rsid w:val="1F9B218F"/>
    <w:rsid w:val="1FA00D60"/>
    <w:rsid w:val="1FA344E3"/>
    <w:rsid w:val="1FB97650"/>
    <w:rsid w:val="1FBA5176"/>
    <w:rsid w:val="1FBD6F82"/>
    <w:rsid w:val="1FC009DE"/>
    <w:rsid w:val="1FC102B2"/>
    <w:rsid w:val="1FC14DBD"/>
    <w:rsid w:val="1FC16504"/>
    <w:rsid w:val="1FC472A5"/>
    <w:rsid w:val="1FC758F5"/>
    <w:rsid w:val="1FCD4EA9"/>
    <w:rsid w:val="1FCD625C"/>
    <w:rsid w:val="1FCE5246"/>
    <w:rsid w:val="1FD004A7"/>
    <w:rsid w:val="1FD53695"/>
    <w:rsid w:val="1FED37B9"/>
    <w:rsid w:val="20023FEF"/>
    <w:rsid w:val="2012795A"/>
    <w:rsid w:val="202A56CE"/>
    <w:rsid w:val="20311017"/>
    <w:rsid w:val="20313EAC"/>
    <w:rsid w:val="20317AED"/>
    <w:rsid w:val="203E1903"/>
    <w:rsid w:val="203E74FC"/>
    <w:rsid w:val="20445069"/>
    <w:rsid w:val="20445CF6"/>
    <w:rsid w:val="20452D6E"/>
    <w:rsid w:val="204557E3"/>
    <w:rsid w:val="20457135"/>
    <w:rsid w:val="20463307"/>
    <w:rsid w:val="204721AA"/>
    <w:rsid w:val="204A474C"/>
    <w:rsid w:val="20517888"/>
    <w:rsid w:val="205B7CB4"/>
    <w:rsid w:val="20607ACB"/>
    <w:rsid w:val="2076401A"/>
    <w:rsid w:val="20783067"/>
    <w:rsid w:val="207B26EE"/>
    <w:rsid w:val="207B3A1F"/>
    <w:rsid w:val="2080206C"/>
    <w:rsid w:val="20814CCB"/>
    <w:rsid w:val="20825957"/>
    <w:rsid w:val="20897B81"/>
    <w:rsid w:val="208A0FEC"/>
    <w:rsid w:val="20930891"/>
    <w:rsid w:val="2096173F"/>
    <w:rsid w:val="209E05F3"/>
    <w:rsid w:val="20A43EB9"/>
    <w:rsid w:val="20A63400"/>
    <w:rsid w:val="20A756FA"/>
    <w:rsid w:val="20AD455D"/>
    <w:rsid w:val="20AE57E6"/>
    <w:rsid w:val="20B06AF5"/>
    <w:rsid w:val="20B87907"/>
    <w:rsid w:val="20BD2233"/>
    <w:rsid w:val="20BE3384"/>
    <w:rsid w:val="20C067BC"/>
    <w:rsid w:val="20C11FAE"/>
    <w:rsid w:val="20D33D76"/>
    <w:rsid w:val="20DB53A4"/>
    <w:rsid w:val="20DC26D0"/>
    <w:rsid w:val="20DD104C"/>
    <w:rsid w:val="20E805DE"/>
    <w:rsid w:val="20EB5EB9"/>
    <w:rsid w:val="20EC0B7F"/>
    <w:rsid w:val="20EE7201"/>
    <w:rsid w:val="20F33B84"/>
    <w:rsid w:val="20F6042F"/>
    <w:rsid w:val="20F84942"/>
    <w:rsid w:val="20FB5A46"/>
    <w:rsid w:val="20FC5411"/>
    <w:rsid w:val="21031E9A"/>
    <w:rsid w:val="21033044"/>
    <w:rsid w:val="21034127"/>
    <w:rsid w:val="2107175D"/>
    <w:rsid w:val="21130FE1"/>
    <w:rsid w:val="21334C40"/>
    <w:rsid w:val="21366A7E"/>
    <w:rsid w:val="21376B82"/>
    <w:rsid w:val="21381B3A"/>
    <w:rsid w:val="213B257B"/>
    <w:rsid w:val="213F00CE"/>
    <w:rsid w:val="213F3B84"/>
    <w:rsid w:val="21425423"/>
    <w:rsid w:val="21457CBE"/>
    <w:rsid w:val="2147554F"/>
    <w:rsid w:val="21537670"/>
    <w:rsid w:val="215F4A0D"/>
    <w:rsid w:val="21676C37"/>
    <w:rsid w:val="216B59E3"/>
    <w:rsid w:val="216F4323"/>
    <w:rsid w:val="216F733B"/>
    <w:rsid w:val="217560B0"/>
    <w:rsid w:val="21771FE5"/>
    <w:rsid w:val="21780E44"/>
    <w:rsid w:val="2188552B"/>
    <w:rsid w:val="219A06D8"/>
    <w:rsid w:val="219D08AB"/>
    <w:rsid w:val="21A00408"/>
    <w:rsid w:val="21B53586"/>
    <w:rsid w:val="21C00D8A"/>
    <w:rsid w:val="21C10A3D"/>
    <w:rsid w:val="21C34002"/>
    <w:rsid w:val="21C62615"/>
    <w:rsid w:val="21C66054"/>
    <w:rsid w:val="21D4266A"/>
    <w:rsid w:val="21D60813"/>
    <w:rsid w:val="21D90BF9"/>
    <w:rsid w:val="21DC50BF"/>
    <w:rsid w:val="21F14FC0"/>
    <w:rsid w:val="21F33EFD"/>
    <w:rsid w:val="220A5F40"/>
    <w:rsid w:val="22146DBF"/>
    <w:rsid w:val="221B1A4E"/>
    <w:rsid w:val="222A37F0"/>
    <w:rsid w:val="223823A3"/>
    <w:rsid w:val="224372CA"/>
    <w:rsid w:val="22445ECF"/>
    <w:rsid w:val="22482F0D"/>
    <w:rsid w:val="22506727"/>
    <w:rsid w:val="2261178B"/>
    <w:rsid w:val="22630B62"/>
    <w:rsid w:val="226F3030"/>
    <w:rsid w:val="22717EF7"/>
    <w:rsid w:val="227E5C9D"/>
    <w:rsid w:val="22812F8F"/>
    <w:rsid w:val="228727F7"/>
    <w:rsid w:val="229B5F30"/>
    <w:rsid w:val="22AA7723"/>
    <w:rsid w:val="22BC3EB7"/>
    <w:rsid w:val="22BD1BBF"/>
    <w:rsid w:val="22BD45D7"/>
    <w:rsid w:val="22C00E77"/>
    <w:rsid w:val="22C60B71"/>
    <w:rsid w:val="22D02936"/>
    <w:rsid w:val="22D05933"/>
    <w:rsid w:val="22D24A4D"/>
    <w:rsid w:val="22D30A28"/>
    <w:rsid w:val="22DB5B2F"/>
    <w:rsid w:val="22E22A19"/>
    <w:rsid w:val="22E52C9B"/>
    <w:rsid w:val="22F059E5"/>
    <w:rsid w:val="22FC5261"/>
    <w:rsid w:val="22FD5350"/>
    <w:rsid w:val="22FE1924"/>
    <w:rsid w:val="23007CB8"/>
    <w:rsid w:val="2302130E"/>
    <w:rsid w:val="230706D2"/>
    <w:rsid w:val="23134E96"/>
    <w:rsid w:val="23194D81"/>
    <w:rsid w:val="231A6657"/>
    <w:rsid w:val="23362D65"/>
    <w:rsid w:val="23393A5D"/>
    <w:rsid w:val="233A6758"/>
    <w:rsid w:val="23411E36"/>
    <w:rsid w:val="234436D4"/>
    <w:rsid w:val="23486C01"/>
    <w:rsid w:val="23556570"/>
    <w:rsid w:val="235A7056"/>
    <w:rsid w:val="23616034"/>
    <w:rsid w:val="23621DAC"/>
    <w:rsid w:val="23645B24"/>
    <w:rsid w:val="23672C8A"/>
    <w:rsid w:val="237613B4"/>
    <w:rsid w:val="237C0F3C"/>
    <w:rsid w:val="23904D06"/>
    <w:rsid w:val="23906919"/>
    <w:rsid w:val="23A300A3"/>
    <w:rsid w:val="23A323D7"/>
    <w:rsid w:val="23AE4F4C"/>
    <w:rsid w:val="23BA3EF6"/>
    <w:rsid w:val="23C640E9"/>
    <w:rsid w:val="23CC35A5"/>
    <w:rsid w:val="23D06D16"/>
    <w:rsid w:val="23D902C0"/>
    <w:rsid w:val="23D9206E"/>
    <w:rsid w:val="23DD0BFC"/>
    <w:rsid w:val="23DF2FA8"/>
    <w:rsid w:val="23E00EE5"/>
    <w:rsid w:val="23F231AE"/>
    <w:rsid w:val="23F6664F"/>
    <w:rsid w:val="23F821FE"/>
    <w:rsid w:val="23FF1D1D"/>
    <w:rsid w:val="23FF5750"/>
    <w:rsid w:val="24042E63"/>
    <w:rsid w:val="24150A21"/>
    <w:rsid w:val="241B0F50"/>
    <w:rsid w:val="241C63FF"/>
    <w:rsid w:val="242330B8"/>
    <w:rsid w:val="24266E50"/>
    <w:rsid w:val="24305BD3"/>
    <w:rsid w:val="243204A7"/>
    <w:rsid w:val="24390235"/>
    <w:rsid w:val="24391C07"/>
    <w:rsid w:val="243F083D"/>
    <w:rsid w:val="243F3E9B"/>
    <w:rsid w:val="2446776E"/>
    <w:rsid w:val="2449696F"/>
    <w:rsid w:val="2450029A"/>
    <w:rsid w:val="2455334D"/>
    <w:rsid w:val="24577437"/>
    <w:rsid w:val="24695B13"/>
    <w:rsid w:val="246A1D00"/>
    <w:rsid w:val="24772B22"/>
    <w:rsid w:val="247C0C4C"/>
    <w:rsid w:val="247E5135"/>
    <w:rsid w:val="2481129D"/>
    <w:rsid w:val="2485604C"/>
    <w:rsid w:val="248A0A7D"/>
    <w:rsid w:val="24967F5F"/>
    <w:rsid w:val="249D60D3"/>
    <w:rsid w:val="24A65CC9"/>
    <w:rsid w:val="24A96539"/>
    <w:rsid w:val="24C22047"/>
    <w:rsid w:val="24C46654"/>
    <w:rsid w:val="24C75F2F"/>
    <w:rsid w:val="24CD6B6E"/>
    <w:rsid w:val="24D9609E"/>
    <w:rsid w:val="24E3729E"/>
    <w:rsid w:val="24E862E1"/>
    <w:rsid w:val="25071B35"/>
    <w:rsid w:val="250A07C3"/>
    <w:rsid w:val="252F5231"/>
    <w:rsid w:val="253711A7"/>
    <w:rsid w:val="253D3D04"/>
    <w:rsid w:val="254A073A"/>
    <w:rsid w:val="254B6F9C"/>
    <w:rsid w:val="2559688E"/>
    <w:rsid w:val="255E550E"/>
    <w:rsid w:val="256162F1"/>
    <w:rsid w:val="25644CD9"/>
    <w:rsid w:val="25653D07"/>
    <w:rsid w:val="25694D45"/>
    <w:rsid w:val="257F27A2"/>
    <w:rsid w:val="258B7119"/>
    <w:rsid w:val="258C1362"/>
    <w:rsid w:val="2591184A"/>
    <w:rsid w:val="25951FC5"/>
    <w:rsid w:val="25AD2225"/>
    <w:rsid w:val="25AD4AD5"/>
    <w:rsid w:val="25AF7C37"/>
    <w:rsid w:val="25B20291"/>
    <w:rsid w:val="25B636AB"/>
    <w:rsid w:val="25B92D29"/>
    <w:rsid w:val="25BD776E"/>
    <w:rsid w:val="25D626A7"/>
    <w:rsid w:val="25D710E1"/>
    <w:rsid w:val="25D92344"/>
    <w:rsid w:val="25E46AA9"/>
    <w:rsid w:val="25ED0061"/>
    <w:rsid w:val="25F0369F"/>
    <w:rsid w:val="25F03E08"/>
    <w:rsid w:val="25F653DC"/>
    <w:rsid w:val="25F9324C"/>
    <w:rsid w:val="26041520"/>
    <w:rsid w:val="262477ED"/>
    <w:rsid w:val="26263565"/>
    <w:rsid w:val="262B00FD"/>
    <w:rsid w:val="262F0073"/>
    <w:rsid w:val="26307F40"/>
    <w:rsid w:val="263537A8"/>
    <w:rsid w:val="264834DB"/>
    <w:rsid w:val="265005E2"/>
    <w:rsid w:val="26561E20"/>
    <w:rsid w:val="265754CC"/>
    <w:rsid w:val="265B5C80"/>
    <w:rsid w:val="265C4DF4"/>
    <w:rsid w:val="26600825"/>
    <w:rsid w:val="26614924"/>
    <w:rsid w:val="26661BB3"/>
    <w:rsid w:val="2669133F"/>
    <w:rsid w:val="26741FA5"/>
    <w:rsid w:val="267C5E66"/>
    <w:rsid w:val="26831598"/>
    <w:rsid w:val="26851904"/>
    <w:rsid w:val="268C1088"/>
    <w:rsid w:val="268E11BD"/>
    <w:rsid w:val="268F41C1"/>
    <w:rsid w:val="269A673C"/>
    <w:rsid w:val="26A050C5"/>
    <w:rsid w:val="26AF38E8"/>
    <w:rsid w:val="26B61F36"/>
    <w:rsid w:val="26BB44D0"/>
    <w:rsid w:val="26C12ADE"/>
    <w:rsid w:val="26C27698"/>
    <w:rsid w:val="26C74B1D"/>
    <w:rsid w:val="26C8226C"/>
    <w:rsid w:val="26C827B3"/>
    <w:rsid w:val="26CA7D26"/>
    <w:rsid w:val="26CD39E1"/>
    <w:rsid w:val="26CF1A96"/>
    <w:rsid w:val="26D905D7"/>
    <w:rsid w:val="26DA02E8"/>
    <w:rsid w:val="26DE5BEE"/>
    <w:rsid w:val="26E038BD"/>
    <w:rsid w:val="26E26D33"/>
    <w:rsid w:val="26EA49F0"/>
    <w:rsid w:val="26EA6341"/>
    <w:rsid w:val="26FB22FC"/>
    <w:rsid w:val="26FC437E"/>
    <w:rsid w:val="26FD42C6"/>
    <w:rsid w:val="26FF433E"/>
    <w:rsid w:val="2702368A"/>
    <w:rsid w:val="27066436"/>
    <w:rsid w:val="27096C04"/>
    <w:rsid w:val="270E4F90"/>
    <w:rsid w:val="270E64D3"/>
    <w:rsid w:val="27121405"/>
    <w:rsid w:val="2712523F"/>
    <w:rsid w:val="27195750"/>
    <w:rsid w:val="27206206"/>
    <w:rsid w:val="27263487"/>
    <w:rsid w:val="27475258"/>
    <w:rsid w:val="274870A5"/>
    <w:rsid w:val="27491CE2"/>
    <w:rsid w:val="27497346"/>
    <w:rsid w:val="274C00E7"/>
    <w:rsid w:val="274E4B21"/>
    <w:rsid w:val="27526510"/>
    <w:rsid w:val="27554346"/>
    <w:rsid w:val="275E4EAC"/>
    <w:rsid w:val="27736336"/>
    <w:rsid w:val="277F74D6"/>
    <w:rsid w:val="27893DAB"/>
    <w:rsid w:val="278C73F8"/>
    <w:rsid w:val="27930DA0"/>
    <w:rsid w:val="2799071E"/>
    <w:rsid w:val="279B2B20"/>
    <w:rsid w:val="279D281D"/>
    <w:rsid w:val="27A97B8C"/>
    <w:rsid w:val="27BA50C6"/>
    <w:rsid w:val="27C110E8"/>
    <w:rsid w:val="27C2589A"/>
    <w:rsid w:val="27C37C91"/>
    <w:rsid w:val="27C608B1"/>
    <w:rsid w:val="27C84912"/>
    <w:rsid w:val="27CB2BC4"/>
    <w:rsid w:val="27CB2C5E"/>
    <w:rsid w:val="27CF033D"/>
    <w:rsid w:val="27D008CD"/>
    <w:rsid w:val="27D24728"/>
    <w:rsid w:val="27D46535"/>
    <w:rsid w:val="27D74B17"/>
    <w:rsid w:val="27E84793"/>
    <w:rsid w:val="27EB3F28"/>
    <w:rsid w:val="28040CA5"/>
    <w:rsid w:val="280E5870"/>
    <w:rsid w:val="28146ADA"/>
    <w:rsid w:val="28173D98"/>
    <w:rsid w:val="281B6B3C"/>
    <w:rsid w:val="281E2746"/>
    <w:rsid w:val="28250CC6"/>
    <w:rsid w:val="28251E9F"/>
    <w:rsid w:val="28285372"/>
    <w:rsid w:val="2829733C"/>
    <w:rsid w:val="283A4B96"/>
    <w:rsid w:val="284B190C"/>
    <w:rsid w:val="28527737"/>
    <w:rsid w:val="2854351E"/>
    <w:rsid w:val="285C547F"/>
    <w:rsid w:val="285D1471"/>
    <w:rsid w:val="28606245"/>
    <w:rsid w:val="28645791"/>
    <w:rsid w:val="286D0FD7"/>
    <w:rsid w:val="28810F26"/>
    <w:rsid w:val="2887059C"/>
    <w:rsid w:val="288753C6"/>
    <w:rsid w:val="28893937"/>
    <w:rsid w:val="288A5FB2"/>
    <w:rsid w:val="288B58A3"/>
    <w:rsid w:val="2896209E"/>
    <w:rsid w:val="289851FD"/>
    <w:rsid w:val="289E0A26"/>
    <w:rsid w:val="28A0427A"/>
    <w:rsid w:val="28A138D1"/>
    <w:rsid w:val="28A32C4B"/>
    <w:rsid w:val="28A36707"/>
    <w:rsid w:val="28A71382"/>
    <w:rsid w:val="28AF35C6"/>
    <w:rsid w:val="28B06FF1"/>
    <w:rsid w:val="28B1024A"/>
    <w:rsid w:val="28B90FF5"/>
    <w:rsid w:val="28BB686A"/>
    <w:rsid w:val="28BC1F5F"/>
    <w:rsid w:val="28C57065"/>
    <w:rsid w:val="28C82C67"/>
    <w:rsid w:val="28D15A0A"/>
    <w:rsid w:val="28D37A3B"/>
    <w:rsid w:val="28DC43AF"/>
    <w:rsid w:val="28E21187"/>
    <w:rsid w:val="28F11C08"/>
    <w:rsid w:val="28FC7098"/>
    <w:rsid w:val="2900507C"/>
    <w:rsid w:val="290731DA"/>
    <w:rsid w:val="290D0E0E"/>
    <w:rsid w:val="29171045"/>
    <w:rsid w:val="29211DC2"/>
    <w:rsid w:val="29220014"/>
    <w:rsid w:val="292B0F16"/>
    <w:rsid w:val="293748C1"/>
    <w:rsid w:val="2939345D"/>
    <w:rsid w:val="293935AF"/>
    <w:rsid w:val="29580D07"/>
    <w:rsid w:val="295B1778"/>
    <w:rsid w:val="295D54F0"/>
    <w:rsid w:val="29606D8E"/>
    <w:rsid w:val="296350A7"/>
    <w:rsid w:val="29653242"/>
    <w:rsid w:val="296617F0"/>
    <w:rsid w:val="296C5604"/>
    <w:rsid w:val="298939FC"/>
    <w:rsid w:val="298C3CA4"/>
    <w:rsid w:val="298D37D0"/>
    <w:rsid w:val="299130E9"/>
    <w:rsid w:val="29930F11"/>
    <w:rsid w:val="2994513B"/>
    <w:rsid w:val="2996455E"/>
    <w:rsid w:val="299B1B74"/>
    <w:rsid w:val="29A97F8A"/>
    <w:rsid w:val="29AC5B2F"/>
    <w:rsid w:val="29AD778D"/>
    <w:rsid w:val="29B47173"/>
    <w:rsid w:val="29BB1BAC"/>
    <w:rsid w:val="29C2692C"/>
    <w:rsid w:val="29C410CB"/>
    <w:rsid w:val="29C87D11"/>
    <w:rsid w:val="29D05CC2"/>
    <w:rsid w:val="29D15596"/>
    <w:rsid w:val="29DE07BC"/>
    <w:rsid w:val="29DF7CB3"/>
    <w:rsid w:val="29E057D9"/>
    <w:rsid w:val="29E1421C"/>
    <w:rsid w:val="29E4176D"/>
    <w:rsid w:val="29E6570E"/>
    <w:rsid w:val="29E94B0F"/>
    <w:rsid w:val="29EC61E5"/>
    <w:rsid w:val="29FC3140"/>
    <w:rsid w:val="29FD2C93"/>
    <w:rsid w:val="2A0911D4"/>
    <w:rsid w:val="2A190AFA"/>
    <w:rsid w:val="2A1F09F7"/>
    <w:rsid w:val="2A3049B2"/>
    <w:rsid w:val="2A331DAD"/>
    <w:rsid w:val="2A3527AE"/>
    <w:rsid w:val="2A3D6440"/>
    <w:rsid w:val="2A4B5348"/>
    <w:rsid w:val="2A4B5EB3"/>
    <w:rsid w:val="2A5F0DF4"/>
    <w:rsid w:val="2A5F5BA1"/>
    <w:rsid w:val="2A622692"/>
    <w:rsid w:val="2A656CB8"/>
    <w:rsid w:val="2A6B6786"/>
    <w:rsid w:val="2A701253"/>
    <w:rsid w:val="2A765DEA"/>
    <w:rsid w:val="2A854FC4"/>
    <w:rsid w:val="2A872FE8"/>
    <w:rsid w:val="2A9211C9"/>
    <w:rsid w:val="2A932085"/>
    <w:rsid w:val="2A9413C9"/>
    <w:rsid w:val="2A944F41"/>
    <w:rsid w:val="2A9D36CA"/>
    <w:rsid w:val="2A9E191C"/>
    <w:rsid w:val="2AA42411"/>
    <w:rsid w:val="2AAA4BDE"/>
    <w:rsid w:val="2AB056E9"/>
    <w:rsid w:val="2AB23619"/>
    <w:rsid w:val="2AB34501"/>
    <w:rsid w:val="2ABB0C08"/>
    <w:rsid w:val="2AC1560A"/>
    <w:rsid w:val="2AC40751"/>
    <w:rsid w:val="2ACA4E23"/>
    <w:rsid w:val="2AD16F39"/>
    <w:rsid w:val="2AD27817"/>
    <w:rsid w:val="2AD30686"/>
    <w:rsid w:val="2AD57308"/>
    <w:rsid w:val="2AD838DF"/>
    <w:rsid w:val="2ADD0128"/>
    <w:rsid w:val="2AEA268E"/>
    <w:rsid w:val="2AF7445E"/>
    <w:rsid w:val="2AF91248"/>
    <w:rsid w:val="2AFE498C"/>
    <w:rsid w:val="2B0261C7"/>
    <w:rsid w:val="2B14199B"/>
    <w:rsid w:val="2B1616C0"/>
    <w:rsid w:val="2B1C6CE5"/>
    <w:rsid w:val="2B2067D5"/>
    <w:rsid w:val="2B277B63"/>
    <w:rsid w:val="2B2C172A"/>
    <w:rsid w:val="2B2D2CA0"/>
    <w:rsid w:val="2B3109E2"/>
    <w:rsid w:val="2B375A80"/>
    <w:rsid w:val="2B421E23"/>
    <w:rsid w:val="2B4326B6"/>
    <w:rsid w:val="2B5618EA"/>
    <w:rsid w:val="2B5D4325"/>
    <w:rsid w:val="2B5E554F"/>
    <w:rsid w:val="2B620B9B"/>
    <w:rsid w:val="2B630856"/>
    <w:rsid w:val="2B6A60AE"/>
    <w:rsid w:val="2B6F0284"/>
    <w:rsid w:val="2B747BBA"/>
    <w:rsid w:val="2B801021"/>
    <w:rsid w:val="2B8A1EA0"/>
    <w:rsid w:val="2B971695"/>
    <w:rsid w:val="2B976789"/>
    <w:rsid w:val="2B9F0531"/>
    <w:rsid w:val="2B9F27E9"/>
    <w:rsid w:val="2B9F77CC"/>
    <w:rsid w:val="2BAE0029"/>
    <w:rsid w:val="2BAE3DE1"/>
    <w:rsid w:val="2BB12FF2"/>
    <w:rsid w:val="2BB60EE7"/>
    <w:rsid w:val="2BC3094D"/>
    <w:rsid w:val="2BC73198"/>
    <w:rsid w:val="2BDA3FB6"/>
    <w:rsid w:val="2BDD3EDF"/>
    <w:rsid w:val="2BDD46C6"/>
    <w:rsid w:val="2BDF6BED"/>
    <w:rsid w:val="2BE22220"/>
    <w:rsid w:val="2BE41656"/>
    <w:rsid w:val="2BEF61A7"/>
    <w:rsid w:val="2C064ECB"/>
    <w:rsid w:val="2C0734F1"/>
    <w:rsid w:val="2C104E0B"/>
    <w:rsid w:val="2C155C0E"/>
    <w:rsid w:val="2C1B0FB3"/>
    <w:rsid w:val="2C230890"/>
    <w:rsid w:val="2C275E71"/>
    <w:rsid w:val="2C29790B"/>
    <w:rsid w:val="2C2C11A9"/>
    <w:rsid w:val="2C2C6236"/>
    <w:rsid w:val="2C33078A"/>
    <w:rsid w:val="2C387B4E"/>
    <w:rsid w:val="2C390A42"/>
    <w:rsid w:val="2C4732BE"/>
    <w:rsid w:val="2C4A2D94"/>
    <w:rsid w:val="2C4B7881"/>
    <w:rsid w:val="2C5A208D"/>
    <w:rsid w:val="2C5F332D"/>
    <w:rsid w:val="2C603C73"/>
    <w:rsid w:val="2C675C97"/>
    <w:rsid w:val="2C696B54"/>
    <w:rsid w:val="2C6B4044"/>
    <w:rsid w:val="2C705659"/>
    <w:rsid w:val="2C746AAE"/>
    <w:rsid w:val="2C7D2489"/>
    <w:rsid w:val="2C7E7C57"/>
    <w:rsid w:val="2C802CD4"/>
    <w:rsid w:val="2C854E8D"/>
    <w:rsid w:val="2C8B2374"/>
    <w:rsid w:val="2C9A4C4D"/>
    <w:rsid w:val="2CA90A4C"/>
    <w:rsid w:val="2CB7324A"/>
    <w:rsid w:val="2CBC077F"/>
    <w:rsid w:val="2CBF5D73"/>
    <w:rsid w:val="2CC1332A"/>
    <w:rsid w:val="2CC460EE"/>
    <w:rsid w:val="2CC55886"/>
    <w:rsid w:val="2CC94C4A"/>
    <w:rsid w:val="2CCB451E"/>
    <w:rsid w:val="2CCD4076"/>
    <w:rsid w:val="2CD31625"/>
    <w:rsid w:val="2CD60A6C"/>
    <w:rsid w:val="2CDB5B13"/>
    <w:rsid w:val="2CDC2BCF"/>
    <w:rsid w:val="2CDC7EC4"/>
    <w:rsid w:val="2CE13E0E"/>
    <w:rsid w:val="2CEB03C6"/>
    <w:rsid w:val="2CF50BA2"/>
    <w:rsid w:val="2CF55A3F"/>
    <w:rsid w:val="2D034EA5"/>
    <w:rsid w:val="2D1057CD"/>
    <w:rsid w:val="2D157E8F"/>
    <w:rsid w:val="2D2307FE"/>
    <w:rsid w:val="2D260DDF"/>
    <w:rsid w:val="2D2B7629"/>
    <w:rsid w:val="2D2D2CF0"/>
    <w:rsid w:val="2D2F7EFE"/>
    <w:rsid w:val="2D307726"/>
    <w:rsid w:val="2D3E1194"/>
    <w:rsid w:val="2D464494"/>
    <w:rsid w:val="2D525F67"/>
    <w:rsid w:val="2D5573EF"/>
    <w:rsid w:val="2D5663E5"/>
    <w:rsid w:val="2D5704A8"/>
    <w:rsid w:val="2D5B79F0"/>
    <w:rsid w:val="2D5C59D6"/>
    <w:rsid w:val="2D727090"/>
    <w:rsid w:val="2D7746A6"/>
    <w:rsid w:val="2D8172D3"/>
    <w:rsid w:val="2D852054"/>
    <w:rsid w:val="2D872595"/>
    <w:rsid w:val="2D8D7A26"/>
    <w:rsid w:val="2D9066E8"/>
    <w:rsid w:val="2D980FF2"/>
    <w:rsid w:val="2D9D3677"/>
    <w:rsid w:val="2DA239F0"/>
    <w:rsid w:val="2DA52FC1"/>
    <w:rsid w:val="2DAB444D"/>
    <w:rsid w:val="2DAD00C8"/>
    <w:rsid w:val="2DB245D8"/>
    <w:rsid w:val="2DB6793F"/>
    <w:rsid w:val="2DB96B52"/>
    <w:rsid w:val="2DBB4593"/>
    <w:rsid w:val="2DC0323D"/>
    <w:rsid w:val="2DC0604D"/>
    <w:rsid w:val="2DC378EB"/>
    <w:rsid w:val="2DC45B3D"/>
    <w:rsid w:val="2DC515B0"/>
    <w:rsid w:val="2DC729FE"/>
    <w:rsid w:val="2DC77DCA"/>
    <w:rsid w:val="2DCD403A"/>
    <w:rsid w:val="2DE63220"/>
    <w:rsid w:val="2DEA387E"/>
    <w:rsid w:val="2DEF4B7B"/>
    <w:rsid w:val="2DF552BE"/>
    <w:rsid w:val="2DFB0D3B"/>
    <w:rsid w:val="2DFE297D"/>
    <w:rsid w:val="2E0208DD"/>
    <w:rsid w:val="2E073CE1"/>
    <w:rsid w:val="2E0A444D"/>
    <w:rsid w:val="2E0C6AD8"/>
    <w:rsid w:val="2E0E2DE1"/>
    <w:rsid w:val="2E114AFB"/>
    <w:rsid w:val="2E1344DC"/>
    <w:rsid w:val="2E20085E"/>
    <w:rsid w:val="2E234885"/>
    <w:rsid w:val="2E286A42"/>
    <w:rsid w:val="2E426A62"/>
    <w:rsid w:val="2E472DE0"/>
    <w:rsid w:val="2E4E18AB"/>
    <w:rsid w:val="2E5311BD"/>
    <w:rsid w:val="2E55192F"/>
    <w:rsid w:val="2E596761"/>
    <w:rsid w:val="2E5A3DAC"/>
    <w:rsid w:val="2E5A5828"/>
    <w:rsid w:val="2E6021BF"/>
    <w:rsid w:val="2E607A11"/>
    <w:rsid w:val="2E69625B"/>
    <w:rsid w:val="2E7133BC"/>
    <w:rsid w:val="2E76348A"/>
    <w:rsid w:val="2E7D18A1"/>
    <w:rsid w:val="2E7E255B"/>
    <w:rsid w:val="2E7F3812"/>
    <w:rsid w:val="2E8B0409"/>
    <w:rsid w:val="2E903C71"/>
    <w:rsid w:val="2E9E2638"/>
    <w:rsid w:val="2EA446A8"/>
    <w:rsid w:val="2EB01C1E"/>
    <w:rsid w:val="2EB46A04"/>
    <w:rsid w:val="2EB711FE"/>
    <w:rsid w:val="2ECD362D"/>
    <w:rsid w:val="2ED90510"/>
    <w:rsid w:val="2EE20771"/>
    <w:rsid w:val="2EE21ADE"/>
    <w:rsid w:val="2EE962FC"/>
    <w:rsid w:val="2EEC01FD"/>
    <w:rsid w:val="2EED0359"/>
    <w:rsid w:val="2EF22236"/>
    <w:rsid w:val="2EF266DA"/>
    <w:rsid w:val="2EF37D5C"/>
    <w:rsid w:val="2EFC4E63"/>
    <w:rsid w:val="2F014B01"/>
    <w:rsid w:val="2F0247C0"/>
    <w:rsid w:val="2F0A1F46"/>
    <w:rsid w:val="2F0B32F8"/>
    <w:rsid w:val="2F0C63BC"/>
    <w:rsid w:val="2F141D40"/>
    <w:rsid w:val="2F191A56"/>
    <w:rsid w:val="2F1C3757"/>
    <w:rsid w:val="2F21503B"/>
    <w:rsid w:val="2F257C3B"/>
    <w:rsid w:val="2F363DB4"/>
    <w:rsid w:val="2F3960B7"/>
    <w:rsid w:val="2F446CE9"/>
    <w:rsid w:val="2F4A0744"/>
    <w:rsid w:val="2F516105"/>
    <w:rsid w:val="2F533148"/>
    <w:rsid w:val="2F5F18FF"/>
    <w:rsid w:val="2F6A03D2"/>
    <w:rsid w:val="2F723377"/>
    <w:rsid w:val="2F776BDF"/>
    <w:rsid w:val="2F787D25"/>
    <w:rsid w:val="2F7D09D9"/>
    <w:rsid w:val="2F8A246F"/>
    <w:rsid w:val="2F9316C0"/>
    <w:rsid w:val="2F962126"/>
    <w:rsid w:val="2F9966D9"/>
    <w:rsid w:val="2F9E1DDD"/>
    <w:rsid w:val="2FA26362"/>
    <w:rsid w:val="2FB62D97"/>
    <w:rsid w:val="2FBA48F0"/>
    <w:rsid w:val="2FC10CAA"/>
    <w:rsid w:val="2FC242FE"/>
    <w:rsid w:val="2FD054DB"/>
    <w:rsid w:val="2FD271D9"/>
    <w:rsid w:val="2FD42EE9"/>
    <w:rsid w:val="2FD808A9"/>
    <w:rsid w:val="2FE37DD1"/>
    <w:rsid w:val="2FF41FDE"/>
    <w:rsid w:val="2FF81E0E"/>
    <w:rsid w:val="2FFB2DCC"/>
    <w:rsid w:val="2FFD65A9"/>
    <w:rsid w:val="300E12F2"/>
    <w:rsid w:val="301B6D6D"/>
    <w:rsid w:val="301C6CAC"/>
    <w:rsid w:val="302851CF"/>
    <w:rsid w:val="30316D8E"/>
    <w:rsid w:val="30336FAA"/>
    <w:rsid w:val="303650C3"/>
    <w:rsid w:val="30367A6B"/>
    <w:rsid w:val="303A5707"/>
    <w:rsid w:val="304765B2"/>
    <w:rsid w:val="304F5466"/>
    <w:rsid w:val="30504D60"/>
    <w:rsid w:val="305553AF"/>
    <w:rsid w:val="30662EDC"/>
    <w:rsid w:val="307153DD"/>
    <w:rsid w:val="307C003B"/>
    <w:rsid w:val="30883269"/>
    <w:rsid w:val="30991074"/>
    <w:rsid w:val="30C23E8A"/>
    <w:rsid w:val="30C9346B"/>
    <w:rsid w:val="30C95219"/>
    <w:rsid w:val="30CB2D3F"/>
    <w:rsid w:val="30CC6AB7"/>
    <w:rsid w:val="30CC6F7E"/>
    <w:rsid w:val="30D15CFE"/>
    <w:rsid w:val="30D23F36"/>
    <w:rsid w:val="30D75B88"/>
    <w:rsid w:val="30D975A1"/>
    <w:rsid w:val="30DD197C"/>
    <w:rsid w:val="30DD6F16"/>
    <w:rsid w:val="30EC0F07"/>
    <w:rsid w:val="30EE2ED1"/>
    <w:rsid w:val="30EE3F00"/>
    <w:rsid w:val="30EF1D20"/>
    <w:rsid w:val="30F13546"/>
    <w:rsid w:val="30F779FC"/>
    <w:rsid w:val="30FA12BF"/>
    <w:rsid w:val="31143443"/>
    <w:rsid w:val="31210BB1"/>
    <w:rsid w:val="312E5247"/>
    <w:rsid w:val="3134032E"/>
    <w:rsid w:val="31363E4E"/>
    <w:rsid w:val="3138414C"/>
    <w:rsid w:val="313A6116"/>
    <w:rsid w:val="313B179E"/>
    <w:rsid w:val="314A7BDF"/>
    <w:rsid w:val="314D409C"/>
    <w:rsid w:val="314F750B"/>
    <w:rsid w:val="315159AC"/>
    <w:rsid w:val="3153463F"/>
    <w:rsid w:val="31566970"/>
    <w:rsid w:val="31580624"/>
    <w:rsid w:val="315B5C24"/>
    <w:rsid w:val="315E7B1E"/>
    <w:rsid w:val="31731494"/>
    <w:rsid w:val="317D7EBB"/>
    <w:rsid w:val="317F6A68"/>
    <w:rsid w:val="31832E4E"/>
    <w:rsid w:val="31876369"/>
    <w:rsid w:val="318D450C"/>
    <w:rsid w:val="31903F88"/>
    <w:rsid w:val="319F0024"/>
    <w:rsid w:val="31A812D2"/>
    <w:rsid w:val="31AB2DAB"/>
    <w:rsid w:val="31B25476"/>
    <w:rsid w:val="31B71515"/>
    <w:rsid w:val="31B959C7"/>
    <w:rsid w:val="31BD4AE6"/>
    <w:rsid w:val="31BD550A"/>
    <w:rsid w:val="31C3435E"/>
    <w:rsid w:val="31CC3212"/>
    <w:rsid w:val="31CF465E"/>
    <w:rsid w:val="31D352F5"/>
    <w:rsid w:val="31D40319"/>
    <w:rsid w:val="31D65860"/>
    <w:rsid w:val="31DF2946"/>
    <w:rsid w:val="31E77E49"/>
    <w:rsid w:val="31E907E3"/>
    <w:rsid w:val="31ED3189"/>
    <w:rsid w:val="31EE10DC"/>
    <w:rsid w:val="31F27808"/>
    <w:rsid w:val="31F724B8"/>
    <w:rsid w:val="31F81AD3"/>
    <w:rsid w:val="32056724"/>
    <w:rsid w:val="32110C25"/>
    <w:rsid w:val="321142D8"/>
    <w:rsid w:val="32180050"/>
    <w:rsid w:val="321B644E"/>
    <w:rsid w:val="3221513D"/>
    <w:rsid w:val="32317484"/>
    <w:rsid w:val="323647E0"/>
    <w:rsid w:val="323808A8"/>
    <w:rsid w:val="32431AD0"/>
    <w:rsid w:val="32530340"/>
    <w:rsid w:val="325A3421"/>
    <w:rsid w:val="32607DFF"/>
    <w:rsid w:val="326501D5"/>
    <w:rsid w:val="326571C3"/>
    <w:rsid w:val="326E03CD"/>
    <w:rsid w:val="32716E51"/>
    <w:rsid w:val="32737B32"/>
    <w:rsid w:val="32754BA4"/>
    <w:rsid w:val="32793FAC"/>
    <w:rsid w:val="327A71D0"/>
    <w:rsid w:val="3282040F"/>
    <w:rsid w:val="3282531E"/>
    <w:rsid w:val="328E2CF1"/>
    <w:rsid w:val="32942563"/>
    <w:rsid w:val="32977498"/>
    <w:rsid w:val="329B2BE5"/>
    <w:rsid w:val="32A11B7A"/>
    <w:rsid w:val="32A55B5B"/>
    <w:rsid w:val="32AB22E8"/>
    <w:rsid w:val="32B04DB2"/>
    <w:rsid w:val="32C569FF"/>
    <w:rsid w:val="32CD3487"/>
    <w:rsid w:val="32CE4D68"/>
    <w:rsid w:val="32CF2B72"/>
    <w:rsid w:val="32D03638"/>
    <w:rsid w:val="32D50524"/>
    <w:rsid w:val="32E53A10"/>
    <w:rsid w:val="32EC5A11"/>
    <w:rsid w:val="32F00761"/>
    <w:rsid w:val="32F50547"/>
    <w:rsid w:val="32FA3431"/>
    <w:rsid w:val="32FC48DF"/>
    <w:rsid w:val="33062754"/>
    <w:rsid w:val="3306616E"/>
    <w:rsid w:val="330662B0"/>
    <w:rsid w:val="330C6B05"/>
    <w:rsid w:val="332350B4"/>
    <w:rsid w:val="333A389D"/>
    <w:rsid w:val="33462B51"/>
    <w:rsid w:val="33545A64"/>
    <w:rsid w:val="336F3663"/>
    <w:rsid w:val="337554A3"/>
    <w:rsid w:val="337B0E24"/>
    <w:rsid w:val="33822298"/>
    <w:rsid w:val="338401D6"/>
    <w:rsid w:val="338720F9"/>
    <w:rsid w:val="33891219"/>
    <w:rsid w:val="338C030E"/>
    <w:rsid w:val="33925D96"/>
    <w:rsid w:val="33A45AC9"/>
    <w:rsid w:val="33A51F6D"/>
    <w:rsid w:val="33B053AF"/>
    <w:rsid w:val="33B314A9"/>
    <w:rsid w:val="33B43F5E"/>
    <w:rsid w:val="33B7681F"/>
    <w:rsid w:val="33C0222F"/>
    <w:rsid w:val="33C61EE3"/>
    <w:rsid w:val="33CA4D76"/>
    <w:rsid w:val="33CF5015"/>
    <w:rsid w:val="33D041B0"/>
    <w:rsid w:val="33D34C0B"/>
    <w:rsid w:val="33D62126"/>
    <w:rsid w:val="33E011C1"/>
    <w:rsid w:val="33E0347F"/>
    <w:rsid w:val="33E16D1D"/>
    <w:rsid w:val="33F95E15"/>
    <w:rsid w:val="34091EBE"/>
    <w:rsid w:val="34094833"/>
    <w:rsid w:val="34162F23"/>
    <w:rsid w:val="341A5D77"/>
    <w:rsid w:val="34210CAE"/>
    <w:rsid w:val="342B1D46"/>
    <w:rsid w:val="343A1627"/>
    <w:rsid w:val="344008D1"/>
    <w:rsid w:val="344572AC"/>
    <w:rsid w:val="34495444"/>
    <w:rsid w:val="345E1E65"/>
    <w:rsid w:val="3465632F"/>
    <w:rsid w:val="347436ED"/>
    <w:rsid w:val="348002E4"/>
    <w:rsid w:val="34802708"/>
    <w:rsid w:val="3482348D"/>
    <w:rsid w:val="34847DD4"/>
    <w:rsid w:val="3485461B"/>
    <w:rsid w:val="34925255"/>
    <w:rsid w:val="349721D9"/>
    <w:rsid w:val="349B4A38"/>
    <w:rsid w:val="349D69F2"/>
    <w:rsid w:val="34AA710F"/>
    <w:rsid w:val="34BE489F"/>
    <w:rsid w:val="34C5219B"/>
    <w:rsid w:val="34CA77B1"/>
    <w:rsid w:val="34D10B40"/>
    <w:rsid w:val="34D52F4E"/>
    <w:rsid w:val="34D661A3"/>
    <w:rsid w:val="34D7676C"/>
    <w:rsid w:val="34D81ECE"/>
    <w:rsid w:val="34EB2CDD"/>
    <w:rsid w:val="34EB7302"/>
    <w:rsid w:val="34EC2EB9"/>
    <w:rsid w:val="34EE524E"/>
    <w:rsid w:val="34EE74E4"/>
    <w:rsid w:val="34F42CFD"/>
    <w:rsid w:val="35002E80"/>
    <w:rsid w:val="3504664D"/>
    <w:rsid w:val="350F40EB"/>
    <w:rsid w:val="35156C7E"/>
    <w:rsid w:val="351849C1"/>
    <w:rsid w:val="351E091F"/>
    <w:rsid w:val="351F0FAC"/>
    <w:rsid w:val="35210197"/>
    <w:rsid w:val="35285CBC"/>
    <w:rsid w:val="352A4256"/>
    <w:rsid w:val="353D61D5"/>
    <w:rsid w:val="3542559A"/>
    <w:rsid w:val="35431424"/>
    <w:rsid w:val="354715B6"/>
    <w:rsid w:val="35474AB0"/>
    <w:rsid w:val="3547515D"/>
    <w:rsid w:val="35480CF6"/>
    <w:rsid w:val="354E3E1E"/>
    <w:rsid w:val="3553332C"/>
    <w:rsid w:val="355D069A"/>
    <w:rsid w:val="35637382"/>
    <w:rsid w:val="35646B82"/>
    <w:rsid w:val="356B50D9"/>
    <w:rsid w:val="356C58AD"/>
    <w:rsid w:val="357065AB"/>
    <w:rsid w:val="35774AB9"/>
    <w:rsid w:val="357E2A76"/>
    <w:rsid w:val="358335C2"/>
    <w:rsid w:val="3587366D"/>
    <w:rsid w:val="359326C7"/>
    <w:rsid w:val="359F29EC"/>
    <w:rsid w:val="35A16F73"/>
    <w:rsid w:val="35A3641B"/>
    <w:rsid w:val="35A41DB0"/>
    <w:rsid w:val="35A46254"/>
    <w:rsid w:val="35A470AE"/>
    <w:rsid w:val="35B277CF"/>
    <w:rsid w:val="35B33B03"/>
    <w:rsid w:val="35BA5E1A"/>
    <w:rsid w:val="35C366DA"/>
    <w:rsid w:val="35C84690"/>
    <w:rsid w:val="35CA7988"/>
    <w:rsid w:val="35E47D46"/>
    <w:rsid w:val="35ED6B48"/>
    <w:rsid w:val="35F211FB"/>
    <w:rsid w:val="35F45E8B"/>
    <w:rsid w:val="35FB5B03"/>
    <w:rsid w:val="361707D4"/>
    <w:rsid w:val="36174C78"/>
    <w:rsid w:val="36241293"/>
    <w:rsid w:val="36257395"/>
    <w:rsid w:val="36411F77"/>
    <w:rsid w:val="36583083"/>
    <w:rsid w:val="365A33B7"/>
    <w:rsid w:val="365E68AB"/>
    <w:rsid w:val="36602341"/>
    <w:rsid w:val="366830F8"/>
    <w:rsid w:val="366D23E9"/>
    <w:rsid w:val="366E276C"/>
    <w:rsid w:val="36703A01"/>
    <w:rsid w:val="3673370D"/>
    <w:rsid w:val="36755FDE"/>
    <w:rsid w:val="36832A4B"/>
    <w:rsid w:val="368340BC"/>
    <w:rsid w:val="36881445"/>
    <w:rsid w:val="368A292D"/>
    <w:rsid w:val="368A594B"/>
    <w:rsid w:val="368A71F8"/>
    <w:rsid w:val="368C1783"/>
    <w:rsid w:val="368F7238"/>
    <w:rsid w:val="36932551"/>
    <w:rsid w:val="36AA4451"/>
    <w:rsid w:val="36B008D8"/>
    <w:rsid w:val="36B027E6"/>
    <w:rsid w:val="36B10C29"/>
    <w:rsid w:val="36B7627B"/>
    <w:rsid w:val="36B83D65"/>
    <w:rsid w:val="36BB1AA7"/>
    <w:rsid w:val="36BC2851"/>
    <w:rsid w:val="36C95F72"/>
    <w:rsid w:val="36D13079"/>
    <w:rsid w:val="36D7150B"/>
    <w:rsid w:val="36D96DD9"/>
    <w:rsid w:val="36E268CF"/>
    <w:rsid w:val="36E66C40"/>
    <w:rsid w:val="36F10990"/>
    <w:rsid w:val="37030298"/>
    <w:rsid w:val="370D26A3"/>
    <w:rsid w:val="37201095"/>
    <w:rsid w:val="372235BD"/>
    <w:rsid w:val="37227431"/>
    <w:rsid w:val="37252C7D"/>
    <w:rsid w:val="373309DC"/>
    <w:rsid w:val="373C4996"/>
    <w:rsid w:val="37427AD3"/>
    <w:rsid w:val="374C2271"/>
    <w:rsid w:val="37520247"/>
    <w:rsid w:val="37557806"/>
    <w:rsid w:val="375665FE"/>
    <w:rsid w:val="376215F9"/>
    <w:rsid w:val="376C68FE"/>
    <w:rsid w:val="376E70A4"/>
    <w:rsid w:val="37753A04"/>
    <w:rsid w:val="377719EF"/>
    <w:rsid w:val="377C1237"/>
    <w:rsid w:val="378679C0"/>
    <w:rsid w:val="37885B03"/>
    <w:rsid w:val="37887BDC"/>
    <w:rsid w:val="379A16BD"/>
    <w:rsid w:val="37A3555E"/>
    <w:rsid w:val="37A434A3"/>
    <w:rsid w:val="37A920BC"/>
    <w:rsid w:val="37AC7AD3"/>
    <w:rsid w:val="37AE6CFD"/>
    <w:rsid w:val="37B01116"/>
    <w:rsid w:val="37C4498C"/>
    <w:rsid w:val="37C5495D"/>
    <w:rsid w:val="37DF02D1"/>
    <w:rsid w:val="37E341DA"/>
    <w:rsid w:val="37EA43F2"/>
    <w:rsid w:val="37EC117D"/>
    <w:rsid w:val="37EC5F7B"/>
    <w:rsid w:val="37F0694A"/>
    <w:rsid w:val="37F14165"/>
    <w:rsid w:val="37FE1C4C"/>
    <w:rsid w:val="380600E0"/>
    <w:rsid w:val="380C7EA0"/>
    <w:rsid w:val="381257AF"/>
    <w:rsid w:val="381450F7"/>
    <w:rsid w:val="381A7091"/>
    <w:rsid w:val="3824244F"/>
    <w:rsid w:val="38276324"/>
    <w:rsid w:val="382947EF"/>
    <w:rsid w:val="38334DFF"/>
    <w:rsid w:val="3837600C"/>
    <w:rsid w:val="38433B03"/>
    <w:rsid w:val="38441E4A"/>
    <w:rsid w:val="38581D94"/>
    <w:rsid w:val="38626FDD"/>
    <w:rsid w:val="38635F53"/>
    <w:rsid w:val="386C12AB"/>
    <w:rsid w:val="38703520"/>
    <w:rsid w:val="387442BD"/>
    <w:rsid w:val="387A5AF6"/>
    <w:rsid w:val="387A74C6"/>
    <w:rsid w:val="387E2D8D"/>
    <w:rsid w:val="387E4B3B"/>
    <w:rsid w:val="38824FEC"/>
    <w:rsid w:val="388365F5"/>
    <w:rsid w:val="389B74EC"/>
    <w:rsid w:val="389E342F"/>
    <w:rsid w:val="38A2163C"/>
    <w:rsid w:val="38B10CD7"/>
    <w:rsid w:val="38B371E2"/>
    <w:rsid w:val="38B43B03"/>
    <w:rsid w:val="38BC484B"/>
    <w:rsid w:val="38BF1A11"/>
    <w:rsid w:val="38C01848"/>
    <w:rsid w:val="38C21810"/>
    <w:rsid w:val="38D8647F"/>
    <w:rsid w:val="38DD7AB3"/>
    <w:rsid w:val="38E758FC"/>
    <w:rsid w:val="38ED6A84"/>
    <w:rsid w:val="38F51C6A"/>
    <w:rsid w:val="38FE486E"/>
    <w:rsid w:val="390115DC"/>
    <w:rsid w:val="390C3ED7"/>
    <w:rsid w:val="39111C5F"/>
    <w:rsid w:val="39142431"/>
    <w:rsid w:val="3914549F"/>
    <w:rsid w:val="39186D3D"/>
    <w:rsid w:val="391D656B"/>
    <w:rsid w:val="39204A69"/>
    <w:rsid w:val="39227BBC"/>
    <w:rsid w:val="392C7748"/>
    <w:rsid w:val="39317DFF"/>
    <w:rsid w:val="39391637"/>
    <w:rsid w:val="393A67E2"/>
    <w:rsid w:val="394B5125"/>
    <w:rsid w:val="39535396"/>
    <w:rsid w:val="3961677A"/>
    <w:rsid w:val="39640917"/>
    <w:rsid w:val="39651C68"/>
    <w:rsid w:val="396C6F56"/>
    <w:rsid w:val="398828FC"/>
    <w:rsid w:val="39985DC1"/>
    <w:rsid w:val="399E7355"/>
    <w:rsid w:val="39B12CEE"/>
    <w:rsid w:val="39B13948"/>
    <w:rsid w:val="39BA4298"/>
    <w:rsid w:val="39BD24A1"/>
    <w:rsid w:val="39C42A21"/>
    <w:rsid w:val="39C84BD3"/>
    <w:rsid w:val="39CD7B28"/>
    <w:rsid w:val="39D23088"/>
    <w:rsid w:val="39D23C11"/>
    <w:rsid w:val="39D63BC2"/>
    <w:rsid w:val="39E92488"/>
    <w:rsid w:val="39EC3D26"/>
    <w:rsid w:val="39ED1F78"/>
    <w:rsid w:val="39F03816"/>
    <w:rsid w:val="39F24786"/>
    <w:rsid w:val="39FD5F33"/>
    <w:rsid w:val="3A0215EB"/>
    <w:rsid w:val="3A0B4AF4"/>
    <w:rsid w:val="3A0D1341"/>
    <w:rsid w:val="3A19697C"/>
    <w:rsid w:val="3A221A8C"/>
    <w:rsid w:val="3A241712"/>
    <w:rsid w:val="3A275664"/>
    <w:rsid w:val="3A296A5E"/>
    <w:rsid w:val="3A396F6B"/>
    <w:rsid w:val="3A483652"/>
    <w:rsid w:val="3A4B6EC2"/>
    <w:rsid w:val="3A555D6F"/>
    <w:rsid w:val="3A672285"/>
    <w:rsid w:val="3A72247D"/>
    <w:rsid w:val="3A73258B"/>
    <w:rsid w:val="3A740FA3"/>
    <w:rsid w:val="3A744447"/>
    <w:rsid w:val="3A773F37"/>
    <w:rsid w:val="3A94332A"/>
    <w:rsid w:val="3A951A32"/>
    <w:rsid w:val="3A9A69CA"/>
    <w:rsid w:val="3AAD1707"/>
    <w:rsid w:val="3AAD73C8"/>
    <w:rsid w:val="3AB65411"/>
    <w:rsid w:val="3AB7338B"/>
    <w:rsid w:val="3ABB4F90"/>
    <w:rsid w:val="3AC54CA3"/>
    <w:rsid w:val="3AD06FC2"/>
    <w:rsid w:val="3ADF71D3"/>
    <w:rsid w:val="3AF60C85"/>
    <w:rsid w:val="3AFC1592"/>
    <w:rsid w:val="3B0A473E"/>
    <w:rsid w:val="3B0B3494"/>
    <w:rsid w:val="3B0B50DD"/>
    <w:rsid w:val="3B0C4DA2"/>
    <w:rsid w:val="3B0F4170"/>
    <w:rsid w:val="3B174F09"/>
    <w:rsid w:val="3B176016"/>
    <w:rsid w:val="3B2641D4"/>
    <w:rsid w:val="3B3132FD"/>
    <w:rsid w:val="3B421FAF"/>
    <w:rsid w:val="3B424B80"/>
    <w:rsid w:val="3B4267A7"/>
    <w:rsid w:val="3B48382E"/>
    <w:rsid w:val="3B5851E9"/>
    <w:rsid w:val="3B5A1C91"/>
    <w:rsid w:val="3B5B61CE"/>
    <w:rsid w:val="3B5C7645"/>
    <w:rsid w:val="3B5E3238"/>
    <w:rsid w:val="3B5F38BE"/>
    <w:rsid w:val="3B621C43"/>
    <w:rsid w:val="3B707C26"/>
    <w:rsid w:val="3B794422"/>
    <w:rsid w:val="3B7C212C"/>
    <w:rsid w:val="3B892174"/>
    <w:rsid w:val="3B8C756F"/>
    <w:rsid w:val="3BA35A50"/>
    <w:rsid w:val="3BB23E5F"/>
    <w:rsid w:val="3BB4181B"/>
    <w:rsid w:val="3BB7024A"/>
    <w:rsid w:val="3BC7691B"/>
    <w:rsid w:val="3BDA4E51"/>
    <w:rsid w:val="3BDB2906"/>
    <w:rsid w:val="3BEC3676"/>
    <w:rsid w:val="3BEE0229"/>
    <w:rsid w:val="3BEF7DD6"/>
    <w:rsid w:val="3BF66E77"/>
    <w:rsid w:val="3BF82EB3"/>
    <w:rsid w:val="3BFB035A"/>
    <w:rsid w:val="3C0165D0"/>
    <w:rsid w:val="3C0D1A01"/>
    <w:rsid w:val="3C1832DF"/>
    <w:rsid w:val="3C1D7D04"/>
    <w:rsid w:val="3C24099A"/>
    <w:rsid w:val="3C291261"/>
    <w:rsid w:val="3C2F4ACA"/>
    <w:rsid w:val="3C335C3C"/>
    <w:rsid w:val="3C353F33"/>
    <w:rsid w:val="3C380813"/>
    <w:rsid w:val="3C3A7F27"/>
    <w:rsid w:val="3C5C33E5"/>
    <w:rsid w:val="3C5D3C4F"/>
    <w:rsid w:val="3C5F0E2E"/>
    <w:rsid w:val="3C5F3DC8"/>
    <w:rsid w:val="3C746DFB"/>
    <w:rsid w:val="3C776471"/>
    <w:rsid w:val="3C8E046F"/>
    <w:rsid w:val="3C9E65CD"/>
    <w:rsid w:val="3CA7031E"/>
    <w:rsid w:val="3CB0571D"/>
    <w:rsid w:val="3CBA69AE"/>
    <w:rsid w:val="3CC2593E"/>
    <w:rsid w:val="3CC80A7A"/>
    <w:rsid w:val="3CCF0F6E"/>
    <w:rsid w:val="3CDA3B31"/>
    <w:rsid w:val="3CDC7007"/>
    <w:rsid w:val="3CDD5A81"/>
    <w:rsid w:val="3CE55646"/>
    <w:rsid w:val="3CFB0E50"/>
    <w:rsid w:val="3D053F24"/>
    <w:rsid w:val="3D0777F5"/>
    <w:rsid w:val="3D1230BD"/>
    <w:rsid w:val="3D136EFB"/>
    <w:rsid w:val="3D154912"/>
    <w:rsid w:val="3D1A5448"/>
    <w:rsid w:val="3D2D7B8E"/>
    <w:rsid w:val="3D2F0740"/>
    <w:rsid w:val="3D3659E4"/>
    <w:rsid w:val="3D3B124C"/>
    <w:rsid w:val="3D404AB5"/>
    <w:rsid w:val="3D464B66"/>
    <w:rsid w:val="3D474095"/>
    <w:rsid w:val="3D5A0B77"/>
    <w:rsid w:val="3D5B544A"/>
    <w:rsid w:val="3D5D7F98"/>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56115"/>
    <w:rsid w:val="3D98044D"/>
    <w:rsid w:val="3DA43295"/>
    <w:rsid w:val="3DAE7C70"/>
    <w:rsid w:val="3DB159B2"/>
    <w:rsid w:val="3DB272D8"/>
    <w:rsid w:val="3DB97E88"/>
    <w:rsid w:val="3DBC182E"/>
    <w:rsid w:val="3DBF1E7D"/>
    <w:rsid w:val="3DC079A3"/>
    <w:rsid w:val="3DC6044E"/>
    <w:rsid w:val="3DCE24ED"/>
    <w:rsid w:val="3DD376D7"/>
    <w:rsid w:val="3DDF2B68"/>
    <w:rsid w:val="3DE36705"/>
    <w:rsid w:val="3DE50366"/>
    <w:rsid w:val="3DEB1C8C"/>
    <w:rsid w:val="3DF35ACC"/>
    <w:rsid w:val="3DFF127E"/>
    <w:rsid w:val="3E014244"/>
    <w:rsid w:val="3E025620"/>
    <w:rsid w:val="3E05072E"/>
    <w:rsid w:val="3E0B2D85"/>
    <w:rsid w:val="3E16206F"/>
    <w:rsid w:val="3E277A87"/>
    <w:rsid w:val="3E29654F"/>
    <w:rsid w:val="3E2972F7"/>
    <w:rsid w:val="3E2B7513"/>
    <w:rsid w:val="3E2B7626"/>
    <w:rsid w:val="3E300685"/>
    <w:rsid w:val="3E3208A1"/>
    <w:rsid w:val="3E406979"/>
    <w:rsid w:val="3E4D29DB"/>
    <w:rsid w:val="3E506F79"/>
    <w:rsid w:val="3E5838DD"/>
    <w:rsid w:val="3E5C4AA2"/>
    <w:rsid w:val="3E602718"/>
    <w:rsid w:val="3E614CE2"/>
    <w:rsid w:val="3E7012AD"/>
    <w:rsid w:val="3E726EC9"/>
    <w:rsid w:val="3E75078E"/>
    <w:rsid w:val="3E831D52"/>
    <w:rsid w:val="3E8E326B"/>
    <w:rsid w:val="3E937A8D"/>
    <w:rsid w:val="3E951889"/>
    <w:rsid w:val="3E9629CF"/>
    <w:rsid w:val="3EA0134A"/>
    <w:rsid w:val="3EAE0324"/>
    <w:rsid w:val="3EAE208D"/>
    <w:rsid w:val="3EB158B4"/>
    <w:rsid w:val="3EB2553E"/>
    <w:rsid w:val="3EB416B5"/>
    <w:rsid w:val="3EB72B54"/>
    <w:rsid w:val="3EC3206C"/>
    <w:rsid w:val="3ECC7844"/>
    <w:rsid w:val="3ECD00BE"/>
    <w:rsid w:val="3ED96C16"/>
    <w:rsid w:val="3EDF07E5"/>
    <w:rsid w:val="3EE41BAE"/>
    <w:rsid w:val="3EE91D44"/>
    <w:rsid w:val="3EED1E62"/>
    <w:rsid w:val="3EEE2F1C"/>
    <w:rsid w:val="3EF144A0"/>
    <w:rsid w:val="3EF23B8C"/>
    <w:rsid w:val="3EF8449E"/>
    <w:rsid w:val="3EFC7DAE"/>
    <w:rsid w:val="3EFE7260"/>
    <w:rsid w:val="3F010273"/>
    <w:rsid w:val="3F096D0B"/>
    <w:rsid w:val="3F0B7179"/>
    <w:rsid w:val="3F151574"/>
    <w:rsid w:val="3F163D1F"/>
    <w:rsid w:val="3F180FBB"/>
    <w:rsid w:val="3F1E4289"/>
    <w:rsid w:val="3F251D7D"/>
    <w:rsid w:val="3F2E1312"/>
    <w:rsid w:val="3F3225D2"/>
    <w:rsid w:val="3F42218F"/>
    <w:rsid w:val="3F481599"/>
    <w:rsid w:val="3F4A628E"/>
    <w:rsid w:val="3F514B2D"/>
    <w:rsid w:val="3F557260"/>
    <w:rsid w:val="3F5D1B7A"/>
    <w:rsid w:val="3F60523E"/>
    <w:rsid w:val="3F667372"/>
    <w:rsid w:val="3F6727CC"/>
    <w:rsid w:val="3F6759F5"/>
    <w:rsid w:val="3F6D115F"/>
    <w:rsid w:val="3F724CCD"/>
    <w:rsid w:val="3F7377B0"/>
    <w:rsid w:val="3F7C5873"/>
    <w:rsid w:val="3F8B74A4"/>
    <w:rsid w:val="3F927221"/>
    <w:rsid w:val="3F93128E"/>
    <w:rsid w:val="3F9335C1"/>
    <w:rsid w:val="3F984120"/>
    <w:rsid w:val="3FA540B0"/>
    <w:rsid w:val="3FA541A9"/>
    <w:rsid w:val="3FB53538"/>
    <w:rsid w:val="3FB672B0"/>
    <w:rsid w:val="3FB776F5"/>
    <w:rsid w:val="3FEE76F8"/>
    <w:rsid w:val="400310D8"/>
    <w:rsid w:val="40041DC9"/>
    <w:rsid w:val="40086AA5"/>
    <w:rsid w:val="400B22C6"/>
    <w:rsid w:val="400B2990"/>
    <w:rsid w:val="400E0E9A"/>
    <w:rsid w:val="400E2C48"/>
    <w:rsid w:val="4014562F"/>
    <w:rsid w:val="401D24AF"/>
    <w:rsid w:val="402C78D5"/>
    <w:rsid w:val="40307BC9"/>
    <w:rsid w:val="40356427"/>
    <w:rsid w:val="403A0A27"/>
    <w:rsid w:val="403D28E3"/>
    <w:rsid w:val="403F5E49"/>
    <w:rsid w:val="40430493"/>
    <w:rsid w:val="4048768D"/>
    <w:rsid w:val="404B17A6"/>
    <w:rsid w:val="404D19C2"/>
    <w:rsid w:val="40564EE7"/>
    <w:rsid w:val="405A0CFC"/>
    <w:rsid w:val="405E5CCB"/>
    <w:rsid w:val="405F7B24"/>
    <w:rsid w:val="4068042A"/>
    <w:rsid w:val="406E3D2B"/>
    <w:rsid w:val="40714172"/>
    <w:rsid w:val="407F661D"/>
    <w:rsid w:val="408245ED"/>
    <w:rsid w:val="40864295"/>
    <w:rsid w:val="40917B26"/>
    <w:rsid w:val="40926379"/>
    <w:rsid w:val="40926E09"/>
    <w:rsid w:val="409F45CB"/>
    <w:rsid w:val="40AC7A1C"/>
    <w:rsid w:val="40B557B9"/>
    <w:rsid w:val="40B86E7B"/>
    <w:rsid w:val="40B90E06"/>
    <w:rsid w:val="40B94B83"/>
    <w:rsid w:val="40BE466E"/>
    <w:rsid w:val="40C319E2"/>
    <w:rsid w:val="40CD00BD"/>
    <w:rsid w:val="40CD4ED1"/>
    <w:rsid w:val="40D12495"/>
    <w:rsid w:val="40DC0019"/>
    <w:rsid w:val="40E31DD5"/>
    <w:rsid w:val="40E65224"/>
    <w:rsid w:val="40E85247"/>
    <w:rsid w:val="40EC27D7"/>
    <w:rsid w:val="40EF2A79"/>
    <w:rsid w:val="410C127B"/>
    <w:rsid w:val="410C5573"/>
    <w:rsid w:val="410D73A4"/>
    <w:rsid w:val="41196606"/>
    <w:rsid w:val="411E6EBB"/>
    <w:rsid w:val="41242B9C"/>
    <w:rsid w:val="412A1D04"/>
    <w:rsid w:val="413466DE"/>
    <w:rsid w:val="41474664"/>
    <w:rsid w:val="41523008"/>
    <w:rsid w:val="415437EE"/>
    <w:rsid w:val="41546B10"/>
    <w:rsid w:val="41562AF9"/>
    <w:rsid w:val="41616C71"/>
    <w:rsid w:val="41624E29"/>
    <w:rsid w:val="41676221"/>
    <w:rsid w:val="416C40CA"/>
    <w:rsid w:val="4175673C"/>
    <w:rsid w:val="417B1ADC"/>
    <w:rsid w:val="418238EE"/>
    <w:rsid w:val="41831414"/>
    <w:rsid w:val="418365EE"/>
    <w:rsid w:val="418401AA"/>
    <w:rsid w:val="418D20C9"/>
    <w:rsid w:val="419867DB"/>
    <w:rsid w:val="419D4283"/>
    <w:rsid w:val="41A51BAC"/>
    <w:rsid w:val="41B17F29"/>
    <w:rsid w:val="41B3338B"/>
    <w:rsid w:val="41B501A4"/>
    <w:rsid w:val="41B8730F"/>
    <w:rsid w:val="41BF3BD9"/>
    <w:rsid w:val="41BF4A91"/>
    <w:rsid w:val="41CB3D94"/>
    <w:rsid w:val="41D13F2D"/>
    <w:rsid w:val="41D614EA"/>
    <w:rsid w:val="41D7554B"/>
    <w:rsid w:val="41DC36BB"/>
    <w:rsid w:val="41F51BC5"/>
    <w:rsid w:val="41FA3484"/>
    <w:rsid w:val="41FB0356"/>
    <w:rsid w:val="42022339"/>
    <w:rsid w:val="42132FE7"/>
    <w:rsid w:val="42137006"/>
    <w:rsid w:val="421729DE"/>
    <w:rsid w:val="421A7082"/>
    <w:rsid w:val="421B648D"/>
    <w:rsid w:val="4220550C"/>
    <w:rsid w:val="4220623E"/>
    <w:rsid w:val="4226071D"/>
    <w:rsid w:val="42330CE7"/>
    <w:rsid w:val="423821FE"/>
    <w:rsid w:val="424C4C09"/>
    <w:rsid w:val="4254392F"/>
    <w:rsid w:val="425B768F"/>
    <w:rsid w:val="426B720D"/>
    <w:rsid w:val="42701998"/>
    <w:rsid w:val="427C4932"/>
    <w:rsid w:val="428321EF"/>
    <w:rsid w:val="4286740D"/>
    <w:rsid w:val="42892644"/>
    <w:rsid w:val="428A159C"/>
    <w:rsid w:val="428A7B32"/>
    <w:rsid w:val="429A7093"/>
    <w:rsid w:val="42A75C3F"/>
    <w:rsid w:val="42A76B06"/>
    <w:rsid w:val="42A93909"/>
    <w:rsid w:val="42AD52B2"/>
    <w:rsid w:val="42B32AAD"/>
    <w:rsid w:val="42B71734"/>
    <w:rsid w:val="42B86941"/>
    <w:rsid w:val="42BC698B"/>
    <w:rsid w:val="42BF195C"/>
    <w:rsid w:val="42CC3DFF"/>
    <w:rsid w:val="42D02437"/>
    <w:rsid w:val="42D40179"/>
    <w:rsid w:val="42D737C5"/>
    <w:rsid w:val="42DC7863"/>
    <w:rsid w:val="42E42D48"/>
    <w:rsid w:val="42E83C24"/>
    <w:rsid w:val="42F81366"/>
    <w:rsid w:val="430A7047"/>
    <w:rsid w:val="431920F3"/>
    <w:rsid w:val="431A3863"/>
    <w:rsid w:val="43223EC8"/>
    <w:rsid w:val="4329362C"/>
    <w:rsid w:val="433160C7"/>
    <w:rsid w:val="43317379"/>
    <w:rsid w:val="43397DE8"/>
    <w:rsid w:val="43410F50"/>
    <w:rsid w:val="4341198E"/>
    <w:rsid w:val="43452E25"/>
    <w:rsid w:val="434E1DB1"/>
    <w:rsid w:val="43536554"/>
    <w:rsid w:val="43537B5E"/>
    <w:rsid w:val="43556CA5"/>
    <w:rsid w:val="4356618F"/>
    <w:rsid w:val="436C76AE"/>
    <w:rsid w:val="43710B5F"/>
    <w:rsid w:val="437F411E"/>
    <w:rsid w:val="43853221"/>
    <w:rsid w:val="43864C8C"/>
    <w:rsid w:val="438A541B"/>
    <w:rsid w:val="438F7452"/>
    <w:rsid w:val="43903286"/>
    <w:rsid w:val="43972F54"/>
    <w:rsid w:val="43A32A80"/>
    <w:rsid w:val="43AA2D86"/>
    <w:rsid w:val="43AD1BA2"/>
    <w:rsid w:val="43B03AF0"/>
    <w:rsid w:val="43BA62BC"/>
    <w:rsid w:val="43C43746"/>
    <w:rsid w:val="43CF7D82"/>
    <w:rsid w:val="43D16C6D"/>
    <w:rsid w:val="43E02682"/>
    <w:rsid w:val="43E85F2B"/>
    <w:rsid w:val="43F30C80"/>
    <w:rsid w:val="43F45810"/>
    <w:rsid w:val="43F477B8"/>
    <w:rsid w:val="43F6778C"/>
    <w:rsid w:val="43F955DA"/>
    <w:rsid w:val="440452E5"/>
    <w:rsid w:val="440933B5"/>
    <w:rsid w:val="440F117C"/>
    <w:rsid w:val="44246EDE"/>
    <w:rsid w:val="4439400C"/>
    <w:rsid w:val="443F79A1"/>
    <w:rsid w:val="44410337"/>
    <w:rsid w:val="444C0775"/>
    <w:rsid w:val="446B0669"/>
    <w:rsid w:val="44727C49"/>
    <w:rsid w:val="44776BD6"/>
    <w:rsid w:val="447A5F85"/>
    <w:rsid w:val="44801914"/>
    <w:rsid w:val="44855C27"/>
    <w:rsid w:val="448E6105"/>
    <w:rsid w:val="4491249F"/>
    <w:rsid w:val="44917E58"/>
    <w:rsid w:val="449A7A08"/>
    <w:rsid w:val="44A26055"/>
    <w:rsid w:val="44B00772"/>
    <w:rsid w:val="44B71B00"/>
    <w:rsid w:val="44B94074"/>
    <w:rsid w:val="44CC3666"/>
    <w:rsid w:val="44DE0812"/>
    <w:rsid w:val="44EB114B"/>
    <w:rsid w:val="44EB7ADD"/>
    <w:rsid w:val="44F10492"/>
    <w:rsid w:val="44F370A9"/>
    <w:rsid w:val="44F468B0"/>
    <w:rsid w:val="44F6398F"/>
    <w:rsid w:val="44FC7513"/>
    <w:rsid w:val="44FD328B"/>
    <w:rsid w:val="4508410A"/>
    <w:rsid w:val="450B1B4F"/>
    <w:rsid w:val="45101210"/>
    <w:rsid w:val="45121B01"/>
    <w:rsid w:val="45144E13"/>
    <w:rsid w:val="45154A79"/>
    <w:rsid w:val="451E1B7F"/>
    <w:rsid w:val="451F4814"/>
    <w:rsid w:val="45322415"/>
    <w:rsid w:val="45343151"/>
    <w:rsid w:val="453D27DA"/>
    <w:rsid w:val="453F6E28"/>
    <w:rsid w:val="45565EE6"/>
    <w:rsid w:val="45566CB6"/>
    <w:rsid w:val="45585EFE"/>
    <w:rsid w:val="45612761"/>
    <w:rsid w:val="4564617E"/>
    <w:rsid w:val="456926CF"/>
    <w:rsid w:val="456D298D"/>
    <w:rsid w:val="456F4189"/>
    <w:rsid w:val="456F5F37"/>
    <w:rsid w:val="45715A81"/>
    <w:rsid w:val="458F0387"/>
    <w:rsid w:val="458F3DA1"/>
    <w:rsid w:val="45912351"/>
    <w:rsid w:val="45943BEF"/>
    <w:rsid w:val="45957044"/>
    <w:rsid w:val="45962409"/>
    <w:rsid w:val="45965BB9"/>
    <w:rsid w:val="45981F3C"/>
    <w:rsid w:val="45991206"/>
    <w:rsid w:val="45997458"/>
    <w:rsid w:val="459B5059"/>
    <w:rsid w:val="45A03F59"/>
    <w:rsid w:val="45A831F7"/>
    <w:rsid w:val="45B34405"/>
    <w:rsid w:val="45C07A37"/>
    <w:rsid w:val="45C85647"/>
    <w:rsid w:val="45CD7101"/>
    <w:rsid w:val="45D160A9"/>
    <w:rsid w:val="45D87924"/>
    <w:rsid w:val="45DC432E"/>
    <w:rsid w:val="45EC6CE6"/>
    <w:rsid w:val="45EE1552"/>
    <w:rsid w:val="45EE30CE"/>
    <w:rsid w:val="461D64FB"/>
    <w:rsid w:val="46274A64"/>
    <w:rsid w:val="463648E9"/>
    <w:rsid w:val="464253F9"/>
    <w:rsid w:val="46491939"/>
    <w:rsid w:val="46535859"/>
    <w:rsid w:val="46607F75"/>
    <w:rsid w:val="466247F2"/>
    <w:rsid w:val="46696E2A"/>
    <w:rsid w:val="46790ADF"/>
    <w:rsid w:val="46873754"/>
    <w:rsid w:val="468A6DA0"/>
    <w:rsid w:val="469203F9"/>
    <w:rsid w:val="46A51334"/>
    <w:rsid w:val="46A9225B"/>
    <w:rsid w:val="46AC4F69"/>
    <w:rsid w:val="46BC781A"/>
    <w:rsid w:val="46C77B24"/>
    <w:rsid w:val="46C92EF6"/>
    <w:rsid w:val="46CA5F1E"/>
    <w:rsid w:val="46CE23DF"/>
    <w:rsid w:val="46D67F50"/>
    <w:rsid w:val="46E62384"/>
    <w:rsid w:val="46E7395C"/>
    <w:rsid w:val="46F16FC5"/>
    <w:rsid w:val="46F32FC3"/>
    <w:rsid w:val="46F93FAB"/>
    <w:rsid w:val="47037071"/>
    <w:rsid w:val="4707219F"/>
    <w:rsid w:val="470E1780"/>
    <w:rsid w:val="47166879"/>
    <w:rsid w:val="471741F3"/>
    <w:rsid w:val="4717516D"/>
    <w:rsid w:val="47186BFB"/>
    <w:rsid w:val="47207C7B"/>
    <w:rsid w:val="472E6063"/>
    <w:rsid w:val="472F533E"/>
    <w:rsid w:val="4732546E"/>
    <w:rsid w:val="473731F8"/>
    <w:rsid w:val="475950F1"/>
    <w:rsid w:val="47595427"/>
    <w:rsid w:val="475A0F43"/>
    <w:rsid w:val="475E6263"/>
    <w:rsid w:val="47685B93"/>
    <w:rsid w:val="476D294A"/>
    <w:rsid w:val="477041E8"/>
    <w:rsid w:val="477261B2"/>
    <w:rsid w:val="47762884"/>
    <w:rsid w:val="478B1B1F"/>
    <w:rsid w:val="47906312"/>
    <w:rsid w:val="47A12458"/>
    <w:rsid w:val="47AE0645"/>
    <w:rsid w:val="47AE7E19"/>
    <w:rsid w:val="47B17848"/>
    <w:rsid w:val="47B9635A"/>
    <w:rsid w:val="47C46F79"/>
    <w:rsid w:val="47D1249A"/>
    <w:rsid w:val="47D14E3C"/>
    <w:rsid w:val="47E26A4A"/>
    <w:rsid w:val="47E30228"/>
    <w:rsid w:val="47E8201B"/>
    <w:rsid w:val="47FD1C99"/>
    <w:rsid w:val="481132D5"/>
    <w:rsid w:val="48151DFF"/>
    <w:rsid w:val="48177D5A"/>
    <w:rsid w:val="481E3C44"/>
    <w:rsid w:val="48230E62"/>
    <w:rsid w:val="48240F71"/>
    <w:rsid w:val="48254FD3"/>
    <w:rsid w:val="482A25E9"/>
    <w:rsid w:val="4831773D"/>
    <w:rsid w:val="48383643"/>
    <w:rsid w:val="483B2A48"/>
    <w:rsid w:val="484359E3"/>
    <w:rsid w:val="48457423"/>
    <w:rsid w:val="48463DC2"/>
    <w:rsid w:val="48482514"/>
    <w:rsid w:val="484A1B4B"/>
    <w:rsid w:val="484C255F"/>
    <w:rsid w:val="485737AE"/>
    <w:rsid w:val="48604DA3"/>
    <w:rsid w:val="486050DE"/>
    <w:rsid w:val="486176F0"/>
    <w:rsid w:val="48691363"/>
    <w:rsid w:val="48701EA5"/>
    <w:rsid w:val="48780990"/>
    <w:rsid w:val="487A6E4A"/>
    <w:rsid w:val="487F6A9B"/>
    <w:rsid w:val="4888027D"/>
    <w:rsid w:val="48947BBD"/>
    <w:rsid w:val="489850F6"/>
    <w:rsid w:val="489B27C5"/>
    <w:rsid w:val="489B34E7"/>
    <w:rsid w:val="48A25E13"/>
    <w:rsid w:val="48A71E8C"/>
    <w:rsid w:val="48AE6D76"/>
    <w:rsid w:val="48AF018B"/>
    <w:rsid w:val="48B523EF"/>
    <w:rsid w:val="48B56F6C"/>
    <w:rsid w:val="48B87AB8"/>
    <w:rsid w:val="48BB132D"/>
    <w:rsid w:val="48BC31D4"/>
    <w:rsid w:val="48BF3E0A"/>
    <w:rsid w:val="48BF5427"/>
    <w:rsid w:val="48C2431F"/>
    <w:rsid w:val="48CA52B0"/>
    <w:rsid w:val="48CB0F4F"/>
    <w:rsid w:val="48CB4577"/>
    <w:rsid w:val="48CD641C"/>
    <w:rsid w:val="48CD674E"/>
    <w:rsid w:val="48D34CEE"/>
    <w:rsid w:val="48DD3AFF"/>
    <w:rsid w:val="48DD7B03"/>
    <w:rsid w:val="48E62612"/>
    <w:rsid w:val="48E629B4"/>
    <w:rsid w:val="48E828E7"/>
    <w:rsid w:val="48EA5BC1"/>
    <w:rsid w:val="48EB4404"/>
    <w:rsid w:val="48ED0B47"/>
    <w:rsid w:val="48F212BE"/>
    <w:rsid w:val="48F22724"/>
    <w:rsid w:val="48F42E29"/>
    <w:rsid w:val="48F6071D"/>
    <w:rsid w:val="48FF3FE4"/>
    <w:rsid w:val="490648C8"/>
    <w:rsid w:val="49080B7C"/>
    <w:rsid w:val="490F1EEF"/>
    <w:rsid w:val="49180A9B"/>
    <w:rsid w:val="491C2C2F"/>
    <w:rsid w:val="491C3609"/>
    <w:rsid w:val="49276855"/>
    <w:rsid w:val="492E7EB7"/>
    <w:rsid w:val="493556E9"/>
    <w:rsid w:val="49382AE4"/>
    <w:rsid w:val="49423962"/>
    <w:rsid w:val="49482783"/>
    <w:rsid w:val="494F3168"/>
    <w:rsid w:val="49554BE1"/>
    <w:rsid w:val="49580552"/>
    <w:rsid w:val="496A6BED"/>
    <w:rsid w:val="49710949"/>
    <w:rsid w:val="49731BCB"/>
    <w:rsid w:val="497467A8"/>
    <w:rsid w:val="49811526"/>
    <w:rsid w:val="498209CF"/>
    <w:rsid w:val="49843E14"/>
    <w:rsid w:val="498A49A4"/>
    <w:rsid w:val="49AA0075"/>
    <w:rsid w:val="49B37092"/>
    <w:rsid w:val="49C65640"/>
    <w:rsid w:val="49D00DC5"/>
    <w:rsid w:val="49D97E23"/>
    <w:rsid w:val="49E30CA1"/>
    <w:rsid w:val="49E52C6C"/>
    <w:rsid w:val="49E62540"/>
    <w:rsid w:val="49EC7A1D"/>
    <w:rsid w:val="49F27137"/>
    <w:rsid w:val="49F570D9"/>
    <w:rsid w:val="49F66C27"/>
    <w:rsid w:val="4A0062BB"/>
    <w:rsid w:val="4A116FD8"/>
    <w:rsid w:val="4A117D9D"/>
    <w:rsid w:val="4A121587"/>
    <w:rsid w:val="4A162E25"/>
    <w:rsid w:val="4A196E79"/>
    <w:rsid w:val="4A211AF6"/>
    <w:rsid w:val="4A235A4E"/>
    <w:rsid w:val="4A24383D"/>
    <w:rsid w:val="4A2F038B"/>
    <w:rsid w:val="4A3140D8"/>
    <w:rsid w:val="4A3459D1"/>
    <w:rsid w:val="4A4200BE"/>
    <w:rsid w:val="4A482FDB"/>
    <w:rsid w:val="4A4A0D22"/>
    <w:rsid w:val="4A535A86"/>
    <w:rsid w:val="4A54703F"/>
    <w:rsid w:val="4A5804B6"/>
    <w:rsid w:val="4A5B3A9F"/>
    <w:rsid w:val="4A5E2A1E"/>
    <w:rsid w:val="4A677F4D"/>
    <w:rsid w:val="4A6D7FA4"/>
    <w:rsid w:val="4A830D27"/>
    <w:rsid w:val="4A8415B1"/>
    <w:rsid w:val="4A8F4780"/>
    <w:rsid w:val="4A954692"/>
    <w:rsid w:val="4AA448D5"/>
    <w:rsid w:val="4AB34B18"/>
    <w:rsid w:val="4AB44216"/>
    <w:rsid w:val="4AB84FEA"/>
    <w:rsid w:val="4ABA448F"/>
    <w:rsid w:val="4ABC61FC"/>
    <w:rsid w:val="4AC34A65"/>
    <w:rsid w:val="4AC565F9"/>
    <w:rsid w:val="4ACA61C7"/>
    <w:rsid w:val="4AD07993"/>
    <w:rsid w:val="4AD55B10"/>
    <w:rsid w:val="4ADC00D6"/>
    <w:rsid w:val="4ADF42D7"/>
    <w:rsid w:val="4AEF09B8"/>
    <w:rsid w:val="4AF74ADD"/>
    <w:rsid w:val="4B0F6F4D"/>
    <w:rsid w:val="4B1923E5"/>
    <w:rsid w:val="4B1B7074"/>
    <w:rsid w:val="4B2B08B4"/>
    <w:rsid w:val="4B3454E4"/>
    <w:rsid w:val="4B377676"/>
    <w:rsid w:val="4B3C29B6"/>
    <w:rsid w:val="4B3F79B7"/>
    <w:rsid w:val="4B423440"/>
    <w:rsid w:val="4B555C31"/>
    <w:rsid w:val="4B5861CE"/>
    <w:rsid w:val="4B5B387E"/>
    <w:rsid w:val="4B5C51AF"/>
    <w:rsid w:val="4B5F54B0"/>
    <w:rsid w:val="4B6202EC"/>
    <w:rsid w:val="4B682440"/>
    <w:rsid w:val="4B6A1BE3"/>
    <w:rsid w:val="4B7C13AE"/>
    <w:rsid w:val="4B7E7695"/>
    <w:rsid w:val="4B882F10"/>
    <w:rsid w:val="4B8926B1"/>
    <w:rsid w:val="4B8D20F8"/>
    <w:rsid w:val="4B9C45C1"/>
    <w:rsid w:val="4B9D5C0C"/>
    <w:rsid w:val="4BA72512"/>
    <w:rsid w:val="4BB31D91"/>
    <w:rsid w:val="4BB5041C"/>
    <w:rsid w:val="4BB943B0"/>
    <w:rsid w:val="4BBC5AC7"/>
    <w:rsid w:val="4BC3109F"/>
    <w:rsid w:val="4BC36FDC"/>
    <w:rsid w:val="4BC44E0D"/>
    <w:rsid w:val="4BC66ACD"/>
    <w:rsid w:val="4BD034A7"/>
    <w:rsid w:val="4BD048BE"/>
    <w:rsid w:val="4BE23A6B"/>
    <w:rsid w:val="4BE74BEC"/>
    <w:rsid w:val="4BE965B6"/>
    <w:rsid w:val="4BEE3EE1"/>
    <w:rsid w:val="4BF03B4A"/>
    <w:rsid w:val="4BF37E67"/>
    <w:rsid w:val="4BF5144B"/>
    <w:rsid w:val="4BFF0BB9"/>
    <w:rsid w:val="4C047AC6"/>
    <w:rsid w:val="4C080E93"/>
    <w:rsid w:val="4C0B2731"/>
    <w:rsid w:val="4C156BCA"/>
    <w:rsid w:val="4C207F8B"/>
    <w:rsid w:val="4C2B3759"/>
    <w:rsid w:val="4C581C45"/>
    <w:rsid w:val="4C623ADB"/>
    <w:rsid w:val="4C6961C6"/>
    <w:rsid w:val="4C6C22FC"/>
    <w:rsid w:val="4C6D5A2A"/>
    <w:rsid w:val="4C767B34"/>
    <w:rsid w:val="4C7A1154"/>
    <w:rsid w:val="4C7B3413"/>
    <w:rsid w:val="4C7C31EA"/>
    <w:rsid w:val="4C7D362F"/>
    <w:rsid w:val="4C7E1155"/>
    <w:rsid w:val="4C7E73A7"/>
    <w:rsid w:val="4C804ECE"/>
    <w:rsid w:val="4C8554DD"/>
    <w:rsid w:val="4C88285A"/>
    <w:rsid w:val="4C942475"/>
    <w:rsid w:val="4C9C159D"/>
    <w:rsid w:val="4CA2142F"/>
    <w:rsid w:val="4CB6655C"/>
    <w:rsid w:val="4CB73E4F"/>
    <w:rsid w:val="4CC329A2"/>
    <w:rsid w:val="4CDF13AC"/>
    <w:rsid w:val="4CE44D9F"/>
    <w:rsid w:val="4CE960BB"/>
    <w:rsid w:val="4CEA5226"/>
    <w:rsid w:val="4CF136D5"/>
    <w:rsid w:val="4CF17B79"/>
    <w:rsid w:val="4CF86677"/>
    <w:rsid w:val="4D016156"/>
    <w:rsid w:val="4D023B34"/>
    <w:rsid w:val="4D0258E3"/>
    <w:rsid w:val="4D0653CA"/>
    <w:rsid w:val="4D0D0E37"/>
    <w:rsid w:val="4D0D695E"/>
    <w:rsid w:val="4D113D78"/>
    <w:rsid w:val="4D14442F"/>
    <w:rsid w:val="4D16603F"/>
    <w:rsid w:val="4D1D16ED"/>
    <w:rsid w:val="4D331F40"/>
    <w:rsid w:val="4D493511"/>
    <w:rsid w:val="4D4B227E"/>
    <w:rsid w:val="4D4D338A"/>
    <w:rsid w:val="4D4D6F1E"/>
    <w:rsid w:val="4D4E6D7A"/>
    <w:rsid w:val="4D5C1497"/>
    <w:rsid w:val="4D5E4583"/>
    <w:rsid w:val="4D6B3488"/>
    <w:rsid w:val="4D721F65"/>
    <w:rsid w:val="4D73771A"/>
    <w:rsid w:val="4D783DF7"/>
    <w:rsid w:val="4D7A21FD"/>
    <w:rsid w:val="4D82460E"/>
    <w:rsid w:val="4D866514"/>
    <w:rsid w:val="4D8D78A2"/>
    <w:rsid w:val="4D9146B3"/>
    <w:rsid w:val="4D9549A9"/>
    <w:rsid w:val="4D97249F"/>
    <w:rsid w:val="4DA35BE5"/>
    <w:rsid w:val="4DAC62C6"/>
    <w:rsid w:val="4DBB187B"/>
    <w:rsid w:val="4DC00B7A"/>
    <w:rsid w:val="4DDE3611"/>
    <w:rsid w:val="4DDE36D5"/>
    <w:rsid w:val="4DDE46EF"/>
    <w:rsid w:val="4DEB2367"/>
    <w:rsid w:val="4DF27608"/>
    <w:rsid w:val="4E0840B5"/>
    <w:rsid w:val="4E0D27AA"/>
    <w:rsid w:val="4E121435"/>
    <w:rsid w:val="4E121D51"/>
    <w:rsid w:val="4E131F3A"/>
    <w:rsid w:val="4E1C7C1C"/>
    <w:rsid w:val="4E241749"/>
    <w:rsid w:val="4E255D2C"/>
    <w:rsid w:val="4E2F3073"/>
    <w:rsid w:val="4E316A74"/>
    <w:rsid w:val="4E331A18"/>
    <w:rsid w:val="4E375A60"/>
    <w:rsid w:val="4E4350E9"/>
    <w:rsid w:val="4E537920"/>
    <w:rsid w:val="4E555954"/>
    <w:rsid w:val="4E721B60"/>
    <w:rsid w:val="4E734F8F"/>
    <w:rsid w:val="4E772300"/>
    <w:rsid w:val="4E821769"/>
    <w:rsid w:val="4E8B6898"/>
    <w:rsid w:val="4E8D38D2"/>
    <w:rsid w:val="4E931D00"/>
    <w:rsid w:val="4E9327BD"/>
    <w:rsid w:val="4EA63CE8"/>
    <w:rsid w:val="4EA67795"/>
    <w:rsid w:val="4EAF48AA"/>
    <w:rsid w:val="4EB6433D"/>
    <w:rsid w:val="4EBD6D93"/>
    <w:rsid w:val="4EBF5F82"/>
    <w:rsid w:val="4EC015B1"/>
    <w:rsid w:val="4EC12182"/>
    <w:rsid w:val="4ED92118"/>
    <w:rsid w:val="4EDA5E36"/>
    <w:rsid w:val="4EEE723C"/>
    <w:rsid w:val="4EF320A0"/>
    <w:rsid w:val="4EF80EF7"/>
    <w:rsid w:val="4F087956"/>
    <w:rsid w:val="4F094A9E"/>
    <w:rsid w:val="4F1212A3"/>
    <w:rsid w:val="4F1D57EB"/>
    <w:rsid w:val="4F2A39EC"/>
    <w:rsid w:val="4F311B14"/>
    <w:rsid w:val="4F321354"/>
    <w:rsid w:val="4F327331"/>
    <w:rsid w:val="4F381A8F"/>
    <w:rsid w:val="4F5368C9"/>
    <w:rsid w:val="4F5979CB"/>
    <w:rsid w:val="4F5F49C4"/>
    <w:rsid w:val="4F744081"/>
    <w:rsid w:val="4F766114"/>
    <w:rsid w:val="4F7B372A"/>
    <w:rsid w:val="4F7C39A7"/>
    <w:rsid w:val="4F7F76BE"/>
    <w:rsid w:val="4F8E136D"/>
    <w:rsid w:val="4F920444"/>
    <w:rsid w:val="4F950B0E"/>
    <w:rsid w:val="4F9E4811"/>
    <w:rsid w:val="4FA51312"/>
    <w:rsid w:val="4FA7451F"/>
    <w:rsid w:val="4FB47FD6"/>
    <w:rsid w:val="4FBA5581"/>
    <w:rsid w:val="4FBA60A3"/>
    <w:rsid w:val="4FC26D9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21667"/>
    <w:rsid w:val="50130483"/>
    <w:rsid w:val="50157ED0"/>
    <w:rsid w:val="50206009"/>
    <w:rsid w:val="50234336"/>
    <w:rsid w:val="502A714C"/>
    <w:rsid w:val="502B33A2"/>
    <w:rsid w:val="5032028D"/>
    <w:rsid w:val="50357D7D"/>
    <w:rsid w:val="50377F99"/>
    <w:rsid w:val="5044508F"/>
    <w:rsid w:val="50521378"/>
    <w:rsid w:val="50534132"/>
    <w:rsid w:val="5055041F"/>
    <w:rsid w:val="505722FA"/>
    <w:rsid w:val="505E5526"/>
    <w:rsid w:val="505E7184"/>
    <w:rsid w:val="50616DC4"/>
    <w:rsid w:val="50665C75"/>
    <w:rsid w:val="50700DB5"/>
    <w:rsid w:val="50707269"/>
    <w:rsid w:val="507761F3"/>
    <w:rsid w:val="507A1C34"/>
    <w:rsid w:val="50800883"/>
    <w:rsid w:val="50811214"/>
    <w:rsid w:val="50852AB2"/>
    <w:rsid w:val="508710FB"/>
    <w:rsid w:val="509617E7"/>
    <w:rsid w:val="50A02428"/>
    <w:rsid w:val="50A218B6"/>
    <w:rsid w:val="50A310A9"/>
    <w:rsid w:val="50A373DC"/>
    <w:rsid w:val="50A62359"/>
    <w:rsid w:val="50AC149B"/>
    <w:rsid w:val="50C80BF1"/>
    <w:rsid w:val="50CC3A85"/>
    <w:rsid w:val="50CF3D2E"/>
    <w:rsid w:val="50D457E8"/>
    <w:rsid w:val="50DE21C3"/>
    <w:rsid w:val="50E82ABB"/>
    <w:rsid w:val="50F051B9"/>
    <w:rsid w:val="50F33EC0"/>
    <w:rsid w:val="50F43794"/>
    <w:rsid w:val="50FF48D0"/>
    <w:rsid w:val="5116195C"/>
    <w:rsid w:val="511F5F83"/>
    <w:rsid w:val="51260B6A"/>
    <w:rsid w:val="513B4DF7"/>
    <w:rsid w:val="51422751"/>
    <w:rsid w:val="514B3F6A"/>
    <w:rsid w:val="5150517C"/>
    <w:rsid w:val="515626A1"/>
    <w:rsid w:val="5156444F"/>
    <w:rsid w:val="515669E7"/>
    <w:rsid w:val="5160707C"/>
    <w:rsid w:val="5167040A"/>
    <w:rsid w:val="516A4ADC"/>
    <w:rsid w:val="5172656E"/>
    <w:rsid w:val="51810005"/>
    <w:rsid w:val="51825244"/>
    <w:rsid w:val="51880507"/>
    <w:rsid w:val="518813FC"/>
    <w:rsid w:val="518D06A0"/>
    <w:rsid w:val="519061B9"/>
    <w:rsid w:val="519A07DF"/>
    <w:rsid w:val="519F2884"/>
    <w:rsid w:val="51A53C9E"/>
    <w:rsid w:val="51A62D85"/>
    <w:rsid w:val="51AA5240"/>
    <w:rsid w:val="51B855E6"/>
    <w:rsid w:val="51B92CCF"/>
    <w:rsid w:val="51BA1226"/>
    <w:rsid w:val="51BA263B"/>
    <w:rsid w:val="51C4447B"/>
    <w:rsid w:val="51C92E73"/>
    <w:rsid w:val="51CC64BF"/>
    <w:rsid w:val="51DA64ED"/>
    <w:rsid w:val="51DB7F4F"/>
    <w:rsid w:val="51DD247A"/>
    <w:rsid w:val="51DE160C"/>
    <w:rsid w:val="51E8486B"/>
    <w:rsid w:val="51EC090F"/>
    <w:rsid w:val="51EF6702"/>
    <w:rsid w:val="51F21DCD"/>
    <w:rsid w:val="51F67DA1"/>
    <w:rsid w:val="51FD0BB6"/>
    <w:rsid w:val="520818B6"/>
    <w:rsid w:val="520A6C76"/>
    <w:rsid w:val="520C5713"/>
    <w:rsid w:val="521F0CE5"/>
    <w:rsid w:val="5224454D"/>
    <w:rsid w:val="5227192A"/>
    <w:rsid w:val="522C3CE1"/>
    <w:rsid w:val="522D3402"/>
    <w:rsid w:val="52320A18"/>
    <w:rsid w:val="52391DB4"/>
    <w:rsid w:val="523B771C"/>
    <w:rsid w:val="523F4EE3"/>
    <w:rsid w:val="524546A2"/>
    <w:rsid w:val="5247354A"/>
    <w:rsid w:val="52521946"/>
    <w:rsid w:val="52525677"/>
    <w:rsid w:val="526A11AC"/>
    <w:rsid w:val="526B7928"/>
    <w:rsid w:val="526D6907"/>
    <w:rsid w:val="527C6137"/>
    <w:rsid w:val="527C758B"/>
    <w:rsid w:val="527E556C"/>
    <w:rsid w:val="529C0587"/>
    <w:rsid w:val="52A15B9E"/>
    <w:rsid w:val="52AD718C"/>
    <w:rsid w:val="52AE78A0"/>
    <w:rsid w:val="52B96A43"/>
    <w:rsid w:val="52C02D79"/>
    <w:rsid w:val="52CE17AF"/>
    <w:rsid w:val="52D104FA"/>
    <w:rsid w:val="52D41ACF"/>
    <w:rsid w:val="52E431D7"/>
    <w:rsid w:val="52E502A3"/>
    <w:rsid w:val="52E63A37"/>
    <w:rsid w:val="52EB483D"/>
    <w:rsid w:val="52ED6537"/>
    <w:rsid w:val="52EF3D6F"/>
    <w:rsid w:val="52F11DEE"/>
    <w:rsid w:val="52F537F4"/>
    <w:rsid w:val="52F932E4"/>
    <w:rsid w:val="52FA615D"/>
    <w:rsid w:val="52FE35FA"/>
    <w:rsid w:val="5300759F"/>
    <w:rsid w:val="530321A3"/>
    <w:rsid w:val="53086C68"/>
    <w:rsid w:val="530A48DD"/>
    <w:rsid w:val="53116579"/>
    <w:rsid w:val="531A55EE"/>
    <w:rsid w:val="531C00D0"/>
    <w:rsid w:val="53206076"/>
    <w:rsid w:val="53226CDE"/>
    <w:rsid w:val="53271025"/>
    <w:rsid w:val="53353F57"/>
    <w:rsid w:val="53364538"/>
    <w:rsid w:val="53380FA9"/>
    <w:rsid w:val="533A4B08"/>
    <w:rsid w:val="534529CD"/>
    <w:rsid w:val="53486019"/>
    <w:rsid w:val="535022B4"/>
    <w:rsid w:val="535075B2"/>
    <w:rsid w:val="53536636"/>
    <w:rsid w:val="535A55E1"/>
    <w:rsid w:val="535C1828"/>
    <w:rsid w:val="53603363"/>
    <w:rsid w:val="536A41E2"/>
    <w:rsid w:val="536C0605"/>
    <w:rsid w:val="536E636E"/>
    <w:rsid w:val="536F35A6"/>
    <w:rsid w:val="53794684"/>
    <w:rsid w:val="537B019D"/>
    <w:rsid w:val="537C1E10"/>
    <w:rsid w:val="537D1A12"/>
    <w:rsid w:val="53913AFC"/>
    <w:rsid w:val="539354E6"/>
    <w:rsid w:val="53B631FA"/>
    <w:rsid w:val="53C11F3C"/>
    <w:rsid w:val="53C438F2"/>
    <w:rsid w:val="53C60C74"/>
    <w:rsid w:val="53C77352"/>
    <w:rsid w:val="53D37FD9"/>
    <w:rsid w:val="53D77DB9"/>
    <w:rsid w:val="53E2599D"/>
    <w:rsid w:val="53E44C5E"/>
    <w:rsid w:val="53EB3ACC"/>
    <w:rsid w:val="53EB7D0C"/>
    <w:rsid w:val="53F549F0"/>
    <w:rsid w:val="53F8359B"/>
    <w:rsid w:val="53FA5565"/>
    <w:rsid w:val="54103A28"/>
    <w:rsid w:val="5410792C"/>
    <w:rsid w:val="541C1A6F"/>
    <w:rsid w:val="541D1254"/>
    <w:rsid w:val="54206BAB"/>
    <w:rsid w:val="54222492"/>
    <w:rsid w:val="542757CF"/>
    <w:rsid w:val="54284497"/>
    <w:rsid w:val="542B571F"/>
    <w:rsid w:val="542C68CB"/>
    <w:rsid w:val="542C6F5C"/>
    <w:rsid w:val="542D3B70"/>
    <w:rsid w:val="543433F6"/>
    <w:rsid w:val="5439467A"/>
    <w:rsid w:val="543A32AD"/>
    <w:rsid w:val="5445347D"/>
    <w:rsid w:val="5445601B"/>
    <w:rsid w:val="54525277"/>
    <w:rsid w:val="545709BF"/>
    <w:rsid w:val="54624EB9"/>
    <w:rsid w:val="54661FA6"/>
    <w:rsid w:val="54692B85"/>
    <w:rsid w:val="546B4888"/>
    <w:rsid w:val="546C31A2"/>
    <w:rsid w:val="5471215C"/>
    <w:rsid w:val="54780C2F"/>
    <w:rsid w:val="548573BB"/>
    <w:rsid w:val="54877909"/>
    <w:rsid w:val="548E627B"/>
    <w:rsid w:val="549332C4"/>
    <w:rsid w:val="54957CEE"/>
    <w:rsid w:val="5499550F"/>
    <w:rsid w:val="549C03CB"/>
    <w:rsid w:val="54A12CB7"/>
    <w:rsid w:val="54A53D7C"/>
    <w:rsid w:val="54B73456"/>
    <w:rsid w:val="54C14E3F"/>
    <w:rsid w:val="54C806BA"/>
    <w:rsid w:val="54CC7AC8"/>
    <w:rsid w:val="54D827E0"/>
    <w:rsid w:val="54DA272A"/>
    <w:rsid w:val="54DB06F3"/>
    <w:rsid w:val="54EA7EC3"/>
    <w:rsid w:val="54EB1352"/>
    <w:rsid w:val="54F1026B"/>
    <w:rsid w:val="54F1103D"/>
    <w:rsid w:val="54F25C8B"/>
    <w:rsid w:val="54FE4633"/>
    <w:rsid w:val="55045144"/>
    <w:rsid w:val="55055F70"/>
    <w:rsid w:val="55062C70"/>
    <w:rsid w:val="550B1575"/>
    <w:rsid w:val="55166762"/>
    <w:rsid w:val="552F56E3"/>
    <w:rsid w:val="55320D2F"/>
    <w:rsid w:val="5532240D"/>
    <w:rsid w:val="553623F6"/>
    <w:rsid w:val="553739C0"/>
    <w:rsid w:val="55421934"/>
    <w:rsid w:val="55450A62"/>
    <w:rsid w:val="554A0C9E"/>
    <w:rsid w:val="554F1507"/>
    <w:rsid w:val="554F1BF3"/>
    <w:rsid w:val="55582538"/>
    <w:rsid w:val="555F65A5"/>
    <w:rsid w:val="5564034E"/>
    <w:rsid w:val="5565489D"/>
    <w:rsid w:val="556A56B6"/>
    <w:rsid w:val="556E5D90"/>
    <w:rsid w:val="557E6181"/>
    <w:rsid w:val="5588094F"/>
    <w:rsid w:val="55945546"/>
    <w:rsid w:val="55A02195"/>
    <w:rsid w:val="55A41C2D"/>
    <w:rsid w:val="55A75279"/>
    <w:rsid w:val="55A81B76"/>
    <w:rsid w:val="55B00195"/>
    <w:rsid w:val="55B31E70"/>
    <w:rsid w:val="55B94FAC"/>
    <w:rsid w:val="55BF3799"/>
    <w:rsid w:val="55C36183"/>
    <w:rsid w:val="55C432C7"/>
    <w:rsid w:val="55C73193"/>
    <w:rsid w:val="55C76818"/>
    <w:rsid w:val="55C961B4"/>
    <w:rsid w:val="55D2625E"/>
    <w:rsid w:val="55DA38A0"/>
    <w:rsid w:val="55DB13C7"/>
    <w:rsid w:val="55EA33B8"/>
    <w:rsid w:val="55EC2AC1"/>
    <w:rsid w:val="55F14746"/>
    <w:rsid w:val="55F221C8"/>
    <w:rsid w:val="55F2604B"/>
    <w:rsid w:val="55F7482D"/>
    <w:rsid w:val="55F74830"/>
    <w:rsid w:val="56026953"/>
    <w:rsid w:val="560468F6"/>
    <w:rsid w:val="560C1580"/>
    <w:rsid w:val="56113843"/>
    <w:rsid w:val="5612548B"/>
    <w:rsid w:val="56144780"/>
    <w:rsid w:val="561F15E3"/>
    <w:rsid w:val="5622420A"/>
    <w:rsid w:val="562D6668"/>
    <w:rsid w:val="56312D95"/>
    <w:rsid w:val="5637264E"/>
    <w:rsid w:val="563945B3"/>
    <w:rsid w:val="563F0D72"/>
    <w:rsid w:val="56440687"/>
    <w:rsid w:val="56444AB4"/>
    <w:rsid w:val="56452BCB"/>
    <w:rsid w:val="564C6FD3"/>
    <w:rsid w:val="566025B8"/>
    <w:rsid w:val="56603417"/>
    <w:rsid w:val="56644F18"/>
    <w:rsid w:val="566748DD"/>
    <w:rsid w:val="56785D5C"/>
    <w:rsid w:val="56837A94"/>
    <w:rsid w:val="568836AC"/>
    <w:rsid w:val="56921A85"/>
    <w:rsid w:val="569C0B56"/>
    <w:rsid w:val="569C2AFB"/>
    <w:rsid w:val="56AB6D07"/>
    <w:rsid w:val="56AD2D63"/>
    <w:rsid w:val="56B93E41"/>
    <w:rsid w:val="56D227CA"/>
    <w:rsid w:val="56D402F0"/>
    <w:rsid w:val="56D94391"/>
    <w:rsid w:val="56DE186D"/>
    <w:rsid w:val="56E01FD3"/>
    <w:rsid w:val="56F72ACE"/>
    <w:rsid w:val="56F83D23"/>
    <w:rsid w:val="56FB1D20"/>
    <w:rsid w:val="57041072"/>
    <w:rsid w:val="570C4656"/>
    <w:rsid w:val="57154464"/>
    <w:rsid w:val="57174680"/>
    <w:rsid w:val="57347A2F"/>
    <w:rsid w:val="5735698D"/>
    <w:rsid w:val="573F088A"/>
    <w:rsid w:val="573F1A51"/>
    <w:rsid w:val="57481DED"/>
    <w:rsid w:val="574C6B1F"/>
    <w:rsid w:val="574E4D83"/>
    <w:rsid w:val="575718DC"/>
    <w:rsid w:val="57686DA9"/>
    <w:rsid w:val="57694C35"/>
    <w:rsid w:val="5774402B"/>
    <w:rsid w:val="5776562B"/>
    <w:rsid w:val="577F4CE4"/>
    <w:rsid w:val="57814294"/>
    <w:rsid w:val="578C633F"/>
    <w:rsid w:val="57945CD1"/>
    <w:rsid w:val="579542E2"/>
    <w:rsid w:val="57A05711"/>
    <w:rsid w:val="57A16CEB"/>
    <w:rsid w:val="57A9177C"/>
    <w:rsid w:val="57AB105E"/>
    <w:rsid w:val="57B10631"/>
    <w:rsid w:val="57B65C47"/>
    <w:rsid w:val="57B679F5"/>
    <w:rsid w:val="57B87ECB"/>
    <w:rsid w:val="57C00175"/>
    <w:rsid w:val="57C204E8"/>
    <w:rsid w:val="57C33EC0"/>
    <w:rsid w:val="57D8796C"/>
    <w:rsid w:val="57DB5B54"/>
    <w:rsid w:val="57E15E8A"/>
    <w:rsid w:val="57E5652D"/>
    <w:rsid w:val="57EF14B5"/>
    <w:rsid w:val="57FA72A5"/>
    <w:rsid w:val="58005114"/>
    <w:rsid w:val="580A7D41"/>
    <w:rsid w:val="58170A85"/>
    <w:rsid w:val="581D5CC6"/>
    <w:rsid w:val="5822723A"/>
    <w:rsid w:val="582818A8"/>
    <w:rsid w:val="5830221D"/>
    <w:rsid w:val="583161A3"/>
    <w:rsid w:val="58337D56"/>
    <w:rsid w:val="583475F3"/>
    <w:rsid w:val="583B614D"/>
    <w:rsid w:val="583E2172"/>
    <w:rsid w:val="584A3CB1"/>
    <w:rsid w:val="5853793A"/>
    <w:rsid w:val="585A69C8"/>
    <w:rsid w:val="586466E1"/>
    <w:rsid w:val="586618D3"/>
    <w:rsid w:val="58675193"/>
    <w:rsid w:val="586B4C84"/>
    <w:rsid w:val="58746BD9"/>
    <w:rsid w:val="587F24DD"/>
    <w:rsid w:val="58841452"/>
    <w:rsid w:val="588E2720"/>
    <w:rsid w:val="58942A25"/>
    <w:rsid w:val="58977827"/>
    <w:rsid w:val="589B4229"/>
    <w:rsid w:val="58AD53C5"/>
    <w:rsid w:val="58B531C5"/>
    <w:rsid w:val="58BC5126"/>
    <w:rsid w:val="58BD6086"/>
    <w:rsid w:val="58C6010C"/>
    <w:rsid w:val="58DB6D15"/>
    <w:rsid w:val="58E81E30"/>
    <w:rsid w:val="58F46A27"/>
    <w:rsid w:val="58F479E3"/>
    <w:rsid w:val="58FD12DA"/>
    <w:rsid w:val="58FF22DB"/>
    <w:rsid w:val="590824D3"/>
    <w:rsid w:val="590A2C81"/>
    <w:rsid w:val="590B7C9C"/>
    <w:rsid w:val="5915074C"/>
    <w:rsid w:val="59195665"/>
    <w:rsid w:val="591A49CA"/>
    <w:rsid w:val="591F6673"/>
    <w:rsid w:val="59215342"/>
    <w:rsid w:val="59257140"/>
    <w:rsid w:val="592738E1"/>
    <w:rsid w:val="59305585"/>
    <w:rsid w:val="59361550"/>
    <w:rsid w:val="593D7C74"/>
    <w:rsid w:val="5947124D"/>
    <w:rsid w:val="594F58B5"/>
    <w:rsid w:val="59545718"/>
    <w:rsid w:val="595C637A"/>
    <w:rsid w:val="59653481"/>
    <w:rsid w:val="59657925"/>
    <w:rsid w:val="59693390"/>
    <w:rsid w:val="5973527B"/>
    <w:rsid w:val="59753252"/>
    <w:rsid w:val="59786A09"/>
    <w:rsid w:val="597914B4"/>
    <w:rsid w:val="5980290A"/>
    <w:rsid w:val="598729A5"/>
    <w:rsid w:val="598A2EE8"/>
    <w:rsid w:val="598A35B0"/>
    <w:rsid w:val="599124C8"/>
    <w:rsid w:val="599B3347"/>
    <w:rsid w:val="59A01D23"/>
    <w:rsid w:val="59A12B57"/>
    <w:rsid w:val="59A87D08"/>
    <w:rsid w:val="59B17140"/>
    <w:rsid w:val="59B43525"/>
    <w:rsid w:val="59B611D6"/>
    <w:rsid w:val="59B678AD"/>
    <w:rsid w:val="59BA0642"/>
    <w:rsid w:val="59BA4AC3"/>
    <w:rsid w:val="59BA76B2"/>
    <w:rsid w:val="59BC1789"/>
    <w:rsid w:val="59BE19FA"/>
    <w:rsid w:val="59C33FA5"/>
    <w:rsid w:val="59C356A8"/>
    <w:rsid w:val="59C61D34"/>
    <w:rsid w:val="59CF1242"/>
    <w:rsid w:val="59E91753"/>
    <w:rsid w:val="59F94AC0"/>
    <w:rsid w:val="59FE6DC7"/>
    <w:rsid w:val="5A013D74"/>
    <w:rsid w:val="5A0802B0"/>
    <w:rsid w:val="5A0C1B4F"/>
    <w:rsid w:val="5A0F6902"/>
    <w:rsid w:val="5A0F707A"/>
    <w:rsid w:val="5A137B38"/>
    <w:rsid w:val="5A1B4488"/>
    <w:rsid w:val="5A1E1882"/>
    <w:rsid w:val="5A221372"/>
    <w:rsid w:val="5A251833"/>
    <w:rsid w:val="5A3022F6"/>
    <w:rsid w:val="5A35111C"/>
    <w:rsid w:val="5A357F97"/>
    <w:rsid w:val="5A3B5FA0"/>
    <w:rsid w:val="5A427B73"/>
    <w:rsid w:val="5A47702B"/>
    <w:rsid w:val="5A4A21F2"/>
    <w:rsid w:val="5A4F5EDF"/>
    <w:rsid w:val="5A5217AD"/>
    <w:rsid w:val="5A5D0617"/>
    <w:rsid w:val="5A6829A7"/>
    <w:rsid w:val="5A7029DE"/>
    <w:rsid w:val="5A764DB1"/>
    <w:rsid w:val="5A79768C"/>
    <w:rsid w:val="5A7B160F"/>
    <w:rsid w:val="5A7D778E"/>
    <w:rsid w:val="5A830771"/>
    <w:rsid w:val="5A871B1D"/>
    <w:rsid w:val="5A8A4D39"/>
    <w:rsid w:val="5A8D5B3C"/>
    <w:rsid w:val="5A900A91"/>
    <w:rsid w:val="5A911684"/>
    <w:rsid w:val="5A955FE8"/>
    <w:rsid w:val="5A971D60"/>
    <w:rsid w:val="5A987886"/>
    <w:rsid w:val="5AA71877"/>
    <w:rsid w:val="5AAB2214"/>
    <w:rsid w:val="5AAC5656"/>
    <w:rsid w:val="5AAC58EC"/>
    <w:rsid w:val="5AAE0E58"/>
    <w:rsid w:val="5AAE2C06"/>
    <w:rsid w:val="5AB61502"/>
    <w:rsid w:val="5AB660D5"/>
    <w:rsid w:val="5AD02E77"/>
    <w:rsid w:val="5AD572B3"/>
    <w:rsid w:val="5ADC59C5"/>
    <w:rsid w:val="5AE76118"/>
    <w:rsid w:val="5AEB6539"/>
    <w:rsid w:val="5AF341FE"/>
    <w:rsid w:val="5AF34ABD"/>
    <w:rsid w:val="5AF56B7C"/>
    <w:rsid w:val="5B026770"/>
    <w:rsid w:val="5B0E7B10"/>
    <w:rsid w:val="5B101A24"/>
    <w:rsid w:val="5B1213E7"/>
    <w:rsid w:val="5B12588A"/>
    <w:rsid w:val="5B141BEC"/>
    <w:rsid w:val="5B14445E"/>
    <w:rsid w:val="5B162D21"/>
    <w:rsid w:val="5B3637FA"/>
    <w:rsid w:val="5B3A6B8F"/>
    <w:rsid w:val="5B3E21DC"/>
    <w:rsid w:val="5B402FBF"/>
    <w:rsid w:val="5B4041A6"/>
    <w:rsid w:val="5B466CB4"/>
    <w:rsid w:val="5B52424E"/>
    <w:rsid w:val="5B547C51"/>
    <w:rsid w:val="5B607464"/>
    <w:rsid w:val="5B6836FC"/>
    <w:rsid w:val="5B8B5DF2"/>
    <w:rsid w:val="5B8E3EFA"/>
    <w:rsid w:val="5B935248"/>
    <w:rsid w:val="5B94004E"/>
    <w:rsid w:val="5B962018"/>
    <w:rsid w:val="5B9938B6"/>
    <w:rsid w:val="5B9B5880"/>
    <w:rsid w:val="5BBB1A7E"/>
    <w:rsid w:val="5BC20A0D"/>
    <w:rsid w:val="5BCD355F"/>
    <w:rsid w:val="5BDE5E3D"/>
    <w:rsid w:val="5BE32D83"/>
    <w:rsid w:val="5BEA7864"/>
    <w:rsid w:val="5BED775E"/>
    <w:rsid w:val="5BF127C1"/>
    <w:rsid w:val="5BF12EF0"/>
    <w:rsid w:val="5BF1724E"/>
    <w:rsid w:val="5BF5277C"/>
    <w:rsid w:val="5BFA12D2"/>
    <w:rsid w:val="5BFE196B"/>
    <w:rsid w:val="5C0351D3"/>
    <w:rsid w:val="5C036F81"/>
    <w:rsid w:val="5C050F4B"/>
    <w:rsid w:val="5C05719D"/>
    <w:rsid w:val="5C0E0F8B"/>
    <w:rsid w:val="5C0E6052"/>
    <w:rsid w:val="5C1318BA"/>
    <w:rsid w:val="5C2102D0"/>
    <w:rsid w:val="5C2E04A2"/>
    <w:rsid w:val="5C304591"/>
    <w:rsid w:val="5C356C4B"/>
    <w:rsid w:val="5C3706D2"/>
    <w:rsid w:val="5C384E7D"/>
    <w:rsid w:val="5C3977B6"/>
    <w:rsid w:val="5C3A119E"/>
    <w:rsid w:val="5C42409E"/>
    <w:rsid w:val="5C4F2412"/>
    <w:rsid w:val="5C525071"/>
    <w:rsid w:val="5C526D5D"/>
    <w:rsid w:val="5C583771"/>
    <w:rsid w:val="5C593AC2"/>
    <w:rsid w:val="5C685E55"/>
    <w:rsid w:val="5C6A7000"/>
    <w:rsid w:val="5C704E57"/>
    <w:rsid w:val="5C7834CB"/>
    <w:rsid w:val="5C78796F"/>
    <w:rsid w:val="5C787AFD"/>
    <w:rsid w:val="5C7D454D"/>
    <w:rsid w:val="5C82259C"/>
    <w:rsid w:val="5C98714B"/>
    <w:rsid w:val="5C9B540C"/>
    <w:rsid w:val="5C9C1945"/>
    <w:rsid w:val="5C9D2289"/>
    <w:rsid w:val="5CA415FB"/>
    <w:rsid w:val="5CA83399"/>
    <w:rsid w:val="5CBD0F3E"/>
    <w:rsid w:val="5CC23BA2"/>
    <w:rsid w:val="5CC5181A"/>
    <w:rsid w:val="5CD0702B"/>
    <w:rsid w:val="5CD252D1"/>
    <w:rsid w:val="5CD56B70"/>
    <w:rsid w:val="5CD64696"/>
    <w:rsid w:val="5CDF3213"/>
    <w:rsid w:val="5CE1177F"/>
    <w:rsid w:val="5CE15956"/>
    <w:rsid w:val="5CE17B0A"/>
    <w:rsid w:val="5CF0251D"/>
    <w:rsid w:val="5CF3349A"/>
    <w:rsid w:val="5CF44AE0"/>
    <w:rsid w:val="5CFA0384"/>
    <w:rsid w:val="5D0D6309"/>
    <w:rsid w:val="5D1458EA"/>
    <w:rsid w:val="5D235B2D"/>
    <w:rsid w:val="5D2672BC"/>
    <w:rsid w:val="5D27532B"/>
    <w:rsid w:val="5D301260"/>
    <w:rsid w:val="5D327B1E"/>
    <w:rsid w:val="5D3B6F2A"/>
    <w:rsid w:val="5D3E051F"/>
    <w:rsid w:val="5D441E39"/>
    <w:rsid w:val="5D515259"/>
    <w:rsid w:val="5D584A99"/>
    <w:rsid w:val="5D5C4B9B"/>
    <w:rsid w:val="5D613BCB"/>
    <w:rsid w:val="5D6250B4"/>
    <w:rsid w:val="5D631084"/>
    <w:rsid w:val="5D7E0E10"/>
    <w:rsid w:val="5D7F34E2"/>
    <w:rsid w:val="5D820D7F"/>
    <w:rsid w:val="5D876A04"/>
    <w:rsid w:val="5D884E5F"/>
    <w:rsid w:val="5D8F289A"/>
    <w:rsid w:val="5D9216EA"/>
    <w:rsid w:val="5D943DC1"/>
    <w:rsid w:val="5DA34FE8"/>
    <w:rsid w:val="5DA87DE0"/>
    <w:rsid w:val="5DAC0B1E"/>
    <w:rsid w:val="5DAF3EB2"/>
    <w:rsid w:val="5DB4354B"/>
    <w:rsid w:val="5DBE13B2"/>
    <w:rsid w:val="5DC15346"/>
    <w:rsid w:val="5DC170F4"/>
    <w:rsid w:val="5DC7223B"/>
    <w:rsid w:val="5DD24E5D"/>
    <w:rsid w:val="5DDC146F"/>
    <w:rsid w:val="5DDF27B7"/>
    <w:rsid w:val="5DE86870"/>
    <w:rsid w:val="5DEE02FC"/>
    <w:rsid w:val="5DF23751"/>
    <w:rsid w:val="5DF272AD"/>
    <w:rsid w:val="5DF64FF0"/>
    <w:rsid w:val="5DFD07C0"/>
    <w:rsid w:val="5E021194"/>
    <w:rsid w:val="5E041FD8"/>
    <w:rsid w:val="5E0764B7"/>
    <w:rsid w:val="5E127071"/>
    <w:rsid w:val="5E1611EE"/>
    <w:rsid w:val="5E1704AA"/>
    <w:rsid w:val="5E18474A"/>
    <w:rsid w:val="5E1E3878"/>
    <w:rsid w:val="5E254020"/>
    <w:rsid w:val="5E2A6A47"/>
    <w:rsid w:val="5E2F35DF"/>
    <w:rsid w:val="5E345B18"/>
    <w:rsid w:val="5E39025D"/>
    <w:rsid w:val="5E427006"/>
    <w:rsid w:val="5E4A3516"/>
    <w:rsid w:val="5E4C4C10"/>
    <w:rsid w:val="5E4C55E9"/>
    <w:rsid w:val="5E4C6BBC"/>
    <w:rsid w:val="5E4F1CDA"/>
    <w:rsid w:val="5E5166CA"/>
    <w:rsid w:val="5E536942"/>
    <w:rsid w:val="5E545207"/>
    <w:rsid w:val="5E5810F8"/>
    <w:rsid w:val="5E5E2B95"/>
    <w:rsid w:val="5E60047B"/>
    <w:rsid w:val="5E6155FE"/>
    <w:rsid w:val="5E79352B"/>
    <w:rsid w:val="5E7C38CA"/>
    <w:rsid w:val="5E8124A0"/>
    <w:rsid w:val="5E8E26A4"/>
    <w:rsid w:val="5E9A7A2A"/>
    <w:rsid w:val="5EAA6DD9"/>
    <w:rsid w:val="5EAB402C"/>
    <w:rsid w:val="5EAE7678"/>
    <w:rsid w:val="5EAF6076"/>
    <w:rsid w:val="5EB2314A"/>
    <w:rsid w:val="5EB56C59"/>
    <w:rsid w:val="5EC450EE"/>
    <w:rsid w:val="5EC648CD"/>
    <w:rsid w:val="5EC809F4"/>
    <w:rsid w:val="5EE20946"/>
    <w:rsid w:val="5EFA18BB"/>
    <w:rsid w:val="5EFF1C82"/>
    <w:rsid w:val="5F014F67"/>
    <w:rsid w:val="5F03515E"/>
    <w:rsid w:val="5F0A20A2"/>
    <w:rsid w:val="5F0D1098"/>
    <w:rsid w:val="5F0E7A43"/>
    <w:rsid w:val="5F0F19B8"/>
    <w:rsid w:val="5F20181C"/>
    <w:rsid w:val="5F27521E"/>
    <w:rsid w:val="5F2E60FA"/>
    <w:rsid w:val="5F3608F5"/>
    <w:rsid w:val="5F3635D5"/>
    <w:rsid w:val="5F3D00E1"/>
    <w:rsid w:val="5F3D3985"/>
    <w:rsid w:val="5F477C2A"/>
    <w:rsid w:val="5F49114F"/>
    <w:rsid w:val="5F561124"/>
    <w:rsid w:val="5F5E28DD"/>
    <w:rsid w:val="5F6076AF"/>
    <w:rsid w:val="5F795F2D"/>
    <w:rsid w:val="5F7F7F09"/>
    <w:rsid w:val="5F812DA9"/>
    <w:rsid w:val="5F814D8D"/>
    <w:rsid w:val="5F8613F6"/>
    <w:rsid w:val="5F864C19"/>
    <w:rsid w:val="5F8B1768"/>
    <w:rsid w:val="5F90442C"/>
    <w:rsid w:val="5F922535"/>
    <w:rsid w:val="5F973A30"/>
    <w:rsid w:val="5F9C1BC7"/>
    <w:rsid w:val="5FA01B9B"/>
    <w:rsid w:val="5FA47A9A"/>
    <w:rsid w:val="5FA62A45"/>
    <w:rsid w:val="5FA865BC"/>
    <w:rsid w:val="5FAF52EE"/>
    <w:rsid w:val="5FB130D0"/>
    <w:rsid w:val="5FB4701C"/>
    <w:rsid w:val="5FB54A36"/>
    <w:rsid w:val="5FB707AE"/>
    <w:rsid w:val="5FC34143"/>
    <w:rsid w:val="5FCB4CE9"/>
    <w:rsid w:val="5FED5F7E"/>
    <w:rsid w:val="5FEF48C7"/>
    <w:rsid w:val="5FF078FF"/>
    <w:rsid w:val="5FF13CC0"/>
    <w:rsid w:val="5FF4555F"/>
    <w:rsid w:val="5FF6646E"/>
    <w:rsid w:val="5FF92B75"/>
    <w:rsid w:val="60136F65"/>
    <w:rsid w:val="601479AF"/>
    <w:rsid w:val="601B0B11"/>
    <w:rsid w:val="601F4A3C"/>
    <w:rsid w:val="6025396A"/>
    <w:rsid w:val="602A5424"/>
    <w:rsid w:val="602B3912"/>
    <w:rsid w:val="602C265E"/>
    <w:rsid w:val="60341DFF"/>
    <w:rsid w:val="60352AAC"/>
    <w:rsid w:val="60402552"/>
    <w:rsid w:val="60411AA3"/>
    <w:rsid w:val="60491A92"/>
    <w:rsid w:val="60494C8A"/>
    <w:rsid w:val="604E5030"/>
    <w:rsid w:val="60507E62"/>
    <w:rsid w:val="60580360"/>
    <w:rsid w:val="60624553"/>
    <w:rsid w:val="60633696"/>
    <w:rsid w:val="606359E6"/>
    <w:rsid w:val="60636240"/>
    <w:rsid w:val="606964C9"/>
    <w:rsid w:val="606E745A"/>
    <w:rsid w:val="607526B4"/>
    <w:rsid w:val="6084377A"/>
    <w:rsid w:val="60A13198"/>
    <w:rsid w:val="60A24FBB"/>
    <w:rsid w:val="60A521A0"/>
    <w:rsid w:val="60BB348D"/>
    <w:rsid w:val="60BD2AB5"/>
    <w:rsid w:val="60BD58AC"/>
    <w:rsid w:val="60C33FC4"/>
    <w:rsid w:val="60C72C73"/>
    <w:rsid w:val="60D63B2E"/>
    <w:rsid w:val="60D809DC"/>
    <w:rsid w:val="60DF1D6B"/>
    <w:rsid w:val="60E277A8"/>
    <w:rsid w:val="60E65FC9"/>
    <w:rsid w:val="60EA66DE"/>
    <w:rsid w:val="60FE666C"/>
    <w:rsid w:val="61050A04"/>
    <w:rsid w:val="61066AA3"/>
    <w:rsid w:val="61113EEE"/>
    <w:rsid w:val="61177312"/>
    <w:rsid w:val="61377DF9"/>
    <w:rsid w:val="61380167"/>
    <w:rsid w:val="613A3445"/>
    <w:rsid w:val="614147D4"/>
    <w:rsid w:val="6145155F"/>
    <w:rsid w:val="6149117D"/>
    <w:rsid w:val="614A4C81"/>
    <w:rsid w:val="614B7400"/>
    <w:rsid w:val="614E0C9F"/>
    <w:rsid w:val="61520175"/>
    <w:rsid w:val="6155202D"/>
    <w:rsid w:val="61614E76"/>
    <w:rsid w:val="61627EF2"/>
    <w:rsid w:val="616404C2"/>
    <w:rsid w:val="61690897"/>
    <w:rsid w:val="61694115"/>
    <w:rsid w:val="61696F28"/>
    <w:rsid w:val="617B5F04"/>
    <w:rsid w:val="61822EF6"/>
    <w:rsid w:val="61840B64"/>
    <w:rsid w:val="61867CBE"/>
    <w:rsid w:val="618C5FB1"/>
    <w:rsid w:val="619F774C"/>
    <w:rsid w:val="61A30A46"/>
    <w:rsid w:val="61A37FBF"/>
    <w:rsid w:val="61AD67D9"/>
    <w:rsid w:val="61BE00C7"/>
    <w:rsid w:val="61C667E4"/>
    <w:rsid w:val="61D05715"/>
    <w:rsid w:val="61DB43ED"/>
    <w:rsid w:val="61E1276F"/>
    <w:rsid w:val="61E84C4F"/>
    <w:rsid w:val="61F24E65"/>
    <w:rsid w:val="61FC6B54"/>
    <w:rsid w:val="6208709F"/>
    <w:rsid w:val="62132AC5"/>
    <w:rsid w:val="62143659"/>
    <w:rsid w:val="622112F5"/>
    <w:rsid w:val="6226798C"/>
    <w:rsid w:val="622A102E"/>
    <w:rsid w:val="622D7B47"/>
    <w:rsid w:val="623916BE"/>
    <w:rsid w:val="62402A42"/>
    <w:rsid w:val="624E486D"/>
    <w:rsid w:val="62686413"/>
    <w:rsid w:val="626B289A"/>
    <w:rsid w:val="62870D02"/>
    <w:rsid w:val="628D57F7"/>
    <w:rsid w:val="6291178B"/>
    <w:rsid w:val="62937F82"/>
    <w:rsid w:val="629503BF"/>
    <w:rsid w:val="6295776A"/>
    <w:rsid w:val="629B323B"/>
    <w:rsid w:val="629E37E6"/>
    <w:rsid w:val="62B00A61"/>
    <w:rsid w:val="62B02E9C"/>
    <w:rsid w:val="62BC7E8A"/>
    <w:rsid w:val="62C21463"/>
    <w:rsid w:val="62C25C0C"/>
    <w:rsid w:val="62C60068"/>
    <w:rsid w:val="62C81B6F"/>
    <w:rsid w:val="62CD5509"/>
    <w:rsid w:val="62CF1196"/>
    <w:rsid w:val="62DF0794"/>
    <w:rsid w:val="62E15AE5"/>
    <w:rsid w:val="62EA2C49"/>
    <w:rsid w:val="62ED7B55"/>
    <w:rsid w:val="63077F65"/>
    <w:rsid w:val="630930CF"/>
    <w:rsid w:val="630F445E"/>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891F1F"/>
    <w:rsid w:val="638D1F52"/>
    <w:rsid w:val="63950C34"/>
    <w:rsid w:val="63992594"/>
    <w:rsid w:val="63A45B72"/>
    <w:rsid w:val="63A53508"/>
    <w:rsid w:val="63AA1BCD"/>
    <w:rsid w:val="63AB4186"/>
    <w:rsid w:val="63AE1B9F"/>
    <w:rsid w:val="63B06793"/>
    <w:rsid w:val="63B079EF"/>
    <w:rsid w:val="63BA261B"/>
    <w:rsid w:val="63C0668C"/>
    <w:rsid w:val="63C51931"/>
    <w:rsid w:val="63D00091"/>
    <w:rsid w:val="63D62269"/>
    <w:rsid w:val="63DA4A6C"/>
    <w:rsid w:val="63DB4576"/>
    <w:rsid w:val="63E034FC"/>
    <w:rsid w:val="63E86948"/>
    <w:rsid w:val="63FB5C60"/>
    <w:rsid w:val="64037F24"/>
    <w:rsid w:val="64046278"/>
    <w:rsid w:val="640E2967"/>
    <w:rsid w:val="64142999"/>
    <w:rsid w:val="642C3EEA"/>
    <w:rsid w:val="642C54C7"/>
    <w:rsid w:val="642E7A37"/>
    <w:rsid w:val="643237A5"/>
    <w:rsid w:val="64346872"/>
    <w:rsid w:val="6436623C"/>
    <w:rsid w:val="643855FF"/>
    <w:rsid w:val="643A21BF"/>
    <w:rsid w:val="64414AEB"/>
    <w:rsid w:val="64484B87"/>
    <w:rsid w:val="644B7576"/>
    <w:rsid w:val="64607667"/>
    <w:rsid w:val="646144B1"/>
    <w:rsid w:val="64626A30"/>
    <w:rsid w:val="646F3406"/>
    <w:rsid w:val="64805613"/>
    <w:rsid w:val="64886EB0"/>
    <w:rsid w:val="648D7D30"/>
    <w:rsid w:val="649E1F3D"/>
    <w:rsid w:val="64AA2690"/>
    <w:rsid w:val="64B04BF4"/>
    <w:rsid w:val="64B8118E"/>
    <w:rsid w:val="64B8597C"/>
    <w:rsid w:val="64B976B2"/>
    <w:rsid w:val="64BC50A8"/>
    <w:rsid w:val="64D704F4"/>
    <w:rsid w:val="64D771FD"/>
    <w:rsid w:val="64DC78B8"/>
    <w:rsid w:val="64DF6B47"/>
    <w:rsid w:val="64E030DF"/>
    <w:rsid w:val="64E1336B"/>
    <w:rsid w:val="64E40E6A"/>
    <w:rsid w:val="64E42046"/>
    <w:rsid w:val="64EA5A43"/>
    <w:rsid w:val="64EB4CCD"/>
    <w:rsid w:val="64EB4FEC"/>
    <w:rsid w:val="64F54AB1"/>
    <w:rsid w:val="64F664FA"/>
    <w:rsid w:val="64FE4ED3"/>
    <w:rsid w:val="65002528"/>
    <w:rsid w:val="65064C01"/>
    <w:rsid w:val="65065370"/>
    <w:rsid w:val="6509385A"/>
    <w:rsid w:val="651135B3"/>
    <w:rsid w:val="651A0578"/>
    <w:rsid w:val="651B358E"/>
    <w:rsid w:val="6521758C"/>
    <w:rsid w:val="6522491C"/>
    <w:rsid w:val="6525440C"/>
    <w:rsid w:val="652B0517"/>
    <w:rsid w:val="652B4D81"/>
    <w:rsid w:val="652C2DFC"/>
    <w:rsid w:val="652E32C1"/>
    <w:rsid w:val="6531690D"/>
    <w:rsid w:val="653F294D"/>
    <w:rsid w:val="654C2076"/>
    <w:rsid w:val="654C747E"/>
    <w:rsid w:val="6552134C"/>
    <w:rsid w:val="6553078D"/>
    <w:rsid w:val="656A42D9"/>
    <w:rsid w:val="656F3DC7"/>
    <w:rsid w:val="6579736B"/>
    <w:rsid w:val="657D1B52"/>
    <w:rsid w:val="65841133"/>
    <w:rsid w:val="658730AF"/>
    <w:rsid w:val="65876E75"/>
    <w:rsid w:val="65882D0B"/>
    <w:rsid w:val="65892A2A"/>
    <w:rsid w:val="659059BC"/>
    <w:rsid w:val="65943D2E"/>
    <w:rsid w:val="65994698"/>
    <w:rsid w:val="659D3FA3"/>
    <w:rsid w:val="65AA24B1"/>
    <w:rsid w:val="65AE4402"/>
    <w:rsid w:val="65B141EA"/>
    <w:rsid w:val="65B337C6"/>
    <w:rsid w:val="65B923E3"/>
    <w:rsid w:val="65C32A3D"/>
    <w:rsid w:val="65C50D1A"/>
    <w:rsid w:val="65D21DE8"/>
    <w:rsid w:val="65D315FF"/>
    <w:rsid w:val="65D5605E"/>
    <w:rsid w:val="65DA51F7"/>
    <w:rsid w:val="65E6594A"/>
    <w:rsid w:val="65E76CC4"/>
    <w:rsid w:val="65F14EBD"/>
    <w:rsid w:val="65F917A1"/>
    <w:rsid w:val="660C3AF8"/>
    <w:rsid w:val="660D2ED6"/>
    <w:rsid w:val="660D7B9C"/>
    <w:rsid w:val="660F50CF"/>
    <w:rsid w:val="66141D57"/>
    <w:rsid w:val="66187ACD"/>
    <w:rsid w:val="6620359F"/>
    <w:rsid w:val="66221E37"/>
    <w:rsid w:val="66255B1F"/>
    <w:rsid w:val="662D11E6"/>
    <w:rsid w:val="662E7273"/>
    <w:rsid w:val="66365D84"/>
    <w:rsid w:val="66391F1D"/>
    <w:rsid w:val="663C7C5F"/>
    <w:rsid w:val="663D7E90"/>
    <w:rsid w:val="6650370B"/>
    <w:rsid w:val="66527571"/>
    <w:rsid w:val="66540B05"/>
    <w:rsid w:val="6659436D"/>
    <w:rsid w:val="665D3D8F"/>
    <w:rsid w:val="66602BC7"/>
    <w:rsid w:val="6672542F"/>
    <w:rsid w:val="667A512E"/>
    <w:rsid w:val="667E42FD"/>
    <w:rsid w:val="6685036C"/>
    <w:rsid w:val="66876081"/>
    <w:rsid w:val="668A4527"/>
    <w:rsid w:val="668E78CD"/>
    <w:rsid w:val="66981404"/>
    <w:rsid w:val="669B5028"/>
    <w:rsid w:val="669C06FE"/>
    <w:rsid w:val="669C293B"/>
    <w:rsid w:val="66A24A95"/>
    <w:rsid w:val="66A7076B"/>
    <w:rsid w:val="66AC29D5"/>
    <w:rsid w:val="66AD46B9"/>
    <w:rsid w:val="66AE6350"/>
    <w:rsid w:val="66CD08B8"/>
    <w:rsid w:val="66D33235"/>
    <w:rsid w:val="66D671C2"/>
    <w:rsid w:val="66DB485A"/>
    <w:rsid w:val="66DC3E2C"/>
    <w:rsid w:val="66E0352A"/>
    <w:rsid w:val="66ED7FC0"/>
    <w:rsid w:val="66EF6D88"/>
    <w:rsid w:val="66F26570"/>
    <w:rsid w:val="66F6264B"/>
    <w:rsid w:val="66F756B2"/>
    <w:rsid w:val="66FD119D"/>
    <w:rsid w:val="67030A4B"/>
    <w:rsid w:val="6703521B"/>
    <w:rsid w:val="6705639B"/>
    <w:rsid w:val="670C780B"/>
    <w:rsid w:val="6712451C"/>
    <w:rsid w:val="671B6383"/>
    <w:rsid w:val="671C6AEB"/>
    <w:rsid w:val="672030DD"/>
    <w:rsid w:val="67204E8B"/>
    <w:rsid w:val="67300A7E"/>
    <w:rsid w:val="674509F6"/>
    <w:rsid w:val="674F0CAD"/>
    <w:rsid w:val="67582877"/>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B09B6"/>
    <w:rsid w:val="679D3CCD"/>
    <w:rsid w:val="679D7011"/>
    <w:rsid w:val="67B0620F"/>
    <w:rsid w:val="67B54917"/>
    <w:rsid w:val="67B81568"/>
    <w:rsid w:val="67BD76E1"/>
    <w:rsid w:val="67CD5371"/>
    <w:rsid w:val="67D57A24"/>
    <w:rsid w:val="67E47BAF"/>
    <w:rsid w:val="67E72967"/>
    <w:rsid w:val="67EA748B"/>
    <w:rsid w:val="67EC1211"/>
    <w:rsid w:val="67ED44F9"/>
    <w:rsid w:val="67F21EBE"/>
    <w:rsid w:val="67F3434E"/>
    <w:rsid w:val="67FC60B7"/>
    <w:rsid w:val="68103152"/>
    <w:rsid w:val="681A18DB"/>
    <w:rsid w:val="681C56E8"/>
    <w:rsid w:val="68232E85"/>
    <w:rsid w:val="68297D70"/>
    <w:rsid w:val="68336E40"/>
    <w:rsid w:val="68403AFD"/>
    <w:rsid w:val="684140AE"/>
    <w:rsid w:val="68541290"/>
    <w:rsid w:val="686113BA"/>
    <w:rsid w:val="68620649"/>
    <w:rsid w:val="68630D3F"/>
    <w:rsid w:val="68690E30"/>
    <w:rsid w:val="68721DB3"/>
    <w:rsid w:val="68727968"/>
    <w:rsid w:val="687B537F"/>
    <w:rsid w:val="687D5A18"/>
    <w:rsid w:val="688731D3"/>
    <w:rsid w:val="688F42C9"/>
    <w:rsid w:val="6897680F"/>
    <w:rsid w:val="68980099"/>
    <w:rsid w:val="689D3FFD"/>
    <w:rsid w:val="68AE7647"/>
    <w:rsid w:val="68B27FE5"/>
    <w:rsid w:val="68B33CBC"/>
    <w:rsid w:val="68BB130F"/>
    <w:rsid w:val="68BC404D"/>
    <w:rsid w:val="68C05073"/>
    <w:rsid w:val="68CC0D03"/>
    <w:rsid w:val="68D423D1"/>
    <w:rsid w:val="68E52BC5"/>
    <w:rsid w:val="68E71B98"/>
    <w:rsid w:val="68ED3493"/>
    <w:rsid w:val="68F63FD0"/>
    <w:rsid w:val="68F951EB"/>
    <w:rsid w:val="68FA0D09"/>
    <w:rsid w:val="690507DD"/>
    <w:rsid w:val="690518E3"/>
    <w:rsid w:val="69074555"/>
    <w:rsid w:val="69090935"/>
    <w:rsid w:val="6913778D"/>
    <w:rsid w:val="692216E4"/>
    <w:rsid w:val="692349A9"/>
    <w:rsid w:val="6927100D"/>
    <w:rsid w:val="692844CB"/>
    <w:rsid w:val="6935729D"/>
    <w:rsid w:val="693B4526"/>
    <w:rsid w:val="69433CAC"/>
    <w:rsid w:val="69434E61"/>
    <w:rsid w:val="694A2693"/>
    <w:rsid w:val="69557280"/>
    <w:rsid w:val="69647910"/>
    <w:rsid w:val="696F1FF4"/>
    <w:rsid w:val="697E2410"/>
    <w:rsid w:val="69852A6B"/>
    <w:rsid w:val="698612A5"/>
    <w:rsid w:val="69872CF3"/>
    <w:rsid w:val="698C2CAC"/>
    <w:rsid w:val="699157A6"/>
    <w:rsid w:val="69A82381"/>
    <w:rsid w:val="69AC2A06"/>
    <w:rsid w:val="69AE43A7"/>
    <w:rsid w:val="69AE7BC5"/>
    <w:rsid w:val="69AF0748"/>
    <w:rsid w:val="69B67D29"/>
    <w:rsid w:val="69D11FEA"/>
    <w:rsid w:val="69D64E44"/>
    <w:rsid w:val="69D81A4D"/>
    <w:rsid w:val="69D95D21"/>
    <w:rsid w:val="69E42DF0"/>
    <w:rsid w:val="69E71C2E"/>
    <w:rsid w:val="69F97731"/>
    <w:rsid w:val="6A0202FD"/>
    <w:rsid w:val="6A0518F8"/>
    <w:rsid w:val="6A107439"/>
    <w:rsid w:val="6A1E49EE"/>
    <w:rsid w:val="6A2627B9"/>
    <w:rsid w:val="6A366774"/>
    <w:rsid w:val="6A4C6CBB"/>
    <w:rsid w:val="6A5E0111"/>
    <w:rsid w:val="6A6F316D"/>
    <w:rsid w:val="6A912DE0"/>
    <w:rsid w:val="6A943F85"/>
    <w:rsid w:val="6A9B5332"/>
    <w:rsid w:val="6A9E2C97"/>
    <w:rsid w:val="6AA742DF"/>
    <w:rsid w:val="6AAC487C"/>
    <w:rsid w:val="6AAD3143"/>
    <w:rsid w:val="6AAF3E38"/>
    <w:rsid w:val="6AB029CA"/>
    <w:rsid w:val="6ABC4ECB"/>
    <w:rsid w:val="6AC2152D"/>
    <w:rsid w:val="6AD26F50"/>
    <w:rsid w:val="6AD466B8"/>
    <w:rsid w:val="6AD54350"/>
    <w:rsid w:val="6AE61B76"/>
    <w:rsid w:val="6AF96F3D"/>
    <w:rsid w:val="6B043F03"/>
    <w:rsid w:val="6B080100"/>
    <w:rsid w:val="6B1017A5"/>
    <w:rsid w:val="6B1C57E8"/>
    <w:rsid w:val="6B222A27"/>
    <w:rsid w:val="6B2E35BA"/>
    <w:rsid w:val="6B3233DF"/>
    <w:rsid w:val="6B3A6E3B"/>
    <w:rsid w:val="6B3D34FE"/>
    <w:rsid w:val="6B453112"/>
    <w:rsid w:val="6B4E448C"/>
    <w:rsid w:val="6B557938"/>
    <w:rsid w:val="6B5A3C35"/>
    <w:rsid w:val="6B66741E"/>
    <w:rsid w:val="6B671EB9"/>
    <w:rsid w:val="6B67752D"/>
    <w:rsid w:val="6B713F07"/>
    <w:rsid w:val="6B757D60"/>
    <w:rsid w:val="6B87372B"/>
    <w:rsid w:val="6B8E29C0"/>
    <w:rsid w:val="6B900117"/>
    <w:rsid w:val="6B96396E"/>
    <w:rsid w:val="6BA72B30"/>
    <w:rsid w:val="6BA86101"/>
    <w:rsid w:val="6BB57E47"/>
    <w:rsid w:val="6BB77B3F"/>
    <w:rsid w:val="6BBD714D"/>
    <w:rsid w:val="6BC03782"/>
    <w:rsid w:val="6BC229B5"/>
    <w:rsid w:val="6BC67583"/>
    <w:rsid w:val="6BCB40EA"/>
    <w:rsid w:val="6BD149A6"/>
    <w:rsid w:val="6BD44EF8"/>
    <w:rsid w:val="6BD57763"/>
    <w:rsid w:val="6BD9117D"/>
    <w:rsid w:val="6BDC2D4F"/>
    <w:rsid w:val="6BDF1392"/>
    <w:rsid w:val="6BE50451"/>
    <w:rsid w:val="6BE7241B"/>
    <w:rsid w:val="6BE749C8"/>
    <w:rsid w:val="6BEB3756"/>
    <w:rsid w:val="6BEF2B0E"/>
    <w:rsid w:val="6BF2489C"/>
    <w:rsid w:val="6BFE5F35"/>
    <w:rsid w:val="6C040115"/>
    <w:rsid w:val="6C060AF4"/>
    <w:rsid w:val="6C0D4ACE"/>
    <w:rsid w:val="6C1929E0"/>
    <w:rsid w:val="6C1A634D"/>
    <w:rsid w:val="6C1B20D8"/>
    <w:rsid w:val="6C225202"/>
    <w:rsid w:val="6C292BE1"/>
    <w:rsid w:val="6C346A47"/>
    <w:rsid w:val="6C393583"/>
    <w:rsid w:val="6C3B762A"/>
    <w:rsid w:val="6C4038DA"/>
    <w:rsid w:val="6C430EC6"/>
    <w:rsid w:val="6C450EF0"/>
    <w:rsid w:val="6C460B8D"/>
    <w:rsid w:val="6C4C4B88"/>
    <w:rsid w:val="6C5238F7"/>
    <w:rsid w:val="6C574124"/>
    <w:rsid w:val="6C60203D"/>
    <w:rsid w:val="6C604856"/>
    <w:rsid w:val="6C6217A7"/>
    <w:rsid w:val="6C740C4D"/>
    <w:rsid w:val="6C747D90"/>
    <w:rsid w:val="6C7A6DEC"/>
    <w:rsid w:val="6C860A2C"/>
    <w:rsid w:val="6C88775B"/>
    <w:rsid w:val="6C895962"/>
    <w:rsid w:val="6CA02C98"/>
    <w:rsid w:val="6CA127B4"/>
    <w:rsid w:val="6CA27B74"/>
    <w:rsid w:val="6CA34594"/>
    <w:rsid w:val="6CA67BE1"/>
    <w:rsid w:val="6CAE2F39"/>
    <w:rsid w:val="6CAE382B"/>
    <w:rsid w:val="6CB00A5F"/>
    <w:rsid w:val="6CB55D42"/>
    <w:rsid w:val="6CB8671C"/>
    <w:rsid w:val="6CB90EA6"/>
    <w:rsid w:val="6CBA7A7E"/>
    <w:rsid w:val="6CBA7B30"/>
    <w:rsid w:val="6CC40F20"/>
    <w:rsid w:val="6CCB5481"/>
    <w:rsid w:val="6CCE5B95"/>
    <w:rsid w:val="6CD01102"/>
    <w:rsid w:val="6CDB5E4B"/>
    <w:rsid w:val="6CDF604B"/>
    <w:rsid w:val="6CEB0CC5"/>
    <w:rsid w:val="6CF20041"/>
    <w:rsid w:val="6CF43042"/>
    <w:rsid w:val="6CF500CA"/>
    <w:rsid w:val="6CFD1C68"/>
    <w:rsid w:val="6D091F16"/>
    <w:rsid w:val="6D0D4104"/>
    <w:rsid w:val="6D1347EA"/>
    <w:rsid w:val="6D1B2C9B"/>
    <w:rsid w:val="6D210F22"/>
    <w:rsid w:val="6D2471EB"/>
    <w:rsid w:val="6D321474"/>
    <w:rsid w:val="6D3A50DF"/>
    <w:rsid w:val="6D503BE3"/>
    <w:rsid w:val="6D5164B6"/>
    <w:rsid w:val="6D5F318C"/>
    <w:rsid w:val="6D614FFE"/>
    <w:rsid w:val="6D6840E5"/>
    <w:rsid w:val="6D6A21E0"/>
    <w:rsid w:val="6D7427C5"/>
    <w:rsid w:val="6D8223FC"/>
    <w:rsid w:val="6D8E6FF3"/>
    <w:rsid w:val="6D910EB2"/>
    <w:rsid w:val="6D940381"/>
    <w:rsid w:val="6D963072"/>
    <w:rsid w:val="6DA118E1"/>
    <w:rsid w:val="6DA33AB1"/>
    <w:rsid w:val="6DA34120"/>
    <w:rsid w:val="6DA61D89"/>
    <w:rsid w:val="6DAB1855"/>
    <w:rsid w:val="6DB00E73"/>
    <w:rsid w:val="6DCC01D6"/>
    <w:rsid w:val="6DD841D1"/>
    <w:rsid w:val="6DD9273F"/>
    <w:rsid w:val="6DE1112A"/>
    <w:rsid w:val="6DE62234"/>
    <w:rsid w:val="6DEE1DA5"/>
    <w:rsid w:val="6DEE5CE3"/>
    <w:rsid w:val="6DF077AB"/>
    <w:rsid w:val="6DF131D9"/>
    <w:rsid w:val="6DF362F1"/>
    <w:rsid w:val="6DFC0A94"/>
    <w:rsid w:val="6E0A419F"/>
    <w:rsid w:val="6E0E7E73"/>
    <w:rsid w:val="6E163B54"/>
    <w:rsid w:val="6E166FE8"/>
    <w:rsid w:val="6E1F3AB9"/>
    <w:rsid w:val="6E22598D"/>
    <w:rsid w:val="6E273436"/>
    <w:rsid w:val="6E291B51"/>
    <w:rsid w:val="6E2B5B70"/>
    <w:rsid w:val="6E2B7BD0"/>
    <w:rsid w:val="6E2E2225"/>
    <w:rsid w:val="6E3260E0"/>
    <w:rsid w:val="6E391146"/>
    <w:rsid w:val="6E46026B"/>
    <w:rsid w:val="6E5B2C4D"/>
    <w:rsid w:val="6E663B0E"/>
    <w:rsid w:val="6E6F1069"/>
    <w:rsid w:val="6E7043F7"/>
    <w:rsid w:val="6E711FBB"/>
    <w:rsid w:val="6E7C20AF"/>
    <w:rsid w:val="6E82467D"/>
    <w:rsid w:val="6E8D0A23"/>
    <w:rsid w:val="6E917D94"/>
    <w:rsid w:val="6E95615F"/>
    <w:rsid w:val="6E9879FD"/>
    <w:rsid w:val="6EB4221B"/>
    <w:rsid w:val="6EB57C0B"/>
    <w:rsid w:val="6EB97C9A"/>
    <w:rsid w:val="6EBA3EC2"/>
    <w:rsid w:val="6EBF3EC0"/>
    <w:rsid w:val="6EC425A0"/>
    <w:rsid w:val="6ED547AD"/>
    <w:rsid w:val="6ED8429D"/>
    <w:rsid w:val="6ED973FC"/>
    <w:rsid w:val="6EED5F9B"/>
    <w:rsid w:val="6EEF3C2A"/>
    <w:rsid w:val="6EF2535F"/>
    <w:rsid w:val="6F0C365F"/>
    <w:rsid w:val="6F174DC6"/>
    <w:rsid w:val="6F1B7BF4"/>
    <w:rsid w:val="6F1E1894"/>
    <w:rsid w:val="6F23376B"/>
    <w:rsid w:val="6F265009"/>
    <w:rsid w:val="6F2D6397"/>
    <w:rsid w:val="6F341033"/>
    <w:rsid w:val="6F34735B"/>
    <w:rsid w:val="6F484F7F"/>
    <w:rsid w:val="6F4B1788"/>
    <w:rsid w:val="6F4E3947"/>
    <w:rsid w:val="6F4E6A14"/>
    <w:rsid w:val="6F5C0A2B"/>
    <w:rsid w:val="6F6135D9"/>
    <w:rsid w:val="6F693749"/>
    <w:rsid w:val="6F6A3147"/>
    <w:rsid w:val="6F7458D1"/>
    <w:rsid w:val="6F8166E3"/>
    <w:rsid w:val="6F8416CF"/>
    <w:rsid w:val="6F857F81"/>
    <w:rsid w:val="6F8F7052"/>
    <w:rsid w:val="6F95179B"/>
    <w:rsid w:val="6F9D7BE5"/>
    <w:rsid w:val="6F9E7295"/>
    <w:rsid w:val="6F9F2AB4"/>
    <w:rsid w:val="6FAD1286"/>
    <w:rsid w:val="6FAD4CF3"/>
    <w:rsid w:val="6FB645DF"/>
    <w:rsid w:val="6FB77864"/>
    <w:rsid w:val="6FC07FB0"/>
    <w:rsid w:val="6FC17269"/>
    <w:rsid w:val="6FCC75D9"/>
    <w:rsid w:val="6FD269A1"/>
    <w:rsid w:val="6FDD0023"/>
    <w:rsid w:val="6FF173C5"/>
    <w:rsid w:val="6FF62C2D"/>
    <w:rsid w:val="700510C2"/>
    <w:rsid w:val="700D3C59"/>
    <w:rsid w:val="70115BD2"/>
    <w:rsid w:val="701D3990"/>
    <w:rsid w:val="70236185"/>
    <w:rsid w:val="70311EB7"/>
    <w:rsid w:val="70315562"/>
    <w:rsid w:val="703620CB"/>
    <w:rsid w:val="703823E9"/>
    <w:rsid w:val="703D260A"/>
    <w:rsid w:val="703E5F7E"/>
    <w:rsid w:val="70415E91"/>
    <w:rsid w:val="704240C4"/>
    <w:rsid w:val="7046362A"/>
    <w:rsid w:val="70511328"/>
    <w:rsid w:val="705A19BC"/>
    <w:rsid w:val="705A27F4"/>
    <w:rsid w:val="705C4791"/>
    <w:rsid w:val="7060062E"/>
    <w:rsid w:val="706338B4"/>
    <w:rsid w:val="70666005"/>
    <w:rsid w:val="707E3936"/>
    <w:rsid w:val="70807928"/>
    <w:rsid w:val="70875F7B"/>
    <w:rsid w:val="709F1517"/>
    <w:rsid w:val="70A00DEB"/>
    <w:rsid w:val="70A61135"/>
    <w:rsid w:val="70A7675A"/>
    <w:rsid w:val="70B477CF"/>
    <w:rsid w:val="70B623BC"/>
    <w:rsid w:val="70B65F8C"/>
    <w:rsid w:val="70B66341"/>
    <w:rsid w:val="70B81788"/>
    <w:rsid w:val="70BE62B2"/>
    <w:rsid w:val="70C456BC"/>
    <w:rsid w:val="70CE7706"/>
    <w:rsid w:val="70D32F6E"/>
    <w:rsid w:val="70D56CE6"/>
    <w:rsid w:val="70D7170B"/>
    <w:rsid w:val="70DF3B22"/>
    <w:rsid w:val="70E233A7"/>
    <w:rsid w:val="70E92792"/>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667B1B"/>
    <w:rsid w:val="717304A3"/>
    <w:rsid w:val="7175660B"/>
    <w:rsid w:val="717750A4"/>
    <w:rsid w:val="717866CF"/>
    <w:rsid w:val="71856665"/>
    <w:rsid w:val="718A7A50"/>
    <w:rsid w:val="719E4941"/>
    <w:rsid w:val="71A83AF7"/>
    <w:rsid w:val="71A843FB"/>
    <w:rsid w:val="71AD13D4"/>
    <w:rsid w:val="71B308F2"/>
    <w:rsid w:val="71BB412E"/>
    <w:rsid w:val="71BD3A7A"/>
    <w:rsid w:val="71C56D5B"/>
    <w:rsid w:val="71C64881"/>
    <w:rsid w:val="71C77AE4"/>
    <w:rsid w:val="71D376CA"/>
    <w:rsid w:val="71D47A7F"/>
    <w:rsid w:val="71D85B59"/>
    <w:rsid w:val="71DA06AB"/>
    <w:rsid w:val="71E4203D"/>
    <w:rsid w:val="71E82A49"/>
    <w:rsid w:val="71E926CD"/>
    <w:rsid w:val="71ED62B2"/>
    <w:rsid w:val="71F509A5"/>
    <w:rsid w:val="72071A82"/>
    <w:rsid w:val="72083B33"/>
    <w:rsid w:val="720B57FE"/>
    <w:rsid w:val="720B62BF"/>
    <w:rsid w:val="720D24B0"/>
    <w:rsid w:val="720D3D20"/>
    <w:rsid w:val="72203F91"/>
    <w:rsid w:val="72216562"/>
    <w:rsid w:val="72277008"/>
    <w:rsid w:val="7229261B"/>
    <w:rsid w:val="722C01C9"/>
    <w:rsid w:val="72304722"/>
    <w:rsid w:val="7242215A"/>
    <w:rsid w:val="724A3704"/>
    <w:rsid w:val="724E3E15"/>
    <w:rsid w:val="724F5E6C"/>
    <w:rsid w:val="725D1AA0"/>
    <w:rsid w:val="72657495"/>
    <w:rsid w:val="72692740"/>
    <w:rsid w:val="72693B8A"/>
    <w:rsid w:val="726E117A"/>
    <w:rsid w:val="72764326"/>
    <w:rsid w:val="72781F16"/>
    <w:rsid w:val="72793834"/>
    <w:rsid w:val="728032BA"/>
    <w:rsid w:val="728D4FDC"/>
    <w:rsid w:val="72914E8F"/>
    <w:rsid w:val="729A209E"/>
    <w:rsid w:val="729D3834"/>
    <w:rsid w:val="729E390D"/>
    <w:rsid w:val="729F135A"/>
    <w:rsid w:val="72A41241"/>
    <w:rsid w:val="72A535B2"/>
    <w:rsid w:val="72AA78B4"/>
    <w:rsid w:val="72B868C0"/>
    <w:rsid w:val="72BC3359"/>
    <w:rsid w:val="72C40186"/>
    <w:rsid w:val="72C63A44"/>
    <w:rsid w:val="72C730FE"/>
    <w:rsid w:val="72E34342"/>
    <w:rsid w:val="72E613A6"/>
    <w:rsid w:val="72E8337C"/>
    <w:rsid w:val="72E90827"/>
    <w:rsid w:val="72F21DD2"/>
    <w:rsid w:val="72F434FA"/>
    <w:rsid w:val="72F62F44"/>
    <w:rsid w:val="72FA2A34"/>
    <w:rsid w:val="72FE5E6C"/>
    <w:rsid w:val="730B2421"/>
    <w:rsid w:val="730B2A5D"/>
    <w:rsid w:val="730D1C62"/>
    <w:rsid w:val="731356C2"/>
    <w:rsid w:val="73151916"/>
    <w:rsid w:val="73184198"/>
    <w:rsid w:val="731B4281"/>
    <w:rsid w:val="73262E6D"/>
    <w:rsid w:val="73373C05"/>
    <w:rsid w:val="73394622"/>
    <w:rsid w:val="733F63CB"/>
    <w:rsid w:val="734168B5"/>
    <w:rsid w:val="73490DFC"/>
    <w:rsid w:val="734A5387"/>
    <w:rsid w:val="73527C7D"/>
    <w:rsid w:val="73555688"/>
    <w:rsid w:val="736C1BDF"/>
    <w:rsid w:val="736E2B3F"/>
    <w:rsid w:val="7370719A"/>
    <w:rsid w:val="737218FE"/>
    <w:rsid w:val="73754FD7"/>
    <w:rsid w:val="73767EDB"/>
    <w:rsid w:val="737C7606"/>
    <w:rsid w:val="738E4CE0"/>
    <w:rsid w:val="739A5FC5"/>
    <w:rsid w:val="73A26CD8"/>
    <w:rsid w:val="73AA26AC"/>
    <w:rsid w:val="73B34E42"/>
    <w:rsid w:val="73B83040"/>
    <w:rsid w:val="73BA1DA6"/>
    <w:rsid w:val="73BF2DAF"/>
    <w:rsid w:val="73C17A92"/>
    <w:rsid w:val="73C90A44"/>
    <w:rsid w:val="73CA5289"/>
    <w:rsid w:val="73D2575F"/>
    <w:rsid w:val="73D2750D"/>
    <w:rsid w:val="73E14BDD"/>
    <w:rsid w:val="73E35202"/>
    <w:rsid w:val="73E829D8"/>
    <w:rsid w:val="73EC6716"/>
    <w:rsid w:val="73F2112A"/>
    <w:rsid w:val="73F62B37"/>
    <w:rsid w:val="73F94CA3"/>
    <w:rsid w:val="74094E3D"/>
    <w:rsid w:val="740D2C3B"/>
    <w:rsid w:val="7410198C"/>
    <w:rsid w:val="7416389E"/>
    <w:rsid w:val="741F54A2"/>
    <w:rsid w:val="742331AE"/>
    <w:rsid w:val="7428537F"/>
    <w:rsid w:val="742A10F7"/>
    <w:rsid w:val="742F2BB2"/>
    <w:rsid w:val="743326A2"/>
    <w:rsid w:val="743553DE"/>
    <w:rsid w:val="743D0A2B"/>
    <w:rsid w:val="744F3906"/>
    <w:rsid w:val="74551EB3"/>
    <w:rsid w:val="745A0FA0"/>
    <w:rsid w:val="74610709"/>
    <w:rsid w:val="74797F6C"/>
    <w:rsid w:val="74876A28"/>
    <w:rsid w:val="74884175"/>
    <w:rsid w:val="749132B1"/>
    <w:rsid w:val="749D15EC"/>
    <w:rsid w:val="74A5312C"/>
    <w:rsid w:val="74AC6BC6"/>
    <w:rsid w:val="74BD1F6B"/>
    <w:rsid w:val="74D13C69"/>
    <w:rsid w:val="74D271DD"/>
    <w:rsid w:val="74DB29B2"/>
    <w:rsid w:val="74DF3CDB"/>
    <w:rsid w:val="74E04982"/>
    <w:rsid w:val="74E314C0"/>
    <w:rsid w:val="74F160B9"/>
    <w:rsid w:val="74F236DC"/>
    <w:rsid w:val="74FD697A"/>
    <w:rsid w:val="751A5826"/>
    <w:rsid w:val="752129D4"/>
    <w:rsid w:val="752B5127"/>
    <w:rsid w:val="752C6AB2"/>
    <w:rsid w:val="7530273D"/>
    <w:rsid w:val="75322959"/>
    <w:rsid w:val="7534397E"/>
    <w:rsid w:val="753540AD"/>
    <w:rsid w:val="75355AB1"/>
    <w:rsid w:val="75377F70"/>
    <w:rsid w:val="753C7334"/>
    <w:rsid w:val="7540442C"/>
    <w:rsid w:val="75492994"/>
    <w:rsid w:val="75494AE8"/>
    <w:rsid w:val="754D7793"/>
    <w:rsid w:val="75664928"/>
    <w:rsid w:val="756A2C6E"/>
    <w:rsid w:val="756C5695"/>
    <w:rsid w:val="75720FA8"/>
    <w:rsid w:val="75735A2A"/>
    <w:rsid w:val="75774810"/>
    <w:rsid w:val="75826D11"/>
    <w:rsid w:val="75836B45"/>
    <w:rsid w:val="75845947"/>
    <w:rsid w:val="75850468"/>
    <w:rsid w:val="75866BE9"/>
    <w:rsid w:val="758E56B6"/>
    <w:rsid w:val="759B6003"/>
    <w:rsid w:val="759C32BC"/>
    <w:rsid w:val="75A04F3B"/>
    <w:rsid w:val="75A26BC4"/>
    <w:rsid w:val="75AE59C7"/>
    <w:rsid w:val="75B61842"/>
    <w:rsid w:val="75BC78AF"/>
    <w:rsid w:val="75C604F3"/>
    <w:rsid w:val="75C97681"/>
    <w:rsid w:val="75CB7BF0"/>
    <w:rsid w:val="75D06B7B"/>
    <w:rsid w:val="75D22390"/>
    <w:rsid w:val="75D62BEE"/>
    <w:rsid w:val="75D74EF8"/>
    <w:rsid w:val="75E20E90"/>
    <w:rsid w:val="75E27AE1"/>
    <w:rsid w:val="75FE283B"/>
    <w:rsid w:val="76066358"/>
    <w:rsid w:val="760719A1"/>
    <w:rsid w:val="760A52CC"/>
    <w:rsid w:val="760C4ED0"/>
    <w:rsid w:val="760D3186"/>
    <w:rsid w:val="7617699B"/>
    <w:rsid w:val="76201226"/>
    <w:rsid w:val="7621477C"/>
    <w:rsid w:val="76261C26"/>
    <w:rsid w:val="76261D92"/>
    <w:rsid w:val="762F2954"/>
    <w:rsid w:val="76342701"/>
    <w:rsid w:val="76384F46"/>
    <w:rsid w:val="7646764A"/>
    <w:rsid w:val="764D5571"/>
    <w:rsid w:val="764E1B03"/>
    <w:rsid w:val="7652543E"/>
    <w:rsid w:val="76572242"/>
    <w:rsid w:val="76636B42"/>
    <w:rsid w:val="766703E1"/>
    <w:rsid w:val="76780840"/>
    <w:rsid w:val="767C19B2"/>
    <w:rsid w:val="767E66C8"/>
    <w:rsid w:val="7683069C"/>
    <w:rsid w:val="76891A32"/>
    <w:rsid w:val="76A27DD7"/>
    <w:rsid w:val="76A96C4B"/>
    <w:rsid w:val="76AD15F9"/>
    <w:rsid w:val="76BE4F30"/>
    <w:rsid w:val="76C70E7F"/>
    <w:rsid w:val="76CD220E"/>
    <w:rsid w:val="76CD451D"/>
    <w:rsid w:val="76D22E2E"/>
    <w:rsid w:val="76DD065E"/>
    <w:rsid w:val="76DF08BF"/>
    <w:rsid w:val="76EE2591"/>
    <w:rsid w:val="76EF7D2C"/>
    <w:rsid w:val="76F0798D"/>
    <w:rsid w:val="76F246E6"/>
    <w:rsid w:val="76F53C3E"/>
    <w:rsid w:val="76F96011"/>
    <w:rsid w:val="770318FD"/>
    <w:rsid w:val="7711659E"/>
    <w:rsid w:val="77146E97"/>
    <w:rsid w:val="771766AF"/>
    <w:rsid w:val="7719763B"/>
    <w:rsid w:val="771D558A"/>
    <w:rsid w:val="772A140E"/>
    <w:rsid w:val="773D41CF"/>
    <w:rsid w:val="773E26D2"/>
    <w:rsid w:val="77403575"/>
    <w:rsid w:val="774431E4"/>
    <w:rsid w:val="7748368E"/>
    <w:rsid w:val="774F6700"/>
    <w:rsid w:val="77533F2B"/>
    <w:rsid w:val="77543014"/>
    <w:rsid w:val="775517FF"/>
    <w:rsid w:val="776C6C6C"/>
    <w:rsid w:val="777860D8"/>
    <w:rsid w:val="778E7BEF"/>
    <w:rsid w:val="7792252C"/>
    <w:rsid w:val="77991C3E"/>
    <w:rsid w:val="779A6594"/>
    <w:rsid w:val="77A83CB3"/>
    <w:rsid w:val="77AE0291"/>
    <w:rsid w:val="77AE7402"/>
    <w:rsid w:val="77B238DE"/>
    <w:rsid w:val="77B533CE"/>
    <w:rsid w:val="77B70EF4"/>
    <w:rsid w:val="77BF5BB1"/>
    <w:rsid w:val="77C33D3D"/>
    <w:rsid w:val="77C87BF6"/>
    <w:rsid w:val="77C96E79"/>
    <w:rsid w:val="77DF4943"/>
    <w:rsid w:val="77E837A3"/>
    <w:rsid w:val="77F26063"/>
    <w:rsid w:val="77F4039A"/>
    <w:rsid w:val="780B4A40"/>
    <w:rsid w:val="781B42F8"/>
    <w:rsid w:val="781B72AA"/>
    <w:rsid w:val="781C67C3"/>
    <w:rsid w:val="78315590"/>
    <w:rsid w:val="783C2021"/>
    <w:rsid w:val="783F079D"/>
    <w:rsid w:val="7847671C"/>
    <w:rsid w:val="78533C42"/>
    <w:rsid w:val="78595654"/>
    <w:rsid w:val="785F235F"/>
    <w:rsid w:val="78623A97"/>
    <w:rsid w:val="786A679E"/>
    <w:rsid w:val="787E207D"/>
    <w:rsid w:val="787E7C64"/>
    <w:rsid w:val="78827754"/>
    <w:rsid w:val="78841D97"/>
    <w:rsid w:val="78872FBC"/>
    <w:rsid w:val="78900078"/>
    <w:rsid w:val="78946D0A"/>
    <w:rsid w:val="789A1ACA"/>
    <w:rsid w:val="78A56AB5"/>
    <w:rsid w:val="78C620B9"/>
    <w:rsid w:val="78C966FA"/>
    <w:rsid w:val="78CB1B99"/>
    <w:rsid w:val="78CE2454"/>
    <w:rsid w:val="78D67AA0"/>
    <w:rsid w:val="78DC5A8E"/>
    <w:rsid w:val="78DD498A"/>
    <w:rsid w:val="78E91F32"/>
    <w:rsid w:val="78F12B57"/>
    <w:rsid w:val="78F44474"/>
    <w:rsid w:val="78F44730"/>
    <w:rsid w:val="790463BB"/>
    <w:rsid w:val="79093888"/>
    <w:rsid w:val="790A315A"/>
    <w:rsid w:val="790D6D3D"/>
    <w:rsid w:val="790E7239"/>
    <w:rsid w:val="791648AD"/>
    <w:rsid w:val="791F1D70"/>
    <w:rsid w:val="79217712"/>
    <w:rsid w:val="79311193"/>
    <w:rsid w:val="79360258"/>
    <w:rsid w:val="7937681E"/>
    <w:rsid w:val="793F5645"/>
    <w:rsid w:val="794331C4"/>
    <w:rsid w:val="79440AEE"/>
    <w:rsid w:val="794A1A4C"/>
    <w:rsid w:val="796C31B8"/>
    <w:rsid w:val="797855A3"/>
    <w:rsid w:val="797967FE"/>
    <w:rsid w:val="797F1EE5"/>
    <w:rsid w:val="79872276"/>
    <w:rsid w:val="79890FF4"/>
    <w:rsid w:val="7989257D"/>
    <w:rsid w:val="79907C4E"/>
    <w:rsid w:val="79922D97"/>
    <w:rsid w:val="79927E6B"/>
    <w:rsid w:val="79A454A8"/>
    <w:rsid w:val="79AA26DF"/>
    <w:rsid w:val="79B70EF8"/>
    <w:rsid w:val="79C15542"/>
    <w:rsid w:val="79C75326"/>
    <w:rsid w:val="79CD0EA3"/>
    <w:rsid w:val="79EB497D"/>
    <w:rsid w:val="79F6754E"/>
    <w:rsid w:val="79FB0261"/>
    <w:rsid w:val="79FB2DAF"/>
    <w:rsid w:val="79FD4387"/>
    <w:rsid w:val="7A087BDF"/>
    <w:rsid w:val="7A0B5527"/>
    <w:rsid w:val="7A0C565C"/>
    <w:rsid w:val="7A1C2352"/>
    <w:rsid w:val="7A1C61A9"/>
    <w:rsid w:val="7A2B7977"/>
    <w:rsid w:val="7A41719B"/>
    <w:rsid w:val="7A484CAA"/>
    <w:rsid w:val="7A4A24F3"/>
    <w:rsid w:val="7A5001CD"/>
    <w:rsid w:val="7A5E7D4D"/>
    <w:rsid w:val="7A5F3524"/>
    <w:rsid w:val="7A62317A"/>
    <w:rsid w:val="7A6510DB"/>
    <w:rsid w:val="7A6D1D3E"/>
    <w:rsid w:val="7A7721AD"/>
    <w:rsid w:val="7A807CC3"/>
    <w:rsid w:val="7A813A3B"/>
    <w:rsid w:val="7A817172"/>
    <w:rsid w:val="7A885FEA"/>
    <w:rsid w:val="7A890F22"/>
    <w:rsid w:val="7A916DEC"/>
    <w:rsid w:val="7A94551C"/>
    <w:rsid w:val="7A955A03"/>
    <w:rsid w:val="7A9F2CF5"/>
    <w:rsid w:val="7AA23342"/>
    <w:rsid w:val="7AA53BCD"/>
    <w:rsid w:val="7AA60701"/>
    <w:rsid w:val="7AAC0AB8"/>
    <w:rsid w:val="7AAE5C60"/>
    <w:rsid w:val="7ABE4C8F"/>
    <w:rsid w:val="7AC0465B"/>
    <w:rsid w:val="7AC322A6"/>
    <w:rsid w:val="7AC926EB"/>
    <w:rsid w:val="7ACE2AB8"/>
    <w:rsid w:val="7AD128A9"/>
    <w:rsid w:val="7AD2187C"/>
    <w:rsid w:val="7ADC456B"/>
    <w:rsid w:val="7AE45DA6"/>
    <w:rsid w:val="7AE46F51"/>
    <w:rsid w:val="7AEA0DF1"/>
    <w:rsid w:val="7AEF309B"/>
    <w:rsid w:val="7AF67F85"/>
    <w:rsid w:val="7AF95CC7"/>
    <w:rsid w:val="7B05488D"/>
    <w:rsid w:val="7B095F0A"/>
    <w:rsid w:val="7B0A06CB"/>
    <w:rsid w:val="7B0D17BE"/>
    <w:rsid w:val="7B18614D"/>
    <w:rsid w:val="7B1F0B72"/>
    <w:rsid w:val="7B1F572E"/>
    <w:rsid w:val="7B284E41"/>
    <w:rsid w:val="7B345352"/>
    <w:rsid w:val="7B354232"/>
    <w:rsid w:val="7B430CF1"/>
    <w:rsid w:val="7B4754DF"/>
    <w:rsid w:val="7B4E3BEA"/>
    <w:rsid w:val="7B532E03"/>
    <w:rsid w:val="7B5B603A"/>
    <w:rsid w:val="7B626231"/>
    <w:rsid w:val="7B656EB9"/>
    <w:rsid w:val="7B6F568B"/>
    <w:rsid w:val="7B813614"/>
    <w:rsid w:val="7B8639A2"/>
    <w:rsid w:val="7B8706E0"/>
    <w:rsid w:val="7B925A79"/>
    <w:rsid w:val="7B931C78"/>
    <w:rsid w:val="7B977E97"/>
    <w:rsid w:val="7B98728E"/>
    <w:rsid w:val="7B9E4FF6"/>
    <w:rsid w:val="7BA07EF1"/>
    <w:rsid w:val="7BAA2A01"/>
    <w:rsid w:val="7BAC2D3A"/>
    <w:rsid w:val="7BAD0F8C"/>
    <w:rsid w:val="7BAE2C50"/>
    <w:rsid w:val="7BB51BEE"/>
    <w:rsid w:val="7BB526B3"/>
    <w:rsid w:val="7BB75847"/>
    <w:rsid w:val="7BB75966"/>
    <w:rsid w:val="7BC912FA"/>
    <w:rsid w:val="7BD03832"/>
    <w:rsid w:val="7BD10038"/>
    <w:rsid w:val="7BD302C6"/>
    <w:rsid w:val="7BD71211"/>
    <w:rsid w:val="7BE06574"/>
    <w:rsid w:val="7BE50268"/>
    <w:rsid w:val="7BF07FCB"/>
    <w:rsid w:val="7BFF730D"/>
    <w:rsid w:val="7C01327F"/>
    <w:rsid w:val="7C014FB3"/>
    <w:rsid w:val="7C0244F2"/>
    <w:rsid w:val="7C0349FB"/>
    <w:rsid w:val="7C0D18E9"/>
    <w:rsid w:val="7C181EB2"/>
    <w:rsid w:val="7C262AEC"/>
    <w:rsid w:val="7C2B4424"/>
    <w:rsid w:val="7C2C5002"/>
    <w:rsid w:val="7C304F8E"/>
    <w:rsid w:val="7C336FB7"/>
    <w:rsid w:val="7C39281F"/>
    <w:rsid w:val="7C4371FA"/>
    <w:rsid w:val="7C4C370C"/>
    <w:rsid w:val="7C4F089D"/>
    <w:rsid w:val="7C5238E1"/>
    <w:rsid w:val="7C5D7BDC"/>
    <w:rsid w:val="7C5D7E4F"/>
    <w:rsid w:val="7C605B0C"/>
    <w:rsid w:val="7C630C65"/>
    <w:rsid w:val="7C740D99"/>
    <w:rsid w:val="7C760599"/>
    <w:rsid w:val="7C7C5114"/>
    <w:rsid w:val="7C88789A"/>
    <w:rsid w:val="7C935AB5"/>
    <w:rsid w:val="7C9D7092"/>
    <w:rsid w:val="7CA87E11"/>
    <w:rsid w:val="7CB4634A"/>
    <w:rsid w:val="7CC62D8B"/>
    <w:rsid w:val="7CCA4662"/>
    <w:rsid w:val="7CCF762A"/>
    <w:rsid w:val="7CDB21E3"/>
    <w:rsid w:val="7CDD2818"/>
    <w:rsid w:val="7CE04A49"/>
    <w:rsid w:val="7CF60710"/>
    <w:rsid w:val="7D00333D"/>
    <w:rsid w:val="7D040449"/>
    <w:rsid w:val="7D0A5491"/>
    <w:rsid w:val="7D140B97"/>
    <w:rsid w:val="7D1D2D01"/>
    <w:rsid w:val="7D231188"/>
    <w:rsid w:val="7D357EBC"/>
    <w:rsid w:val="7D407128"/>
    <w:rsid w:val="7D435848"/>
    <w:rsid w:val="7D4A331D"/>
    <w:rsid w:val="7D53197F"/>
    <w:rsid w:val="7D582BD3"/>
    <w:rsid w:val="7D633A67"/>
    <w:rsid w:val="7D6F29AF"/>
    <w:rsid w:val="7D705CBB"/>
    <w:rsid w:val="7D7E3B4B"/>
    <w:rsid w:val="7D80447E"/>
    <w:rsid w:val="7D8103DB"/>
    <w:rsid w:val="7D817656"/>
    <w:rsid w:val="7D845D1C"/>
    <w:rsid w:val="7D8862B7"/>
    <w:rsid w:val="7D8C71F3"/>
    <w:rsid w:val="7D935E67"/>
    <w:rsid w:val="7D99109C"/>
    <w:rsid w:val="7D9B184A"/>
    <w:rsid w:val="7D9F519D"/>
    <w:rsid w:val="7DA3023D"/>
    <w:rsid w:val="7DA43CC8"/>
    <w:rsid w:val="7DAB6D2C"/>
    <w:rsid w:val="7DAE0FEB"/>
    <w:rsid w:val="7DB61C4E"/>
    <w:rsid w:val="7DB71C83"/>
    <w:rsid w:val="7DB84577"/>
    <w:rsid w:val="7DBF5565"/>
    <w:rsid w:val="7DC9372F"/>
    <w:rsid w:val="7DCF44F8"/>
    <w:rsid w:val="7DD303DA"/>
    <w:rsid w:val="7DD9273F"/>
    <w:rsid w:val="7DE20C95"/>
    <w:rsid w:val="7DE40F78"/>
    <w:rsid w:val="7DE871B4"/>
    <w:rsid w:val="7DEA0341"/>
    <w:rsid w:val="7DEB37E9"/>
    <w:rsid w:val="7DF82266"/>
    <w:rsid w:val="7E0751A3"/>
    <w:rsid w:val="7E197282"/>
    <w:rsid w:val="7E1A5C35"/>
    <w:rsid w:val="7E1D3A7B"/>
    <w:rsid w:val="7E2766A8"/>
    <w:rsid w:val="7E297621"/>
    <w:rsid w:val="7E2C4707"/>
    <w:rsid w:val="7E35325C"/>
    <w:rsid w:val="7E393919"/>
    <w:rsid w:val="7E395B7B"/>
    <w:rsid w:val="7E397153"/>
    <w:rsid w:val="7E493D4F"/>
    <w:rsid w:val="7E4A6504"/>
    <w:rsid w:val="7E4D4360"/>
    <w:rsid w:val="7E4E1E86"/>
    <w:rsid w:val="7E5E5A0F"/>
    <w:rsid w:val="7E6E2528"/>
    <w:rsid w:val="7E786F03"/>
    <w:rsid w:val="7E795086"/>
    <w:rsid w:val="7E7E09BD"/>
    <w:rsid w:val="7E845D81"/>
    <w:rsid w:val="7E8813E9"/>
    <w:rsid w:val="7E9E696A"/>
    <w:rsid w:val="7EA96C28"/>
    <w:rsid w:val="7EAB45DB"/>
    <w:rsid w:val="7EB97C47"/>
    <w:rsid w:val="7EBF64A4"/>
    <w:rsid w:val="7EC00C27"/>
    <w:rsid w:val="7EC27667"/>
    <w:rsid w:val="7EC62364"/>
    <w:rsid w:val="7ECB606F"/>
    <w:rsid w:val="7ECF0986"/>
    <w:rsid w:val="7EE328E6"/>
    <w:rsid w:val="7EEA3505"/>
    <w:rsid w:val="7EEB3B79"/>
    <w:rsid w:val="7EEC6DDC"/>
    <w:rsid w:val="7EF20E16"/>
    <w:rsid w:val="7EF22037"/>
    <w:rsid w:val="7EF649F8"/>
    <w:rsid w:val="7EF71012"/>
    <w:rsid w:val="7EF77AD5"/>
    <w:rsid w:val="7F0C5FC9"/>
    <w:rsid w:val="7F1050B8"/>
    <w:rsid w:val="7F1175B5"/>
    <w:rsid w:val="7F121106"/>
    <w:rsid w:val="7F1B445E"/>
    <w:rsid w:val="7F261F6C"/>
    <w:rsid w:val="7F2F74D9"/>
    <w:rsid w:val="7F3D6F3F"/>
    <w:rsid w:val="7F4008AF"/>
    <w:rsid w:val="7F4B329E"/>
    <w:rsid w:val="7F4B424A"/>
    <w:rsid w:val="7F691204"/>
    <w:rsid w:val="7F711704"/>
    <w:rsid w:val="7F737DF6"/>
    <w:rsid w:val="7F796BA3"/>
    <w:rsid w:val="7F7A3700"/>
    <w:rsid w:val="7F7E4E2C"/>
    <w:rsid w:val="7F9014F2"/>
    <w:rsid w:val="7F9020BE"/>
    <w:rsid w:val="7F906B71"/>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autoRedefine/>
    <w:qFormat/>
    <w:uiPriority w:val="0"/>
    <w:pPr>
      <w:keepNext/>
      <w:keepLines/>
      <w:adjustRightInd w:val="0"/>
      <w:snapToGrid w:val="0"/>
      <w:spacing w:before="156" w:line="360" w:lineRule="auto"/>
      <w:outlineLvl w:val="1"/>
    </w:pPr>
    <w:rPr>
      <w:b/>
      <w:sz w:val="24"/>
    </w:rPr>
  </w:style>
  <w:style w:type="paragraph" w:styleId="6">
    <w:name w:val="heading 3"/>
    <w:basedOn w:val="1"/>
    <w:next w:val="1"/>
    <w:autoRedefine/>
    <w:qFormat/>
    <w:uiPriority w:val="0"/>
    <w:pPr>
      <w:keepNext/>
      <w:keepLines/>
      <w:spacing w:line="360" w:lineRule="auto"/>
      <w:ind w:left="852"/>
      <w:outlineLvl w:val="2"/>
    </w:pPr>
    <w:rPr>
      <w:rFonts w:eastAsia="黑体"/>
      <w:b/>
      <w:kern w:val="0"/>
      <w:sz w:val="24"/>
    </w:rPr>
  </w:style>
  <w:style w:type="paragraph" w:styleId="7">
    <w:name w:val="heading 4"/>
    <w:basedOn w:val="1"/>
    <w:next w:val="1"/>
    <w:autoRedefine/>
    <w:qFormat/>
    <w:uiPriority w:val="0"/>
    <w:pPr>
      <w:keepNext/>
      <w:keepLines/>
      <w:spacing w:line="360" w:lineRule="auto"/>
      <w:outlineLvl w:val="3"/>
    </w:pPr>
    <w:rPr>
      <w:b/>
      <w:sz w:val="24"/>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pPr>
      <w:spacing w:after="120"/>
    </w:pPr>
  </w:style>
  <w:style w:type="paragraph" w:customStyle="1" w:styleId="3">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8">
    <w:name w:val="List 3"/>
    <w:basedOn w:val="1"/>
    <w:unhideWhenUsed/>
    <w:qFormat/>
    <w:uiPriority w:val="99"/>
    <w:pPr>
      <w:ind w:left="1260" w:hanging="420"/>
    </w:pPr>
  </w:style>
  <w:style w:type="paragraph" w:styleId="9">
    <w:name w:val="table of authorities"/>
    <w:basedOn w:val="1"/>
    <w:next w:val="1"/>
    <w:semiHidden/>
    <w:qFormat/>
    <w:uiPriority w:val="0"/>
    <w:pPr>
      <w:ind w:left="420" w:leftChars="200"/>
    </w:pPr>
  </w:style>
  <w:style w:type="paragraph" w:styleId="10">
    <w:name w:val="index 8"/>
    <w:basedOn w:val="1"/>
    <w:next w:val="1"/>
    <w:qFormat/>
    <w:uiPriority w:val="0"/>
    <w:pPr>
      <w:shd w:val="clear" w:color="auto" w:fill="FFFFFF"/>
    </w:pPr>
  </w:style>
  <w:style w:type="paragraph" w:styleId="11">
    <w:name w:val="Normal Indent"/>
    <w:basedOn w:val="1"/>
    <w:next w:val="1"/>
    <w:autoRedefine/>
    <w:qFormat/>
    <w:uiPriority w:val="0"/>
    <w:pPr>
      <w:ind w:firstLine="420" w:firstLineChars="200"/>
    </w:pPr>
  </w:style>
  <w:style w:type="paragraph" w:styleId="12">
    <w:name w:val="caption"/>
    <w:basedOn w:val="1"/>
    <w:next w:val="1"/>
    <w:autoRedefine/>
    <w:qFormat/>
    <w:uiPriority w:val="0"/>
    <w:rPr>
      <w:rFonts w:ascii="Arial" w:hAnsi="Arial" w:eastAsia="黑体" w:cs="Arial"/>
      <w:sz w:val="20"/>
      <w:szCs w:val="20"/>
    </w:rPr>
  </w:style>
  <w:style w:type="paragraph" w:styleId="13">
    <w:name w:val="toa heading"/>
    <w:basedOn w:val="1"/>
    <w:next w:val="1"/>
    <w:autoRedefine/>
    <w:unhideWhenUsed/>
    <w:qFormat/>
    <w:uiPriority w:val="99"/>
    <w:pPr>
      <w:spacing w:before="120"/>
    </w:pPr>
    <w:rPr>
      <w:rFonts w:ascii="Cambria" w:hAnsi="Cambria"/>
      <w:sz w:val="24"/>
    </w:rPr>
  </w:style>
  <w:style w:type="paragraph" w:styleId="14">
    <w:name w:val="annotation text"/>
    <w:basedOn w:val="1"/>
    <w:link w:val="140"/>
    <w:autoRedefine/>
    <w:qFormat/>
    <w:uiPriority w:val="0"/>
    <w:pPr>
      <w:jc w:val="left"/>
    </w:pPr>
  </w:style>
  <w:style w:type="paragraph" w:styleId="15">
    <w:name w:val="Salutation"/>
    <w:basedOn w:val="1"/>
    <w:next w:val="1"/>
    <w:autoRedefine/>
    <w:qFormat/>
    <w:uiPriority w:val="0"/>
  </w:style>
  <w:style w:type="paragraph" w:styleId="16">
    <w:name w:val="Body Text Indent"/>
    <w:basedOn w:val="1"/>
    <w:autoRedefine/>
    <w:qFormat/>
    <w:uiPriority w:val="0"/>
    <w:pPr>
      <w:widowControl/>
      <w:spacing w:after="120"/>
      <w:ind w:left="420" w:leftChars="200"/>
      <w:jc w:val="left"/>
    </w:pPr>
    <w:rPr>
      <w:kern w:val="0"/>
      <w:sz w:val="24"/>
    </w:rPr>
  </w:style>
  <w:style w:type="paragraph" w:styleId="17">
    <w:name w:val="Block Text"/>
    <w:basedOn w:val="1"/>
    <w:autoRedefine/>
    <w:qFormat/>
    <w:uiPriority w:val="0"/>
    <w:pPr>
      <w:spacing w:after="120"/>
      <w:ind w:left="1440" w:leftChars="700" w:right="1440" w:rightChars="700"/>
    </w:pPr>
  </w:style>
  <w:style w:type="paragraph" w:styleId="18">
    <w:name w:val="Plain Text"/>
    <w:basedOn w:val="1"/>
    <w:next w:val="1"/>
    <w:autoRedefine/>
    <w:qFormat/>
    <w:uiPriority w:val="0"/>
    <w:rPr>
      <w:rFonts w:ascii="宋体" w:hAnsi="Courier New"/>
    </w:rPr>
  </w:style>
  <w:style w:type="paragraph" w:styleId="19">
    <w:name w:val="Date"/>
    <w:basedOn w:val="1"/>
    <w:next w:val="1"/>
    <w:autoRedefine/>
    <w:qFormat/>
    <w:uiPriority w:val="0"/>
    <w:rPr>
      <w:sz w:val="24"/>
      <w:szCs w:val="20"/>
    </w:rPr>
  </w:style>
  <w:style w:type="paragraph" w:styleId="20">
    <w:name w:val="Body Text Indent 2"/>
    <w:basedOn w:val="1"/>
    <w:autoRedefine/>
    <w:qFormat/>
    <w:uiPriority w:val="0"/>
    <w:pPr>
      <w:spacing w:after="120" w:line="480" w:lineRule="auto"/>
      <w:ind w:left="200" w:leftChars="200"/>
    </w:pPr>
    <w:rPr>
      <w:sz w:val="24"/>
    </w:rPr>
  </w:style>
  <w:style w:type="paragraph" w:styleId="21">
    <w:name w:val="Balloon Text"/>
    <w:basedOn w:val="1"/>
    <w:link w:val="142"/>
    <w:autoRedefine/>
    <w:qFormat/>
    <w:uiPriority w:val="0"/>
    <w:rPr>
      <w:sz w:val="18"/>
      <w:szCs w:val="18"/>
    </w:rPr>
  </w:style>
  <w:style w:type="paragraph" w:styleId="22">
    <w:name w:val="footer"/>
    <w:basedOn w:val="1"/>
    <w:link w:val="151"/>
    <w:autoRedefine/>
    <w:qFormat/>
    <w:uiPriority w:val="99"/>
    <w:pPr>
      <w:tabs>
        <w:tab w:val="center" w:pos="4153"/>
        <w:tab w:val="right" w:pos="8306"/>
      </w:tabs>
      <w:snapToGrid w:val="0"/>
      <w:jc w:val="left"/>
    </w:pPr>
    <w:rPr>
      <w:kern w:val="0"/>
      <w:sz w:val="18"/>
      <w:szCs w:val="20"/>
    </w:rPr>
  </w:style>
  <w:style w:type="paragraph" w:styleId="23">
    <w:name w:val="header"/>
    <w:basedOn w:val="1"/>
    <w:next w:val="1"/>
    <w:link w:val="150"/>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4">
    <w:name w:val="toc 1"/>
    <w:basedOn w:val="1"/>
    <w:next w:val="1"/>
    <w:autoRedefine/>
    <w:qFormat/>
    <w:uiPriority w:val="0"/>
  </w:style>
  <w:style w:type="paragraph" w:styleId="25">
    <w:name w:val="index heading"/>
    <w:basedOn w:val="1"/>
    <w:next w:val="26"/>
    <w:autoRedefine/>
    <w:qFormat/>
    <w:uiPriority w:val="0"/>
    <w:rPr>
      <w:rFonts w:ascii="Arial" w:hAnsi="Arial"/>
      <w:b/>
    </w:rPr>
  </w:style>
  <w:style w:type="paragraph" w:styleId="26">
    <w:name w:val="index 1"/>
    <w:basedOn w:val="1"/>
    <w:next w:val="1"/>
    <w:autoRedefine/>
    <w:semiHidden/>
    <w:qFormat/>
    <w:uiPriority w:val="0"/>
    <w:pPr>
      <w:adjustRightInd w:val="0"/>
      <w:snapToGrid w:val="0"/>
      <w:ind w:firstLine="823" w:firstLineChars="358"/>
      <w:jc w:val="left"/>
    </w:pPr>
    <w:rPr>
      <w:rFonts w:ascii="宋体" w:hAnsi="宋体"/>
      <w:spacing w:val="10"/>
    </w:rPr>
  </w:style>
  <w:style w:type="paragraph" w:styleId="27">
    <w:name w:val="Body Text Indent 3"/>
    <w:basedOn w:val="1"/>
    <w:autoRedefine/>
    <w:qFormat/>
    <w:uiPriority w:val="0"/>
    <w:pPr>
      <w:spacing w:after="120"/>
      <w:ind w:left="420" w:leftChars="200"/>
    </w:pPr>
    <w:rPr>
      <w:sz w:val="16"/>
      <w:szCs w:val="16"/>
    </w:rPr>
  </w:style>
  <w:style w:type="paragraph" w:styleId="28">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4"/>
    <w:next w:val="14"/>
    <w:link w:val="141"/>
    <w:autoRedefine/>
    <w:qFormat/>
    <w:uiPriority w:val="0"/>
    <w:rPr>
      <w:b/>
      <w:bCs/>
    </w:rPr>
  </w:style>
  <w:style w:type="paragraph" w:styleId="30">
    <w:name w:val="Body Text First Indent"/>
    <w:basedOn w:val="2"/>
    <w:next w:val="1"/>
    <w:autoRedefine/>
    <w:qFormat/>
    <w:uiPriority w:val="0"/>
    <w:pPr>
      <w:ind w:firstLine="420" w:firstLineChars="100"/>
    </w:pPr>
    <w:rPr>
      <w:sz w:val="24"/>
    </w:rPr>
  </w:style>
  <w:style w:type="paragraph" w:styleId="31">
    <w:name w:val="Body Text First Indent 2"/>
    <w:basedOn w:val="16"/>
    <w:next w:val="1"/>
    <w:autoRedefine/>
    <w:qFormat/>
    <w:uiPriority w:val="0"/>
    <w:pPr>
      <w:widowControl w:val="0"/>
      <w:ind w:firstLine="420" w:firstLineChars="200"/>
      <w:jc w:val="both"/>
    </w:pPr>
    <w:rPr>
      <w:kern w:val="2"/>
      <w:sz w:val="21"/>
    </w:rPr>
  </w:style>
  <w:style w:type="table" w:styleId="33">
    <w:name w:val="Table Grid"/>
    <w:basedOn w:val="3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autoRedefine/>
    <w:qFormat/>
    <w:uiPriority w:val="0"/>
    <w:rPr>
      <w:b/>
    </w:rPr>
  </w:style>
  <w:style w:type="character" w:styleId="36">
    <w:name w:val="page number"/>
    <w:basedOn w:val="34"/>
    <w:autoRedefine/>
    <w:qFormat/>
    <w:uiPriority w:val="0"/>
  </w:style>
  <w:style w:type="character" w:styleId="37">
    <w:name w:val="FollowedHyperlink"/>
    <w:basedOn w:val="34"/>
    <w:qFormat/>
    <w:uiPriority w:val="0"/>
    <w:rPr>
      <w:color w:val="800080"/>
      <w:u w:val="none"/>
    </w:rPr>
  </w:style>
  <w:style w:type="character" w:styleId="38">
    <w:name w:val="Emphasis"/>
    <w:autoRedefine/>
    <w:qFormat/>
    <w:uiPriority w:val="20"/>
  </w:style>
  <w:style w:type="character" w:styleId="39">
    <w:name w:val="Hyperlink"/>
    <w:basedOn w:val="34"/>
    <w:autoRedefine/>
    <w:qFormat/>
    <w:uiPriority w:val="0"/>
    <w:rPr>
      <w:color w:val="000000"/>
      <w:u w:val="none"/>
    </w:rPr>
  </w:style>
  <w:style w:type="character" w:styleId="40">
    <w:name w:val="annotation reference"/>
    <w:basedOn w:val="34"/>
    <w:autoRedefine/>
    <w:qFormat/>
    <w:uiPriority w:val="0"/>
    <w:rPr>
      <w:sz w:val="21"/>
    </w:rPr>
  </w:style>
  <w:style w:type="paragraph" w:customStyle="1" w:styleId="41">
    <w:name w:val="样式 标题 1 + 四号 段前: 0 磅 段后: 0 磅 行距: 1.5 倍行距"/>
    <w:basedOn w:val="42"/>
    <w:autoRedefine/>
    <w:qFormat/>
    <w:uiPriority w:val="0"/>
    <w:pPr>
      <w:spacing w:line="360" w:lineRule="auto"/>
      <w:jc w:val="center"/>
    </w:pPr>
  </w:style>
  <w:style w:type="paragraph" w:customStyle="1" w:styleId="42">
    <w:name w:val="1正文"/>
    <w:basedOn w:val="1"/>
    <w:qFormat/>
    <w:uiPriority w:val="0"/>
    <w:pPr>
      <w:spacing w:line="500" w:lineRule="exact"/>
      <w:ind w:firstLine="588" w:firstLineChars="196"/>
    </w:pPr>
    <w:rPr>
      <w:rFonts w:eastAsia="楷体_GB2312"/>
      <w:sz w:val="30"/>
      <w:szCs w:val="30"/>
    </w:rPr>
  </w:style>
  <w:style w:type="paragraph" w:customStyle="1" w:styleId="43">
    <w:name w:val="正文1"/>
    <w:basedOn w:val="30"/>
    <w:autoRedefine/>
    <w:qFormat/>
    <w:uiPriority w:val="0"/>
    <w:pPr>
      <w:spacing w:line="240" w:lineRule="auto"/>
      <w:ind w:firstLine="0" w:firstLineChars="0"/>
      <w:jc w:val="center"/>
    </w:pPr>
  </w:style>
  <w:style w:type="paragraph" w:customStyle="1" w:styleId="44">
    <w:name w:val="新格式表"/>
    <w:basedOn w:val="1"/>
    <w:qFormat/>
    <w:uiPriority w:val="0"/>
    <w:pPr>
      <w:adjustRightInd w:val="0"/>
      <w:snapToGrid w:val="0"/>
      <w:spacing w:line="0" w:lineRule="atLeast"/>
      <w:jc w:val="center"/>
    </w:pPr>
    <w:rPr>
      <w:color w:val="000000"/>
      <w:kern w:val="0"/>
      <w:szCs w:val="21"/>
    </w:rPr>
  </w:style>
  <w:style w:type="paragraph" w:customStyle="1" w:styleId="45">
    <w:name w:val="正文LTT"/>
    <w:basedOn w:val="1"/>
    <w:link w:val="47"/>
    <w:autoRedefine/>
    <w:qFormat/>
    <w:uiPriority w:val="0"/>
    <w:pPr>
      <w:spacing w:line="360" w:lineRule="auto"/>
      <w:ind w:firstLine="440" w:firstLineChars="200"/>
    </w:pPr>
    <w:rPr>
      <w:sz w:val="24"/>
    </w:rPr>
  </w:style>
  <w:style w:type="paragraph" w:customStyle="1" w:styleId="46">
    <w:name w:val="表标题LTT"/>
    <w:basedOn w:val="1"/>
    <w:next w:val="45"/>
    <w:autoRedefine/>
    <w:qFormat/>
    <w:uiPriority w:val="0"/>
    <w:pPr>
      <w:spacing w:before="60"/>
      <w:jc w:val="center"/>
    </w:pPr>
    <w:rPr>
      <w:b/>
    </w:rPr>
  </w:style>
  <w:style w:type="character" w:customStyle="1" w:styleId="47">
    <w:name w:val="正文LTT Char"/>
    <w:link w:val="45"/>
    <w:autoRedefine/>
    <w:qFormat/>
    <w:uiPriority w:val="0"/>
    <w:rPr>
      <w:rFonts w:ascii="Times New Roman" w:hAnsi="Times New Roman" w:eastAsia="宋体"/>
      <w:sz w:val="24"/>
    </w:rPr>
  </w:style>
  <w:style w:type="paragraph" w:customStyle="1" w:styleId="48">
    <w:name w:val="Default"/>
    <w:basedOn w:val="49"/>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9">
    <w:name w:val="纯文本1"/>
    <w:basedOn w:val="1"/>
    <w:autoRedefine/>
    <w:qFormat/>
    <w:uiPriority w:val="0"/>
    <w:pPr>
      <w:adjustRightInd w:val="0"/>
    </w:pPr>
    <w:rPr>
      <w:rFonts w:ascii="宋体" w:hAnsi="Courier New"/>
      <w:szCs w:val="20"/>
    </w:rPr>
  </w:style>
  <w:style w:type="paragraph" w:customStyle="1" w:styleId="50">
    <w:name w:val="文本正文"/>
    <w:basedOn w:val="1"/>
    <w:autoRedefine/>
    <w:qFormat/>
    <w:uiPriority w:val="0"/>
    <w:pPr>
      <w:snapToGrid w:val="0"/>
      <w:spacing w:line="360" w:lineRule="auto"/>
      <w:ind w:firstLine="510"/>
      <w:jc w:val="left"/>
    </w:pPr>
    <w:rPr>
      <w:spacing w:val="4"/>
      <w:kern w:val="24"/>
      <w:lang w:val="zh-CN"/>
    </w:rPr>
  </w:style>
  <w:style w:type="paragraph" w:customStyle="1" w:styleId="51">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52">
    <w:name w:val="样式 黑色 行距: 最小值 26 磅"/>
    <w:basedOn w:val="1"/>
    <w:autoRedefine/>
    <w:qFormat/>
    <w:uiPriority w:val="0"/>
    <w:pPr>
      <w:ind w:firstLine="200" w:firstLineChars="200"/>
      <w:jc w:val="left"/>
    </w:pPr>
    <w:rPr>
      <w:rFonts w:eastAsia="楷体_GB2312" w:cs="宋体"/>
      <w:color w:val="000000"/>
      <w:spacing w:val="6"/>
      <w:sz w:val="28"/>
      <w:szCs w:val="20"/>
    </w:rPr>
  </w:style>
  <w:style w:type="paragraph" w:customStyle="1" w:styleId="53">
    <w:name w:val="表格"/>
    <w:basedOn w:val="1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54">
    <w:name w:val="图标题"/>
    <w:basedOn w:val="1"/>
    <w:autoRedefine/>
    <w:qFormat/>
    <w:uiPriority w:val="0"/>
    <w:pPr>
      <w:tabs>
        <w:tab w:val="left" w:pos="1035"/>
      </w:tabs>
      <w:spacing w:afterLines="100"/>
      <w:jc w:val="center"/>
    </w:pPr>
    <w:rPr>
      <w:sz w:val="24"/>
    </w:rPr>
  </w:style>
  <w:style w:type="paragraph" w:customStyle="1" w:styleId="55">
    <w:name w:val="表格及表头"/>
    <w:basedOn w:val="1"/>
    <w:next w:val="1"/>
    <w:autoRedefine/>
    <w:qFormat/>
    <w:uiPriority w:val="0"/>
    <w:rPr>
      <w:szCs w:val="21"/>
    </w:rPr>
  </w:style>
  <w:style w:type="paragraph" w:customStyle="1" w:styleId="56">
    <w:name w:val="p17"/>
    <w:basedOn w:val="1"/>
    <w:autoRedefine/>
    <w:qFormat/>
    <w:uiPriority w:val="0"/>
    <w:pPr>
      <w:widowControl/>
      <w:spacing w:after="120"/>
    </w:pPr>
    <w:rPr>
      <w:kern w:val="0"/>
      <w:sz w:val="30"/>
      <w:szCs w:val="30"/>
    </w:rPr>
  </w:style>
  <w:style w:type="paragraph" w:customStyle="1" w:styleId="57">
    <w:name w:val="文本内容"/>
    <w:basedOn w:val="1"/>
    <w:autoRedefine/>
    <w:qFormat/>
    <w:uiPriority w:val="0"/>
    <w:pPr>
      <w:adjustRightInd w:val="0"/>
      <w:snapToGrid w:val="0"/>
      <w:spacing w:line="360" w:lineRule="auto"/>
      <w:ind w:firstLine="546" w:firstLineChars="200"/>
    </w:pPr>
    <w:rPr>
      <w:rFonts w:ascii="Calibri" w:hAnsi="Calibri"/>
      <w:sz w:val="28"/>
    </w:rPr>
  </w:style>
  <w:style w:type="character" w:customStyle="1" w:styleId="58">
    <w:name w:val="ggzbt011"/>
    <w:basedOn w:val="34"/>
    <w:autoRedefine/>
    <w:qFormat/>
    <w:uiPriority w:val="0"/>
  </w:style>
  <w:style w:type="paragraph" w:customStyle="1" w:styleId="59">
    <w:name w:val="中文报告书样式"/>
    <w:basedOn w:val="1"/>
    <w:autoRedefine/>
    <w:qFormat/>
    <w:uiPriority w:val="0"/>
    <w:pPr>
      <w:adjustRightInd w:val="0"/>
      <w:spacing w:line="480" w:lineRule="atLeast"/>
      <w:ind w:firstLine="482"/>
      <w:textAlignment w:val="baseline"/>
    </w:pPr>
    <w:rPr>
      <w:kern w:val="24"/>
      <w:sz w:val="24"/>
      <w:szCs w:val="20"/>
    </w:rPr>
  </w:style>
  <w:style w:type="character" w:customStyle="1" w:styleId="60">
    <w:name w:val="dz1"/>
    <w:autoRedefine/>
    <w:qFormat/>
    <w:uiPriority w:val="0"/>
    <w:rPr>
      <w:rFonts w:hint="default" w:ascii="Geneva" w:hAnsi="Geneva"/>
      <w:sz w:val="20"/>
      <w:szCs w:val="20"/>
    </w:rPr>
  </w:style>
  <w:style w:type="paragraph" w:customStyle="1" w:styleId="61">
    <w:name w:val="制表格"/>
    <w:basedOn w:val="1"/>
    <w:autoRedefine/>
    <w:qFormat/>
    <w:uiPriority w:val="0"/>
    <w:pPr>
      <w:jc w:val="center"/>
    </w:pPr>
    <w:rPr>
      <w:snapToGrid w:val="0"/>
      <w:kern w:val="0"/>
      <w:szCs w:val="28"/>
    </w:rPr>
  </w:style>
  <w:style w:type="paragraph" w:customStyle="1" w:styleId="62">
    <w:name w:val="环科院正文"/>
    <w:basedOn w:val="1"/>
    <w:autoRedefine/>
    <w:qFormat/>
    <w:uiPriority w:val="0"/>
    <w:pPr>
      <w:tabs>
        <w:tab w:val="left" w:pos="5760"/>
      </w:tabs>
      <w:spacing w:line="360" w:lineRule="auto"/>
      <w:ind w:firstLine="480" w:firstLineChars="200"/>
    </w:pPr>
    <w:rPr>
      <w:rFonts w:hAnsi="宋体"/>
      <w:bCs/>
      <w:sz w:val="24"/>
      <w:szCs w:val="20"/>
    </w:rPr>
  </w:style>
  <w:style w:type="paragraph" w:customStyle="1" w:styleId="63">
    <w:name w:val="11"/>
    <w:basedOn w:val="2"/>
    <w:next w:val="17"/>
    <w:qFormat/>
    <w:uiPriority w:val="0"/>
    <w:pPr>
      <w:autoSpaceDE w:val="0"/>
      <w:autoSpaceDN w:val="0"/>
      <w:adjustRightInd w:val="0"/>
      <w:spacing w:after="0" w:line="360" w:lineRule="auto"/>
      <w:ind w:firstLine="1320" w:firstLineChars="550"/>
      <w:textAlignment w:val="baseline"/>
    </w:pPr>
    <w:rPr>
      <w:sz w:val="24"/>
    </w:rPr>
  </w:style>
  <w:style w:type="paragraph" w:customStyle="1" w:styleId="64">
    <w:name w:val="样式 小四 行距: 1.5 倍行距"/>
    <w:autoRedefine/>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65">
    <w:name w:val="WPSOffice手动目录 1"/>
    <w:autoRedefine/>
    <w:qFormat/>
    <w:uiPriority w:val="0"/>
    <w:rPr>
      <w:rFonts w:ascii="Times New Roman" w:hAnsi="Times New Roman" w:eastAsia="宋体" w:cs="Times New Roman"/>
      <w:lang w:val="en-US" w:eastAsia="zh-CN" w:bidi="ar-SA"/>
    </w:rPr>
  </w:style>
  <w:style w:type="paragraph" w:customStyle="1" w:styleId="66">
    <w:name w:val="表头（书）"/>
    <w:basedOn w:val="1"/>
    <w:next w:val="53"/>
    <w:autoRedefine/>
    <w:qFormat/>
    <w:uiPriority w:val="0"/>
    <w:pPr>
      <w:numPr>
        <w:ilvl w:val="4"/>
        <w:numId w:val="1"/>
      </w:numPr>
      <w:jc w:val="center"/>
    </w:pPr>
    <w:rPr>
      <w:b/>
      <w:bCs/>
    </w:rPr>
  </w:style>
  <w:style w:type="paragraph" w:customStyle="1" w:styleId="67">
    <w:name w:val="无间隔1"/>
    <w:autoRedefine/>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68">
    <w:name w:val="p0"/>
    <w:basedOn w:val="1"/>
    <w:autoRedefine/>
    <w:qFormat/>
    <w:uiPriority w:val="0"/>
    <w:pPr>
      <w:widowControl/>
    </w:pPr>
    <w:rPr>
      <w:rFonts w:eastAsia="Arial Unicode MS"/>
      <w:kern w:val="0"/>
      <w:szCs w:val="21"/>
    </w:rPr>
  </w:style>
  <w:style w:type="paragraph" w:customStyle="1" w:styleId="69">
    <w:name w:val="赵"/>
    <w:basedOn w:val="1"/>
    <w:autoRedefine/>
    <w:qFormat/>
    <w:uiPriority w:val="0"/>
    <w:pPr>
      <w:spacing w:line="360" w:lineRule="auto"/>
      <w:ind w:firstLine="200" w:firstLineChars="200"/>
    </w:pPr>
    <w:rPr>
      <w:color w:val="000000"/>
      <w:kern w:val="0"/>
      <w:sz w:val="24"/>
    </w:rPr>
  </w:style>
  <w:style w:type="paragraph" w:customStyle="1" w:styleId="70">
    <w:name w:val="表题"/>
    <w:autoRedefine/>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71">
    <w:name w:val="填表5中"/>
    <w:basedOn w:val="1"/>
    <w:next w:val="1"/>
    <w:autoRedefine/>
    <w:qFormat/>
    <w:uiPriority w:val="0"/>
    <w:pPr>
      <w:spacing w:line="300" w:lineRule="exact"/>
      <w:jc w:val="center"/>
    </w:pPr>
    <w:rPr>
      <w:rFonts w:ascii="宋体"/>
      <w:sz w:val="24"/>
      <w:szCs w:val="21"/>
    </w:rPr>
  </w:style>
  <w:style w:type="character" w:customStyle="1" w:styleId="72">
    <w:name w:val="fw2"/>
    <w:basedOn w:val="34"/>
    <w:autoRedefine/>
    <w:qFormat/>
    <w:uiPriority w:val="0"/>
  </w:style>
  <w:style w:type="paragraph" w:customStyle="1" w:styleId="73">
    <w:name w:val="_Style 2"/>
    <w:autoRedefine/>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74">
    <w:name w:val="1文章"/>
    <w:basedOn w:val="1"/>
    <w:autoRedefine/>
    <w:qFormat/>
    <w:uiPriority w:val="0"/>
    <w:pPr>
      <w:spacing w:line="360" w:lineRule="auto"/>
      <w:ind w:firstLine="573"/>
    </w:pPr>
    <w:rPr>
      <w:rFonts w:eastAsia="楷体_GB2312"/>
      <w:sz w:val="28"/>
      <w:szCs w:val="20"/>
    </w:rPr>
  </w:style>
  <w:style w:type="paragraph" w:customStyle="1" w:styleId="75">
    <w:name w:val="正文内容"/>
    <w:autoRedefine/>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6">
    <w:name w:val="列出段落1"/>
    <w:basedOn w:val="1"/>
    <w:autoRedefine/>
    <w:qFormat/>
    <w:uiPriority w:val="0"/>
    <w:pPr>
      <w:ind w:firstLine="420" w:firstLineChars="200"/>
    </w:pPr>
    <w:rPr>
      <w:szCs w:val="22"/>
    </w:rPr>
  </w:style>
  <w:style w:type="paragraph" w:customStyle="1" w:styleId="77">
    <w:name w:val="报告表格"/>
    <w:basedOn w:val="1"/>
    <w:autoRedefine/>
    <w:qFormat/>
    <w:uiPriority w:val="0"/>
    <w:pPr>
      <w:autoSpaceDE w:val="0"/>
      <w:autoSpaceDN w:val="0"/>
      <w:adjustRightInd w:val="0"/>
      <w:spacing w:before="40" w:after="40"/>
      <w:jc w:val="center"/>
    </w:pPr>
    <w:rPr>
      <w:kern w:val="0"/>
    </w:rPr>
  </w:style>
  <w:style w:type="paragraph" w:customStyle="1" w:styleId="78">
    <w:name w:val="正文01"/>
    <w:basedOn w:val="5"/>
    <w:link w:val="79"/>
    <w:autoRedefine/>
    <w:qFormat/>
    <w:uiPriority w:val="0"/>
    <w:pPr>
      <w:keepNext w:val="0"/>
      <w:keepLines w:val="0"/>
      <w:adjustRightInd/>
      <w:snapToGrid/>
      <w:spacing w:before="60" w:line="460" w:lineRule="exact"/>
      <w:ind w:firstLine="200" w:firstLineChars="200"/>
      <w:outlineLvl w:val="9"/>
    </w:pPr>
    <w:rPr>
      <w:b w:val="0"/>
    </w:rPr>
  </w:style>
  <w:style w:type="character" w:customStyle="1" w:styleId="79">
    <w:name w:val="正文01 Char"/>
    <w:link w:val="78"/>
    <w:autoRedefine/>
    <w:qFormat/>
    <w:uiPriority w:val="0"/>
    <w:rPr>
      <w:rFonts w:ascii="Times New Roman" w:hAnsi="Times New Roman"/>
    </w:rPr>
  </w:style>
  <w:style w:type="paragraph" w:customStyle="1" w:styleId="80">
    <w:name w:val="表格 32"/>
    <w:basedOn w:val="1"/>
    <w:autoRedefine/>
    <w:qFormat/>
    <w:uiPriority w:val="0"/>
    <w:pPr>
      <w:autoSpaceDE w:val="0"/>
      <w:autoSpaceDN w:val="0"/>
      <w:adjustRightInd w:val="0"/>
      <w:jc w:val="center"/>
      <w:textAlignment w:val="baseline"/>
    </w:pPr>
    <w:rPr>
      <w:rFonts w:ascii="宋体" w:hAnsi="Impact"/>
      <w:kern w:val="24"/>
    </w:rPr>
  </w:style>
  <w:style w:type="paragraph" w:customStyle="1" w:styleId="81">
    <w:name w:val="reader-word-layer reader-word-s6-8"/>
    <w:basedOn w:val="1"/>
    <w:autoRedefine/>
    <w:qFormat/>
    <w:uiPriority w:val="0"/>
    <w:pPr>
      <w:widowControl/>
      <w:spacing w:before="100" w:beforeAutospacing="1" w:after="100" w:afterAutospacing="1"/>
      <w:jc w:val="left"/>
    </w:pPr>
    <w:rPr>
      <w:rFonts w:cs="宋体"/>
      <w:kern w:val="0"/>
      <w:sz w:val="24"/>
    </w:rPr>
  </w:style>
  <w:style w:type="paragraph" w:customStyle="1" w:styleId="82">
    <w:name w:val="正文样式1"/>
    <w:basedOn w:val="1"/>
    <w:autoRedefine/>
    <w:qFormat/>
    <w:uiPriority w:val="0"/>
    <w:pPr>
      <w:adjustRightInd w:val="0"/>
      <w:spacing w:line="288" w:lineRule="auto"/>
      <w:ind w:firstLine="360" w:firstLineChars="150"/>
      <w:textAlignment w:val="baseline"/>
    </w:pPr>
    <w:rPr>
      <w:kern w:val="0"/>
      <w:sz w:val="24"/>
      <w:szCs w:val="20"/>
    </w:rPr>
  </w:style>
  <w:style w:type="character" w:customStyle="1" w:styleId="83">
    <w:name w:val="正文文本 Char1"/>
    <w:autoRedefine/>
    <w:qFormat/>
    <w:uiPriority w:val="0"/>
    <w:rPr>
      <w:rFonts w:eastAsia="宋体"/>
      <w:kern w:val="2"/>
      <w:sz w:val="28"/>
      <w:szCs w:val="24"/>
      <w:lang w:val="en-US" w:eastAsia="zh-CN" w:bidi="ar-SA"/>
    </w:rPr>
  </w:style>
  <w:style w:type="paragraph" w:customStyle="1" w:styleId="84">
    <w:name w:val="文本22"/>
    <w:basedOn w:val="1"/>
    <w:autoRedefine/>
    <w:qFormat/>
    <w:uiPriority w:val="0"/>
    <w:pPr>
      <w:autoSpaceDE w:val="0"/>
      <w:autoSpaceDN w:val="0"/>
      <w:adjustRightInd w:val="0"/>
      <w:spacing w:line="360" w:lineRule="auto"/>
      <w:ind w:firstLine="480" w:firstLineChars="200"/>
    </w:pPr>
    <w:rPr>
      <w:sz w:val="24"/>
    </w:rPr>
  </w:style>
  <w:style w:type="paragraph" w:customStyle="1" w:styleId="85">
    <w:name w:val="样式 cucd-0 + (西文) Arial (中文) 仿宋_GB2312"/>
    <w:basedOn w:val="1"/>
    <w:autoRedefine/>
    <w:qFormat/>
    <w:uiPriority w:val="0"/>
    <w:pPr>
      <w:widowControl/>
      <w:spacing w:line="360" w:lineRule="auto"/>
      <w:ind w:firstLine="480" w:firstLineChars="200"/>
      <w:jc w:val="left"/>
    </w:pPr>
    <w:rPr>
      <w:rFonts w:ascii="Arial" w:hAnsi="Arial" w:eastAsia="仿宋_GB2312"/>
      <w:sz w:val="28"/>
      <w:szCs w:val="21"/>
    </w:rPr>
  </w:style>
  <w:style w:type="paragraph" w:customStyle="1" w:styleId="86">
    <w:name w:val="缩进2正文"/>
    <w:basedOn w:val="87"/>
    <w:autoRedefine/>
    <w:qFormat/>
    <w:uiPriority w:val="0"/>
    <w:pPr>
      <w:tabs>
        <w:tab w:val="left" w:pos="4860"/>
      </w:tabs>
      <w:ind w:firstLine="560"/>
      <w:jc w:val="both"/>
    </w:pPr>
    <w:rPr>
      <w:sz w:val="28"/>
      <w:szCs w:val="28"/>
    </w:rPr>
  </w:style>
  <w:style w:type="paragraph" w:customStyle="1" w:styleId="87">
    <w:name w:val="报告正文"/>
    <w:basedOn w:val="1"/>
    <w:autoRedefine/>
    <w:qFormat/>
    <w:uiPriority w:val="0"/>
    <w:pPr>
      <w:spacing w:line="360" w:lineRule="auto"/>
      <w:ind w:firstLine="200" w:firstLineChars="200"/>
      <w:jc w:val="left"/>
    </w:pPr>
    <w:rPr>
      <w:sz w:val="24"/>
    </w:rPr>
  </w:style>
  <w:style w:type="paragraph" w:customStyle="1" w:styleId="88">
    <w:name w:val="列出段落11"/>
    <w:basedOn w:val="1"/>
    <w:autoRedefine/>
    <w:qFormat/>
    <w:uiPriority w:val="34"/>
    <w:pPr>
      <w:ind w:firstLine="420" w:firstLineChars="200"/>
    </w:pPr>
    <w:rPr>
      <w:szCs w:val="20"/>
    </w:rPr>
  </w:style>
  <w:style w:type="paragraph" w:customStyle="1" w:styleId="89">
    <w:name w:val="Char"/>
    <w:basedOn w:val="1"/>
    <w:autoRedefine/>
    <w:qFormat/>
    <w:uiPriority w:val="0"/>
    <w:pPr>
      <w:snapToGrid w:val="0"/>
      <w:spacing w:line="360" w:lineRule="auto"/>
      <w:ind w:firstLine="529" w:firstLineChars="200"/>
    </w:pPr>
  </w:style>
  <w:style w:type="paragraph" w:customStyle="1" w:styleId="90">
    <w:name w:val="Table Paragraph"/>
    <w:basedOn w:val="1"/>
    <w:autoRedefine/>
    <w:unhideWhenUsed/>
    <w:qFormat/>
    <w:uiPriority w:val="1"/>
    <w:rPr>
      <w:sz w:val="24"/>
    </w:rPr>
  </w:style>
  <w:style w:type="paragraph" w:customStyle="1" w:styleId="91">
    <w:name w:val="样式1"/>
    <w:basedOn w:val="9"/>
    <w:autoRedefine/>
    <w:qFormat/>
    <w:uiPriority w:val="0"/>
    <w:pPr>
      <w:spacing w:before="160" w:after="170" w:line="372" w:lineRule="auto"/>
    </w:pPr>
    <w:rPr>
      <w:rFonts w:eastAsia="仿宋_GB2312"/>
    </w:rPr>
  </w:style>
  <w:style w:type="paragraph" w:customStyle="1" w:styleId="92">
    <w:name w:val="样式 (西文) Times New Roman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93">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94">
    <w:name w:val="表格内容"/>
    <w:basedOn w:val="95"/>
    <w:next w:val="1"/>
    <w:autoRedefine/>
    <w:qFormat/>
    <w:uiPriority w:val="0"/>
    <w:pPr>
      <w:adjustRightInd w:val="0"/>
      <w:snapToGrid w:val="0"/>
      <w:jc w:val="center"/>
    </w:pPr>
    <w:rPr>
      <w:rFonts w:eastAsia="Times New Roman"/>
      <w:szCs w:val="21"/>
    </w:rPr>
  </w:style>
  <w:style w:type="paragraph" w:customStyle="1" w:styleId="95">
    <w:name w:val="表格标题"/>
    <w:basedOn w:val="1"/>
    <w:next w:val="1"/>
    <w:autoRedefine/>
    <w:qFormat/>
    <w:uiPriority w:val="0"/>
    <w:pPr>
      <w:spacing w:line="540" w:lineRule="exact"/>
      <w:jc w:val="center"/>
    </w:pPr>
    <w:rPr>
      <w:rFonts w:ascii="宋体" w:hAnsi="宋体"/>
      <w:bCs/>
      <w:sz w:val="24"/>
    </w:rPr>
  </w:style>
  <w:style w:type="paragraph" w:customStyle="1" w:styleId="96">
    <w:name w:val="1正文段落"/>
    <w:basedOn w:val="1"/>
    <w:autoRedefine/>
    <w:unhideWhenUsed/>
    <w:qFormat/>
    <w:uiPriority w:val="0"/>
    <w:pPr>
      <w:spacing w:line="360" w:lineRule="auto"/>
      <w:ind w:firstLine="200" w:firstLineChars="200"/>
    </w:pPr>
    <w:rPr>
      <w:snapToGrid w:val="0"/>
      <w:kern w:val="0"/>
      <w:sz w:val="24"/>
    </w:rPr>
  </w:style>
  <w:style w:type="paragraph" w:customStyle="1" w:styleId="97">
    <w:name w:val="表格文字"/>
    <w:basedOn w:val="91"/>
    <w:next w:val="1"/>
    <w:autoRedefine/>
    <w:qFormat/>
    <w:uiPriority w:val="0"/>
    <w:pPr>
      <w:spacing w:line="320" w:lineRule="exact"/>
      <w:jc w:val="center"/>
    </w:pPr>
    <w:rPr>
      <w:rFonts w:ascii="宋体"/>
      <w:szCs w:val="24"/>
    </w:rPr>
  </w:style>
  <w:style w:type="paragraph" w:customStyle="1" w:styleId="98">
    <w:name w:val="方案正文"/>
    <w:basedOn w:val="1"/>
    <w:autoRedefine/>
    <w:qFormat/>
    <w:uiPriority w:val="0"/>
    <w:rPr>
      <w:kern w:val="0"/>
      <w:sz w:val="24"/>
      <w:szCs w:val="20"/>
    </w:rPr>
  </w:style>
  <w:style w:type="paragraph" w:customStyle="1" w:styleId="99">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00">
    <w:name w:val="表头"/>
    <w:basedOn w:val="1"/>
    <w:next w:val="1"/>
    <w:autoRedefine/>
    <w:qFormat/>
    <w:uiPriority w:val="0"/>
    <w:pPr>
      <w:spacing w:line="360" w:lineRule="auto"/>
      <w:ind w:firstLine="2169" w:firstLineChars="1029"/>
    </w:pPr>
    <w:rPr>
      <w:rFonts w:ascii="宋体" w:hAnsi="宋体"/>
      <w:b/>
      <w:kern w:val="0"/>
      <w:szCs w:val="21"/>
    </w:rPr>
  </w:style>
  <w:style w:type="character" w:customStyle="1" w:styleId="101">
    <w:name w:val="font01"/>
    <w:basedOn w:val="34"/>
    <w:autoRedefine/>
    <w:qFormat/>
    <w:uiPriority w:val="0"/>
    <w:rPr>
      <w:rFonts w:hint="eastAsia" w:ascii="宋体" w:hAnsi="宋体" w:eastAsia="宋体" w:cs="宋体"/>
      <w:color w:val="000000"/>
      <w:sz w:val="21"/>
      <w:szCs w:val="21"/>
      <w:u w:val="none"/>
    </w:rPr>
  </w:style>
  <w:style w:type="character" w:customStyle="1" w:styleId="102">
    <w:name w:val="font21"/>
    <w:basedOn w:val="34"/>
    <w:autoRedefine/>
    <w:qFormat/>
    <w:uiPriority w:val="0"/>
    <w:rPr>
      <w:rFonts w:hint="default" w:ascii="Times New Roman" w:hAnsi="Times New Roman" w:cs="Times New Roman"/>
      <w:color w:val="000000"/>
      <w:sz w:val="21"/>
      <w:szCs w:val="21"/>
      <w:u w:val="none"/>
    </w:rPr>
  </w:style>
  <w:style w:type="character" w:customStyle="1" w:styleId="103">
    <w:name w:val="font41"/>
    <w:basedOn w:val="34"/>
    <w:autoRedefine/>
    <w:qFormat/>
    <w:uiPriority w:val="0"/>
    <w:rPr>
      <w:rFonts w:hint="default" w:ascii="Times New Roman" w:hAnsi="Times New Roman" w:cs="Times New Roman"/>
      <w:b/>
      <w:bCs/>
      <w:color w:val="000000"/>
      <w:sz w:val="21"/>
      <w:szCs w:val="21"/>
      <w:u w:val="none"/>
    </w:rPr>
  </w:style>
  <w:style w:type="character" w:customStyle="1" w:styleId="104">
    <w:name w:val="font31"/>
    <w:basedOn w:val="34"/>
    <w:autoRedefine/>
    <w:qFormat/>
    <w:uiPriority w:val="0"/>
    <w:rPr>
      <w:rFonts w:hint="default" w:ascii="Times New Roman" w:hAnsi="Times New Roman" w:cs="Times New Roman"/>
      <w:color w:val="000000"/>
      <w:sz w:val="21"/>
      <w:szCs w:val="21"/>
      <w:u w:val="none"/>
    </w:rPr>
  </w:style>
  <w:style w:type="character" w:customStyle="1" w:styleId="105">
    <w:name w:val="font51"/>
    <w:basedOn w:val="34"/>
    <w:autoRedefine/>
    <w:qFormat/>
    <w:uiPriority w:val="0"/>
    <w:rPr>
      <w:rFonts w:hint="default" w:ascii="Times New Roman" w:hAnsi="Times New Roman" w:cs="Times New Roman"/>
      <w:color w:val="000000"/>
      <w:sz w:val="21"/>
      <w:szCs w:val="21"/>
      <w:u w:val="none"/>
      <w:vertAlign w:val="subscript"/>
    </w:rPr>
  </w:style>
  <w:style w:type="character" w:customStyle="1" w:styleId="106">
    <w:name w:val="正文文本_"/>
    <w:link w:val="107"/>
    <w:autoRedefine/>
    <w:qFormat/>
    <w:locked/>
    <w:uiPriority w:val="99"/>
    <w:rPr>
      <w:rFonts w:ascii="MingLiU" w:hAnsi="MingLiU" w:eastAsia="MingLiU"/>
      <w:spacing w:val="10"/>
      <w:kern w:val="0"/>
      <w:szCs w:val="21"/>
    </w:rPr>
  </w:style>
  <w:style w:type="paragraph" w:customStyle="1" w:styleId="107">
    <w:name w:val="正文文本3"/>
    <w:basedOn w:val="1"/>
    <w:link w:val="106"/>
    <w:autoRedefine/>
    <w:qFormat/>
    <w:uiPriority w:val="99"/>
    <w:pPr>
      <w:shd w:val="clear" w:color="auto" w:fill="FFFFFF"/>
      <w:spacing w:before="240" w:line="466" w:lineRule="exact"/>
      <w:ind w:hanging="480"/>
      <w:jc w:val="distribute"/>
    </w:pPr>
    <w:rPr>
      <w:rFonts w:ascii="MingLiU" w:hAnsi="MingLiU" w:eastAsia="MingLiU"/>
      <w:spacing w:val="10"/>
      <w:kern w:val="0"/>
      <w:szCs w:val="21"/>
    </w:rPr>
  </w:style>
  <w:style w:type="paragraph" w:customStyle="1" w:styleId="108">
    <w:name w:val="wlm表格"/>
    <w:basedOn w:val="1"/>
    <w:autoRedefine/>
    <w:qFormat/>
    <w:uiPriority w:val="0"/>
    <w:pPr>
      <w:snapToGrid w:val="0"/>
      <w:jc w:val="center"/>
    </w:pPr>
    <w:rPr>
      <w:snapToGrid w:val="0"/>
      <w:spacing w:val="2"/>
      <w:szCs w:val="21"/>
    </w:rPr>
  </w:style>
  <w:style w:type="paragraph" w:customStyle="1" w:styleId="109">
    <w:name w:val="正文四号"/>
    <w:basedOn w:val="1"/>
    <w:autoRedefine/>
    <w:qFormat/>
    <w:uiPriority w:val="0"/>
    <w:pPr>
      <w:spacing w:line="600" w:lineRule="exact"/>
      <w:ind w:firstLine="200" w:firstLineChars="200"/>
    </w:pPr>
    <w:rPr>
      <w:rFonts w:ascii="Calibri" w:hAnsi="Calibri" w:eastAsia="仿宋_GB2312"/>
      <w:sz w:val="28"/>
      <w:szCs w:val="28"/>
    </w:rPr>
  </w:style>
  <w:style w:type="paragraph" w:customStyle="1" w:styleId="110">
    <w:name w:val="表头、图尾"/>
    <w:basedOn w:val="1"/>
    <w:autoRedefine/>
    <w:qFormat/>
    <w:uiPriority w:val="0"/>
    <w:pPr>
      <w:spacing w:beforeLines="50" w:afterLines="20"/>
      <w:jc w:val="center"/>
      <w:outlineLvl w:val="1"/>
    </w:pPr>
    <w:rPr>
      <w:b/>
    </w:rPr>
  </w:style>
  <w:style w:type="character" w:customStyle="1" w:styleId="111">
    <w:name w:val="NormalCharacter"/>
    <w:autoRedefine/>
    <w:qFormat/>
    <w:uiPriority w:val="0"/>
  </w:style>
  <w:style w:type="paragraph" w:customStyle="1" w:styleId="112">
    <w:name w:val="cucd-0"/>
    <w:autoRedefine/>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character" w:customStyle="1" w:styleId="113">
    <w:name w:val="viewthreadtxt"/>
    <w:basedOn w:val="34"/>
    <w:autoRedefine/>
    <w:qFormat/>
    <w:uiPriority w:val="0"/>
  </w:style>
  <w:style w:type="paragraph" w:customStyle="1" w:styleId="114">
    <w:name w:val="Char Char Char Char"/>
    <w:basedOn w:val="1"/>
    <w:autoRedefine/>
    <w:qFormat/>
    <w:uiPriority w:val="0"/>
    <w:pPr>
      <w:snapToGrid w:val="0"/>
      <w:spacing w:line="360" w:lineRule="auto"/>
      <w:ind w:firstLine="200" w:firstLineChars="200"/>
    </w:pPr>
    <w:rPr>
      <w:szCs w:val="20"/>
    </w:rPr>
  </w:style>
  <w:style w:type="character" w:customStyle="1" w:styleId="115">
    <w:name w:val="font11"/>
    <w:basedOn w:val="34"/>
    <w:autoRedefine/>
    <w:qFormat/>
    <w:uiPriority w:val="0"/>
    <w:rPr>
      <w:rFonts w:hint="eastAsia" w:ascii="宋体" w:hAnsi="宋体" w:eastAsia="宋体" w:cs="宋体"/>
      <w:color w:val="000000"/>
      <w:sz w:val="21"/>
      <w:szCs w:val="21"/>
      <w:u w:val="none"/>
    </w:rPr>
  </w:style>
  <w:style w:type="paragraph" w:customStyle="1" w:styleId="116">
    <w:name w:val="文本"/>
    <w:basedOn w:val="1"/>
    <w:autoRedefine/>
    <w:qFormat/>
    <w:uiPriority w:val="0"/>
    <w:pPr>
      <w:ind w:firstLine="480" w:firstLineChars="200"/>
    </w:pPr>
  </w:style>
  <w:style w:type="character" w:customStyle="1" w:styleId="117">
    <w:name w:val="font61"/>
    <w:basedOn w:val="34"/>
    <w:autoRedefine/>
    <w:qFormat/>
    <w:uiPriority w:val="0"/>
    <w:rPr>
      <w:rFonts w:hint="default" w:ascii="Times New Roman" w:hAnsi="Times New Roman" w:cs="Times New Roman"/>
      <w:color w:val="000000"/>
      <w:sz w:val="21"/>
      <w:szCs w:val="21"/>
      <w:u w:val="none"/>
      <w:vertAlign w:val="subscript"/>
    </w:rPr>
  </w:style>
  <w:style w:type="character" w:customStyle="1" w:styleId="118">
    <w:name w:val="全部 Char Char"/>
    <w:link w:val="119"/>
    <w:autoRedefine/>
    <w:qFormat/>
    <w:uiPriority w:val="0"/>
    <w:rPr>
      <w:rFonts w:ascii="宋体" w:hAnsi="宋体"/>
      <w:color w:val="000000"/>
      <w:sz w:val="24"/>
    </w:rPr>
  </w:style>
  <w:style w:type="paragraph" w:customStyle="1" w:styleId="119">
    <w:name w:val="全部"/>
    <w:basedOn w:val="1"/>
    <w:link w:val="118"/>
    <w:autoRedefine/>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20">
    <w:name w:val="样式 样式 小四 段前: 7.8 磅 段后: 7.8 磅 行距: 1.5 倍行距 + 首行缩进:  2 字符 Char Char"/>
    <w:link w:val="121"/>
    <w:autoRedefine/>
    <w:qFormat/>
    <w:uiPriority w:val="0"/>
    <w:rPr>
      <w:spacing w:val="20"/>
      <w:sz w:val="24"/>
    </w:rPr>
  </w:style>
  <w:style w:type="paragraph" w:customStyle="1" w:styleId="121">
    <w:name w:val="样式 样式 小四 段前: 7.8 磅 段后: 7.8 磅 行距: 1.5 倍行距 + 首行缩进:  2 字符"/>
    <w:basedOn w:val="1"/>
    <w:link w:val="120"/>
    <w:autoRedefine/>
    <w:qFormat/>
    <w:uiPriority w:val="0"/>
    <w:pPr>
      <w:spacing w:before="156" w:after="156" w:line="360" w:lineRule="auto"/>
      <w:ind w:firstLine="560" w:firstLineChars="200"/>
    </w:pPr>
    <w:rPr>
      <w:spacing w:val="20"/>
      <w:sz w:val="24"/>
    </w:rPr>
  </w:style>
  <w:style w:type="character" w:customStyle="1" w:styleId="122">
    <w:name w:val="fontstyle01"/>
    <w:basedOn w:val="34"/>
    <w:autoRedefine/>
    <w:qFormat/>
    <w:uiPriority w:val="0"/>
    <w:rPr>
      <w:rFonts w:hint="eastAsia" w:ascii="宋体" w:hAnsi="宋体" w:eastAsia="宋体"/>
      <w:color w:val="000000"/>
      <w:sz w:val="24"/>
      <w:szCs w:val="24"/>
    </w:rPr>
  </w:style>
  <w:style w:type="paragraph" w:customStyle="1" w:styleId="123">
    <w:name w:val="表题LTT"/>
    <w:basedOn w:val="1"/>
    <w:next w:val="1"/>
    <w:autoRedefine/>
    <w:qFormat/>
    <w:uiPriority w:val="0"/>
    <w:pPr>
      <w:widowControl/>
      <w:spacing w:before="120"/>
      <w:jc w:val="center"/>
    </w:pPr>
    <w:rPr>
      <w:b/>
      <w:bCs/>
    </w:rPr>
  </w:style>
  <w:style w:type="paragraph" w:customStyle="1" w:styleId="124">
    <w:name w:val="表格文字LTT2磅"/>
    <w:basedOn w:val="1"/>
    <w:link w:val="136"/>
    <w:autoRedefine/>
    <w:qFormat/>
    <w:uiPriority w:val="0"/>
    <w:pPr>
      <w:widowControl/>
      <w:spacing w:before="40" w:after="40"/>
      <w:jc w:val="center"/>
    </w:pPr>
    <w:rPr>
      <w:bCs/>
      <w:szCs w:val="21"/>
    </w:rPr>
  </w:style>
  <w:style w:type="paragraph" w:customStyle="1" w:styleId="125">
    <w:name w:val="表格文字LTT0磅"/>
    <w:basedOn w:val="126"/>
    <w:link w:val="137"/>
    <w:autoRedefine/>
    <w:qFormat/>
    <w:uiPriority w:val="0"/>
    <w:pPr>
      <w:spacing w:line="240" w:lineRule="auto"/>
      <w:ind w:firstLine="0"/>
      <w:jc w:val="center"/>
    </w:pPr>
    <w:rPr>
      <w:rFonts w:ascii="Times New Roman" w:hAnsi="Times New Roman" w:eastAsia="宋体"/>
      <w:sz w:val="21"/>
    </w:rPr>
  </w:style>
  <w:style w:type="paragraph" w:customStyle="1" w:styleId="126">
    <w:name w:val="正 文"/>
    <w:autoRedefine/>
    <w:qFormat/>
    <w:uiPriority w:val="0"/>
    <w:pPr>
      <w:widowControl w:val="0"/>
      <w:spacing w:line="480" w:lineRule="exact"/>
      <w:ind w:firstLine="471"/>
      <w:jc w:val="both"/>
    </w:pPr>
    <w:rPr>
      <w:rFonts w:ascii="Arial" w:hAnsi="Arial" w:eastAsia="Times New Roman" w:cs="Times New Roman"/>
      <w:kern w:val="2"/>
      <w:sz w:val="24"/>
      <w:lang w:val="en-US" w:eastAsia="zh-CN" w:bidi="ar-SA"/>
    </w:rPr>
  </w:style>
  <w:style w:type="character" w:customStyle="1" w:styleId="127">
    <w:name w:val="fontstyle21"/>
    <w:basedOn w:val="34"/>
    <w:autoRedefine/>
    <w:qFormat/>
    <w:uiPriority w:val="0"/>
    <w:rPr>
      <w:rFonts w:ascii="TimesNewRomanPSMT" w:hAnsi="TimesNewRomanPSMT" w:eastAsia="TimesNewRomanPSMT" w:cs="TimesNewRomanPSMT"/>
      <w:color w:val="000000"/>
      <w:sz w:val="22"/>
      <w:szCs w:val="22"/>
    </w:rPr>
  </w:style>
  <w:style w:type="character" w:customStyle="1" w:styleId="128">
    <w:name w:val="fontstyle31"/>
    <w:basedOn w:val="34"/>
    <w:autoRedefine/>
    <w:qFormat/>
    <w:uiPriority w:val="0"/>
    <w:rPr>
      <w:rFonts w:ascii="宋体" w:hAnsi="宋体" w:eastAsia="宋体" w:cs="宋体"/>
      <w:color w:val="000000"/>
      <w:sz w:val="22"/>
      <w:szCs w:val="22"/>
    </w:rPr>
  </w:style>
  <w:style w:type="paragraph" w:customStyle="1" w:styleId="129">
    <w:name w:val="图题LTT"/>
    <w:basedOn w:val="1"/>
    <w:next w:val="1"/>
    <w:autoRedefine/>
    <w:qFormat/>
    <w:uiPriority w:val="0"/>
    <w:pPr>
      <w:spacing w:after="120"/>
      <w:jc w:val="center"/>
    </w:pPr>
    <w:rPr>
      <w:b/>
    </w:rPr>
  </w:style>
  <w:style w:type="paragraph" w:customStyle="1" w:styleId="130">
    <w:name w:val="表格标题LTT"/>
    <w:basedOn w:val="1"/>
    <w:next w:val="45"/>
    <w:autoRedefine/>
    <w:qFormat/>
    <w:uiPriority w:val="0"/>
    <w:pPr>
      <w:spacing w:before="120"/>
      <w:jc w:val="center"/>
    </w:pPr>
    <w:rPr>
      <w:b/>
    </w:rPr>
  </w:style>
  <w:style w:type="paragraph" w:customStyle="1" w:styleId="131">
    <w:name w:val="表格文字2磅"/>
    <w:basedOn w:val="1"/>
    <w:autoRedefine/>
    <w:qFormat/>
    <w:uiPriority w:val="0"/>
    <w:pPr>
      <w:widowControl/>
      <w:spacing w:before="40" w:after="40"/>
      <w:jc w:val="center"/>
    </w:pPr>
    <w:rPr>
      <w:bCs/>
      <w:szCs w:val="21"/>
    </w:rPr>
  </w:style>
  <w:style w:type="paragraph" w:customStyle="1" w:styleId="132">
    <w:name w:val="翔一表格"/>
    <w:basedOn w:val="1"/>
    <w:next w:val="1"/>
    <w:autoRedefine/>
    <w:qFormat/>
    <w:uiPriority w:val="0"/>
    <w:pPr>
      <w:autoSpaceDE w:val="0"/>
      <w:autoSpaceDN w:val="0"/>
      <w:jc w:val="center"/>
      <w:textAlignment w:val="baseline"/>
    </w:pPr>
    <w:rPr>
      <w:kern w:val="0"/>
      <w:szCs w:val="21"/>
    </w:rPr>
  </w:style>
  <w:style w:type="paragraph" w:customStyle="1" w:styleId="133">
    <w:name w:val="表格文字LTT"/>
    <w:basedOn w:val="1"/>
    <w:next w:val="1"/>
    <w:link w:val="138"/>
    <w:qFormat/>
    <w:uiPriority w:val="0"/>
    <w:pPr>
      <w:spacing w:before="40" w:after="40"/>
      <w:jc w:val="center"/>
    </w:pPr>
  </w:style>
  <w:style w:type="character" w:customStyle="1" w:styleId="134">
    <w:name w:val="fontstyle11"/>
    <w:basedOn w:val="34"/>
    <w:autoRedefine/>
    <w:qFormat/>
    <w:uiPriority w:val="0"/>
    <w:rPr>
      <w:rFonts w:ascii="TimesNewRomanPSMT" w:hAnsi="TimesNewRomanPSMT" w:eastAsia="TimesNewRomanPSMT" w:cs="TimesNewRomanPSMT"/>
      <w:color w:val="000000"/>
      <w:sz w:val="24"/>
      <w:szCs w:val="24"/>
    </w:rPr>
  </w:style>
  <w:style w:type="paragraph" w:customStyle="1" w:styleId="135">
    <w:name w:val="正文首行缩进2"/>
    <w:basedOn w:val="2"/>
    <w:autoRedefine/>
    <w:qFormat/>
    <w:uiPriority w:val="99"/>
    <w:pPr>
      <w:spacing w:line="500" w:lineRule="atLeast"/>
      <w:ind w:firstLine="560"/>
    </w:pPr>
  </w:style>
  <w:style w:type="character" w:customStyle="1" w:styleId="136">
    <w:name w:val="表格文字LTT2磅 Char"/>
    <w:link w:val="124"/>
    <w:autoRedefine/>
    <w:qFormat/>
    <w:uiPriority w:val="0"/>
    <w:rPr>
      <w:rFonts w:ascii="Times New Roman" w:hAnsi="Times New Roman" w:eastAsia="宋体"/>
      <w:bCs/>
      <w:szCs w:val="21"/>
    </w:rPr>
  </w:style>
  <w:style w:type="character" w:customStyle="1" w:styleId="137">
    <w:name w:val="表格文字LTT0磅 Char"/>
    <w:link w:val="125"/>
    <w:autoRedefine/>
    <w:qFormat/>
    <w:uiPriority w:val="0"/>
    <w:rPr>
      <w:rFonts w:ascii="Times New Roman" w:hAnsi="Times New Roman" w:eastAsia="宋体"/>
      <w:sz w:val="21"/>
    </w:rPr>
  </w:style>
  <w:style w:type="character" w:customStyle="1" w:styleId="138">
    <w:name w:val="表格文字LTT Char"/>
    <w:link w:val="133"/>
    <w:autoRedefine/>
    <w:qFormat/>
    <w:uiPriority w:val="0"/>
    <w:rPr>
      <w:rFonts w:ascii="Times New Roman" w:hAnsi="Times New Roman" w:eastAsia="宋体"/>
      <w:sz w:val="21"/>
    </w:rPr>
  </w:style>
  <w:style w:type="paragraph" w:customStyle="1" w:styleId="139">
    <w:name w:val="Default1"/>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40">
    <w:name w:val="批注文字 Char"/>
    <w:basedOn w:val="34"/>
    <w:link w:val="14"/>
    <w:autoRedefine/>
    <w:qFormat/>
    <w:uiPriority w:val="0"/>
    <w:rPr>
      <w:kern w:val="2"/>
      <w:sz w:val="21"/>
      <w:szCs w:val="24"/>
    </w:rPr>
  </w:style>
  <w:style w:type="character" w:customStyle="1" w:styleId="141">
    <w:name w:val="批注主题 Char"/>
    <w:basedOn w:val="140"/>
    <w:link w:val="29"/>
    <w:autoRedefine/>
    <w:qFormat/>
    <w:uiPriority w:val="0"/>
    <w:rPr>
      <w:b/>
      <w:bCs/>
      <w:kern w:val="2"/>
      <w:sz w:val="21"/>
      <w:szCs w:val="24"/>
    </w:rPr>
  </w:style>
  <w:style w:type="character" w:customStyle="1" w:styleId="142">
    <w:name w:val="批注框文本 Char"/>
    <w:basedOn w:val="34"/>
    <w:link w:val="21"/>
    <w:qFormat/>
    <w:uiPriority w:val="0"/>
    <w:rPr>
      <w:kern w:val="2"/>
      <w:sz w:val="18"/>
      <w:szCs w:val="18"/>
    </w:rPr>
  </w:style>
  <w:style w:type="paragraph" w:customStyle="1" w:styleId="143">
    <w:name w:val="_Style 5"/>
    <w:basedOn w:val="1"/>
    <w:qFormat/>
    <w:uiPriority w:val="0"/>
    <w:pPr>
      <w:spacing w:line="360" w:lineRule="auto"/>
      <w:ind w:firstLine="420" w:firstLineChars="200"/>
    </w:pPr>
    <w:rPr>
      <w:rFonts w:ascii="Calibri" w:hAnsi="Calibri"/>
      <w:kern w:val="0"/>
      <w:sz w:val="24"/>
      <w:szCs w:val="20"/>
    </w:rPr>
  </w:style>
  <w:style w:type="paragraph" w:customStyle="1" w:styleId="144">
    <w:name w:val="1正文-报告表"/>
    <w:basedOn w:val="1"/>
    <w:autoRedefine/>
    <w:qFormat/>
    <w:uiPriority w:val="0"/>
    <w:pPr>
      <w:ind w:firstLine="480" w:firstLineChars="200"/>
    </w:pPr>
    <w:rPr>
      <w:kern w:val="0"/>
      <w:sz w:val="24"/>
    </w:rPr>
  </w:style>
  <w:style w:type="paragraph" w:customStyle="1" w:styleId="145">
    <w:name w:val="0正文"/>
    <w:basedOn w:val="1"/>
    <w:autoRedefine/>
    <w:semiHidden/>
    <w:qFormat/>
    <w:uiPriority w:val="0"/>
    <w:pPr>
      <w:spacing w:line="360" w:lineRule="auto"/>
      <w:ind w:firstLine="720" w:firstLineChars="200"/>
      <w:jc w:val="left"/>
    </w:pPr>
    <w:rPr>
      <w:kern w:val="0"/>
      <w:sz w:val="24"/>
    </w:rPr>
  </w:style>
  <w:style w:type="paragraph" w:customStyle="1" w:styleId="146">
    <w:name w:val="正文（首行缩进两字）m"/>
    <w:basedOn w:val="11"/>
    <w:autoRedefine/>
    <w:qFormat/>
    <w:uiPriority w:val="0"/>
    <w:pPr>
      <w:tabs>
        <w:tab w:val="left" w:pos="1848"/>
        <w:tab w:val="left" w:pos="6061"/>
        <w:tab w:val="left" w:pos="8665"/>
      </w:tabs>
      <w:adjustRightInd w:val="0"/>
      <w:snapToGrid w:val="0"/>
      <w:spacing w:beforeLines="50" w:line="460" w:lineRule="exact"/>
      <w:ind w:firstLine="480"/>
    </w:pPr>
    <w:rPr>
      <w:color w:val="339966"/>
    </w:rPr>
  </w:style>
  <w:style w:type="paragraph" w:customStyle="1" w:styleId="147">
    <w:name w:val="正文环评"/>
    <w:basedOn w:val="1"/>
    <w:autoRedefine/>
    <w:qFormat/>
    <w:uiPriority w:val="0"/>
    <w:pPr>
      <w:spacing w:line="360" w:lineRule="auto"/>
      <w:ind w:firstLine="200" w:firstLineChars="200"/>
    </w:pPr>
    <w:rPr>
      <w:sz w:val="24"/>
      <w:szCs w:val="22"/>
    </w:rPr>
  </w:style>
  <w:style w:type="paragraph" w:customStyle="1" w:styleId="148">
    <w:name w:val="样式 正文缩进正文缩进2正文缩进 Char Char正文缩进 Char Char Char Char正文缩进 Char ..."/>
    <w:basedOn w:val="11"/>
    <w:autoRedefine/>
    <w:qFormat/>
    <w:uiPriority w:val="0"/>
    <w:pPr>
      <w:spacing w:line="360" w:lineRule="auto"/>
      <w:ind w:firstLine="200"/>
    </w:pPr>
    <w:rPr>
      <w:rFonts w:cs="宋体"/>
    </w:rPr>
  </w:style>
  <w:style w:type="paragraph" w:customStyle="1" w:styleId="149">
    <w:name w:val="123456"/>
    <w:basedOn w:val="1"/>
    <w:autoRedefine/>
    <w:qFormat/>
    <w:uiPriority w:val="0"/>
  </w:style>
  <w:style w:type="character" w:customStyle="1" w:styleId="150">
    <w:name w:val="页眉 字符"/>
    <w:basedOn w:val="34"/>
    <w:link w:val="23"/>
    <w:qFormat/>
    <w:uiPriority w:val="0"/>
    <w:rPr>
      <w:rFonts w:hint="default" w:ascii="Calibri" w:hAnsi="Calibri" w:cs="Calibri"/>
    </w:rPr>
  </w:style>
  <w:style w:type="character" w:customStyle="1" w:styleId="151">
    <w:name w:val="页脚 字符"/>
    <w:basedOn w:val="34"/>
    <w:link w:val="22"/>
    <w:qFormat/>
    <w:uiPriority w:val="0"/>
    <w:rPr>
      <w:rFonts w:hint="default" w:ascii="Calibri" w:hAnsi="Calibri" w:cs="Calibri"/>
    </w:rPr>
  </w:style>
  <w:style w:type="paragraph" w:customStyle="1" w:styleId="152">
    <w:name w:val="A表表格"/>
    <w:next w:val="30"/>
    <w:qFormat/>
    <w:uiPriority w:val="0"/>
    <w:pPr>
      <w:spacing w:line="240" w:lineRule="auto"/>
      <w:jc w:val="center"/>
    </w:pPr>
    <w:rPr>
      <w:rFonts w:ascii="Times New Roman" w:hAnsi="Times New Roman" w:eastAsia="宋体" w:cs="Times New Roman"/>
      <w:kern w:val="0"/>
      <w:sz w:val="18"/>
      <w:szCs w:val="24"/>
      <w:lang w:val="en-US" w:eastAsia="zh-CN" w:bidi="ar-SA"/>
      <w14:ligatures w14:val="none"/>
    </w:rPr>
  </w:style>
  <w:style w:type="paragraph" w:customStyle="1" w:styleId="153">
    <w:name w:val="报告表3级"/>
    <w:basedOn w:val="1"/>
    <w:next w:val="1"/>
    <w:qFormat/>
    <w:uiPriority w:val="0"/>
    <w:pPr>
      <w:widowControl/>
      <w:spacing w:line="360" w:lineRule="auto"/>
      <w:jc w:val="left"/>
    </w:pPr>
    <w:rPr>
      <w:b/>
      <w:bCs/>
      <w:sz w:val="24"/>
    </w:rPr>
  </w:style>
  <w:style w:type="paragraph" w:customStyle="1" w:styleId="154">
    <w:name w:val="报告表格内中"/>
    <w:basedOn w:val="1"/>
    <w:qFormat/>
    <w:uiPriority w:val="0"/>
    <w:pPr>
      <w:spacing w:before="100" w:beforeLines="0" w:beforeAutospacing="1"/>
      <w:ind w:firstLine="1440" w:firstLineChars="200"/>
      <w:jc w:val="center"/>
    </w:pPr>
    <w:rPr>
      <w:bCs/>
      <w:sz w:val="24"/>
    </w:rPr>
  </w:style>
  <w:style w:type="paragraph" w:customStyle="1" w:styleId="155">
    <w:name w:val="初稿正文"/>
    <w:basedOn w:val="1"/>
    <w:qFormat/>
    <w:uiPriority w:val="0"/>
    <w:pPr>
      <w:spacing w:line="360" w:lineRule="auto"/>
      <w:ind w:firstLine="720" w:firstLineChars="200"/>
    </w:pPr>
    <w:rPr>
      <w:rFonts w:ascii="Times New Roman" w:hAnsi="Times New Roman" w:eastAsia="宋体" w:cs="Times New Roman"/>
      <w:color w:val="FF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9.wmf"/><Relationship Id="rId40" Type="http://schemas.openxmlformats.org/officeDocument/2006/relationships/oleObject" Target="embeddings/oleObject6.bin"/><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emf"/><Relationship Id="rId27" Type="http://schemas.openxmlformats.org/officeDocument/2006/relationships/oleObject" Target="embeddings/oleObject5.bin"/><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emf"/><Relationship Id="rId23" Type="http://schemas.openxmlformats.org/officeDocument/2006/relationships/oleObject" Target="embeddings/oleObject4.bin"/><Relationship Id="rId22" Type="http://schemas.openxmlformats.org/officeDocument/2006/relationships/image" Target="media/image13.emf"/><Relationship Id="rId21" Type="http://schemas.openxmlformats.org/officeDocument/2006/relationships/oleObject" Target="embeddings/oleObject3.bin"/><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emf"/><Relationship Id="rId17" Type="http://schemas.openxmlformats.org/officeDocument/2006/relationships/oleObject" Target="embeddings/oleObject1.bin"/><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117</Pages>
  <Words>651</Words>
  <Characters>699</Characters>
  <Lines>1</Lines>
  <Paragraphs>1</Paragraphs>
  <TotalTime>4</TotalTime>
  <ScaleCrop>false</ScaleCrop>
  <LinksUpToDate>false</LinksUpToDate>
  <CharactersWithSpaces>844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王老五</cp:lastModifiedBy>
  <cp:lastPrinted>2026-01-05T01:47:00Z</cp:lastPrinted>
  <dcterms:modified xsi:type="dcterms:W3CDTF">2026-01-13T03:57:53Z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93DE843230D8489EA7129BA1B47D9DE5_13</vt:lpwstr>
  </property>
  <property fmtid="{D5CDD505-2E9C-101B-9397-08002B2CF9AE}" pid="4" name="KSOTemplateDocerSaveRecord">
    <vt:lpwstr>eyJoZGlkIjoiYTkzYTA3ZDg3NWNhYmVjODc3YmJjMjQ4MDkyZDc1NmMiLCJ1c2VySWQiOiIyNzA5NjI2ODIifQ==</vt:lpwstr>
  </property>
</Properties>
</file>